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863016">
      <w:pPr>
        <w:rPr>
          <w:rFonts w:ascii="仿宋_GB2312" w:hAnsi="仿宋_GB2312" w:eastAsia="仿宋_GB2312" w:cs="仿宋_GB2312"/>
          <w:color w:val="FF0000"/>
          <w:sz w:val="36"/>
          <w:szCs w:val="36"/>
          <w:highlight w:val="none"/>
        </w:rPr>
      </w:pPr>
    </w:p>
    <w:p w14:paraId="7D24409B">
      <w:pPr>
        <w:rPr>
          <w:rFonts w:ascii="仿宋_GB2312" w:hAnsi="仿宋_GB2312" w:eastAsia="仿宋_GB2312" w:cs="仿宋_GB2312"/>
          <w:color w:val="FF0000"/>
          <w:sz w:val="36"/>
          <w:szCs w:val="36"/>
          <w:highlight w:val="none"/>
        </w:rPr>
      </w:pPr>
    </w:p>
    <w:p w14:paraId="2F3FC2AB">
      <w:pPr>
        <w:rPr>
          <w:rFonts w:ascii="仿宋_GB2312" w:hAnsi="仿宋_GB2312" w:eastAsia="仿宋_GB2312" w:cs="仿宋_GB2312"/>
          <w:color w:val="FF0000"/>
          <w:sz w:val="36"/>
          <w:szCs w:val="36"/>
          <w:highlight w:val="none"/>
        </w:rPr>
      </w:pPr>
    </w:p>
    <w:p w14:paraId="7A3FDC4C">
      <w:pPr>
        <w:rPr>
          <w:rFonts w:ascii="仿宋_GB2312" w:hAnsi="仿宋_GB2312" w:eastAsia="仿宋_GB2312" w:cs="仿宋_GB2312"/>
          <w:color w:val="FF0000"/>
          <w:sz w:val="36"/>
          <w:szCs w:val="36"/>
          <w:highlight w:val="none"/>
        </w:rPr>
      </w:pPr>
    </w:p>
    <w:p w14:paraId="5BBB2B74">
      <w:pPr>
        <w:rPr>
          <w:rFonts w:ascii="仿宋_GB2312" w:hAnsi="仿宋_GB2312" w:eastAsia="仿宋_GB2312" w:cs="仿宋_GB2312"/>
          <w:color w:val="FF0000"/>
          <w:sz w:val="36"/>
          <w:szCs w:val="36"/>
          <w:highlight w:val="none"/>
        </w:rPr>
      </w:pPr>
    </w:p>
    <w:p w14:paraId="7C3033FC">
      <w:pPr>
        <w:adjustRightInd w:val="0"/>
        <w:snapToGrid w:val="0"/>
        <w:jc w:val="center"/>
        <w:outlineLvl w:val="0"/>
        <w:rPr>
          <w:rFonts w:ascii="方正小标宋_GBK" w:eastAsia="方正小标宋_GBK"/>
          <w:bCs/>
          <w:color w:val="auto"/>
          <w:sz w:val="72"/>
          <w:szCs w:val="72"/>
          <w:highlight w:val="none"/>
        </w:rPr>
      </w:pPr>
      <w:bookmarkStart w:id="0" w:name="_Toc27175"/>
      <w:bookmarkStart w:id="1" w:name="_Toc27406"/>
      <w:r>
        <w:rPr>
          <w:rFonts w:hint="eastAsia" w:ascii="方正小标宋_GBK" w:eastAsia="方正小标宋_GBK"/>
          <w:bCs/>
          <w:color w:val="auto"/>
          <w:sz w:val="72"/>
          <w:szCs w:val="72"/>
          <w:highlight w:val="none"/>
        </w:rPr>
        <w:t>建设项目环境影响报告表</w:t>
      </w:r>
      <w:bookmarkEnd w:id="0"/>
      <w:bookmarkEnd w:id="1"/>
    </w:p>
    <w:p w14:paraId="6816DEC2">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2031B854">
      <w:pPr>
        <w:adjustRightInd w:val="0"/>
        <w:snapToGrid w:val="0"/>
        <w:spacing w:line="288" w:lineRule="auto"/>
        <w:jc w:val="center"/>
        <w:rPr>
          <w:rFonts w:ascii="华文仿宋" w:hAnsi="华文仿宋" w:eastAsia="华文仿宋" w:cs="华文仿宋"/>
          <w:color w:val="auto"/>
          <w:kern w:val="44"/>
          <w:sz w:val="44"/>
          <w:szCs w:val="44"/>
          <w:highlight w:val="none"/>
        </w:rPr>
      </w:pPr>
    </w:p>
    <w:p w14:paraId="7416B317">
      <w:pPr>
        <w:jc w:val="center"/>
        <w:rPr>
          <w:rFonts w:eastAsia="仿宋"/>
          <w:color w:val="auto"/>
          <w:sz w:val="52"/>
          <w:szCs w:val="52"/>
          <w:highlight w:val="none"/>
        </w:rPr>
      </w:pPr>
    </w:p>
    <w:p w14:paraId="3B8B29BF">
      <w:pPr>
        <w:ind w:firstLine="1040"/>
        <w:rPr>
          <w:rFonts w:eastAsia="仿宋"/>
          <w:color w:val="auto"/>
          <w:sz w:val="44"/>
          <w:szCs w:val="44"/>
          <w:highlight w:val="none"/>
        </w:rPr>
      </w:pPr>
    </w:p>
    <w:p w14:paraId="2A148B2F">
      <w:pPr>
        <w:ind w:firstLine="1040"/>
        <w:rPr>
          <w:rFonts w:eastAsia="仿宋"/>
          <w:color w:val="auto"/>
          <w:sz w:val="44"/>
          <w:szCs w:val="44"/>
          <w:highlight w:val="none"/>
        </w:rPr>
      </w:pPr>
    </w:p>
    <w:p w14:paraId="0652C7DA">
      <w:pPr>
        <w:ind w:firstLine="1040"/>
        <w:rPr>
          <w:rFonts w:eastAsia="仿宋"/>
          <w:color w:val="auto"/>
          <w:sz w:val="44"/>
          <w:szCs w:val="44"/>
          <w:highlight w:val="none"/>
        </w:rPr>
      </w:pPr>
    </w:p>
    <w:p w14:paraId="0C5DFC99">
      <w:pPr>
        <w:ind w:firstLine="1040"/>
        <w:rPr>
          <w:rFonts w:eastAsia="仿宋"/>
          <w:color w:val="auto"/>
          <w:sz w:val="44"/>
          <w:szCs w:val="44"/>
          <w:highlight w:val="none"/>
        </w:rPr>
      </w:pPr>
    </w:p>
    <w:p w14:paraId="1FF86C0C">
      <w:pPr>
        <w:adjustRightInd w:val="0"/>
        <w:snapToGrid w:val="0"/>
        <w:spacing w:line="288" w:lineRule="auto"/>
        <w:ind w:firstLine="1080" w:firstLineChars="300"/>
        <w:rPr>
          <w:rFonts w:eastAsia="仿宋_GB2312"/>
          <w:color w:val="auto"/>
          <w:sz w:val="36"/>
          <w:szCs w:val="36"/>
          <w:highlight w:val="none"/>
          <w:u w:val="single"/>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hint="eastAsia" w:ascii="仿宋_GB2312" w:eastAsia="仿宋_GB2312"/>
          <w:color w:val="auto"/>
          <w:sz w:val="36"/>
          <w:szCs w:val="36"/>
          <w:highlight w:val="none"/>
          <w:u w:val="single"/>
          <w:lang w:eastAsia="zh-CN"/>
        </w:rPr>
        <w:t>年产5万个碳烤炉扩建项目</w:t>
      </w:r>
      <w:r>
        <w:rPr>
          <w:rFonts w:eastAsia="仿宋_GB2312"/>
          <w:color w:val="auto"/>
          <w:sz w:val="36"/>
          <w:szCs w:val="36"/>
          <w:highlight w:val="none"/>
          <w:u w:val="single"/>
        </w:rPr>
        <w:t xml:space="preserve"> </w:t>
      </w:r>
      <w:r>
        <w:rPr>
          <w:rFonts w:hint="eastAsia" w:eastAsia="仿宋_GB2312"/>
          <w:color w:val="auto"/>
          <w:sz w:val="36"/>
          <w:szCs w:val="36"/>
          <w:highlight w:val="none"/>
          <w:u w:val="single"/>
          <w:lang w:val="en-US" w:eastAsia="zh-CN"/>
        </w:rPr>
        <w:t xml:space="preserve">   </w:t>
      </w:r>
      <w:r>
        <w:rPr>
          <w:rFonts w:eastAsia="仿宋_GB2312"/>
          <w:color w:val="auto"/>
          <w:sz w:val="36"/>
          <w:szCs w:val="36"/>
          <w:highlight w:val="none"/>
          <w:u w:val="single"/>
        </w:rPr>
        <w:t xml:space="preserve"> </w:t>
      </w:r>
    </w:p>
    <w:p w14:paraId="0B985FB4">
      <w:pPr>
        <w:adjustRightInd w:val="0"/>
        <w:snapToGrid w:val="0"/>
        <w:spacing w:line="288" w:lineRule="auto"/>
        <w:ind w:firstLine="1080" w:firstLineChars="300"/>
        <w:rPr>
          <w:rFonts w:eastAsia="仿宋_GB2312"/>
          <w:color w:val="auto"/>
          <w:sz w:val="36"/>
          <w:szCs w:val="36"/>
          <w:highlight w:val="none"/>
          <w:u w:val="single"/>
        </w:rPr>
      </w:pPr>
      <w:r>
        <w:rPr>
          <w:rFonts w:eastAsia="仿宋_GB2312"/>
          <w:color w:val="auto"/>
          <w:sz w:val="36"/>
          <w:szCs w:val="36"/>
          <w:highlight w:val="none"/>
        </w:rPr>
        <w:t>建设单位（盖章）：</w:t>
      </w:r>
      <w:bookmarkStart w:id="2" w:name="OLE_LINK5"/>
      <w:r>
        <w:rPr>
          <w:rFonts w:hint="eastAsia" w:eastAsia="仿宋_GB2312"/>
          <w:color w:val="auto"/>
          <w:sz w:val="36"/>
          <w:szCs w:val="36"/>
          <w:highlight w:val="none"/>
          <w:u w:val="single"/>
          <w:lang w:eastAsia="zh-CN"/>
        </w:rPr>
        <w:t>江苏裕强金属制造有限公司</w:t>
      </w:r>
      <w:bookmarkEnd w:id="2"/>
      <w:r>
        <w:rPr>
          <w:rFonts w:eastAsia="仿宋_GB2312"/>
          <w:color w:val="auto"/>
          <w:sz w:val="36"/>
          <w:szCs w:val="36"/>
          <w:highlight w:val="none"/>
          <w:u w:val="single"/>
        </w:rPr>
        <w:t xml:space="preserve"> </w:t>
      </w:r>
    </w:p>
    <w:p w14:paraId="0FE984B7">
      <w:pPr>
        <w:adjustRightInd w:val="0"/>
        <w:snapToGrid w:val="0"/>
        <w:spacing w:line="288" w:lineRule="auto"/>
        <w:ind w:firstLine="1080" w:firstLineChars="300"/>
        <w:rPr>
          <w:color w:val="auto"/>
          <w:sz w:val="36"/>
          <w:szCs w:val="36"/>
          <w:highlight w:val="none"/>
          <w:u w:val="single"/>
        </w:rPr>
      </w:pPr>
      <w:r>
        <w:rPr>
          <w:rFonts w:eastAsia="仿宋_GB2312"/>
          <w:color w:val="auto"/>
          <w:sz w:val="36"/>
          <w:szCs w:val="36"/>
          <w:highlight w:val="none"/>
        </w:rPr>
        <w:t>编制日期：</w:t>
      </w:r>
      <w:r>
        <w:rPr>
          <w:rFonts w:eastAsia="仿宋_GB2312"/>
          <w:color w:val="auto"/>
          <w:sz w:val="36"/>
          <w:szCs w:val="36"/>
          <w:highlight w:val="none"/>
          <w:u w:val="single"/>
        </w:rPr>
        <w:t xml:space="preserve">          202</w:t>
      </w:r>
      <w:r>
        <w:rPr>
          <w:rFonts w:hint="eastAsia" w:eastAsia="仿宋_GB2312"/>
          <w:color w:val="auto"/>
          <w:sz w:val="36"/>
          <w:szCs w:val="36"/>
          <w:highlight w:val="none"/>
          <w:u w:val="single"/>
          <w:lang w:val="en-US" w:eastAsia="zh-CN"/>
        </w:rPr>
        <w:t>5</w:t>
      </w:r>
      <w:r>
        <w:rPr>
          <w:rFonts w:eastAsia="仿宋_GB2312"/>
          <w:color w:val="auto"/>
          <w:sz w:val="36"/>
          <w:szCs w:val="36"/>
          <w:highlight w:val="none"/>
          <w:u w:val="single"/>
        </w:rPr>
        <w:t>年</w:t>
      </w:r>
      <w:r>
        <w:rPr>
          <w:rFonts w:hint="eastAsia" w:eastAsia="仿宋_GB2312"/>
          <w:color w:val="auto"/>
          <w:sz w:val="36"/>
          <w:szCs w:val="36"/>
          <w:highlight w:val="none"/>
          <w:u w:val="single"/>
          <w:lang w:val="en-US" w:eastAsia="zh-CN"/>
        </w:rPr>
        <w:t>6</w:t>
      </w:r>
      <w:r>
        <w:rPr>
          <w:rFonts w:eastAsia="仿宋_GB2312"/>
          <w:color w:val="auto"/>
          <w:sz w:val="36"/>
          <w:szCs w:val="36"/>
          <w:highlight w:val="none"/>
          <w:u w:val="single"/>
        </w:rPr>
        <w:t>月</w:t>
      </w:r>
      <w:r>
        <w:rPr>
          <w:rStyle w:val="39"/>
          <w:color w:val="auto"/>
          <w:kern w:val="0"/>
          <w:szCs w:val="20"/>
          <w:highlight w:val="none"/>
          <w:u w:val="single"/>
        </w:rPr>
        <w:t xml:space="preserve">      </w:t>
      </w:r>
      <w:r>
        <w:rPr>
          <w:rStyle w:val="39"/>
          <w:rFonts w:hint="eastAsia"/>
          <w:color w:val="auto"/>
          <w:kern w:val="0"/>
          <w:szCs w:val="20"/>
          <w:highlight w:val="none"/>
          <w:u w:val="single"/>
          <w:lang w:val="en-US" w:eastAsia="zh-CN"/>
        </w:rPr>
        <w:t xml:space="preserve">       </w:t>
      </w:r>
      <w:r>
        <w:rPr>
          <w:rStyle w:val="39"/>
          <w:color w:val="auto"/>
          <w:kern w:val="0"/>
          <w:szCs w:val="20"/>
          <w:highlight w:val="none"/>
          <w:u w:val="single"/>
        </w:rPr>
        <w:t xml:space="preserve">        </w:t>
      </w:r>
    </w:p>
    <w:p w14:paraId="01C7B75C">
      <w:pPr>
        <w:adjustRightInd w:val="0"/>
        <w:snapToGrid w:val="0"/>
        <w:spacing w:line="288" w:lineRule="auto"/>
        <w:ind w:firstLine="1040"/>
        <w:rPr>
          <w:rFonts w:ascii="仿宋_GB2312" w:eastAsia="仿宋_GB2312"/>
          <w:color w:val="auto"/>
          <w:sz w:val="36"/>
          <w:szCs w:val="36"/>
          <w:highlight w:val="none"/>
          <w:u w:val="single"/>
        </w:rPr>
      </w:pPr>
      <w:bookmarkStart w:id="3" w:name="_Hlk57884087"/>
    </w:p>
    <w:p w14:paraId="45C6E34E">
      <w:pPr>
        <w:adjustRightInd w:val="0"/>
        <w:snapToGrid w:val="0"/>
        <w:spacing w:line="288" w:lineRule="auto"/>
        <w:ind w:firstLine="1040"/>
        <w:rPr>
          <w:rFonts w:ascii="仿宋_GB2312" w:eastAsia="仿宋_GB2312"/>
          <w:color w:val="auto"/>
          <w:sz w:val="36"/>
          <w:szCs w:val="36"/>
          <w:highlight w:val="none"/>
        </w:rPr>
      </w:pPr>
    </w:p>
    <w:p w14:paraId="69DE2E62">
      <w:pPr>
        <w:adjustRightInd w:val="0"/>
        <w:snapToGrid w:val="0"/>
        <w:spacing w:line="288" w:lineRule="auto"/>
        <w:ind w:firstLine="1040"/>
        <w:rPr>
          <w:rFonts w:ascii="仿宋_GB2312" w:eastAsia="仿宋_GB2312"/>
          <w:color w:val="auto"/>
          <w:sz w:val="36"/>
          <w:szCs w:val="36"/>
          <w:highlight w:val="none"/>
        </w:rPr>
      </w:pPr>
    </w:p>
    <w:p w14:paraId="05B3FCC9">
      <w:pPr>
        <w:adjustRightInd w:val="0"/>
        <w:snapToGrid w:val="0"/>
        <w:spacing w:line="288" w:lineRule="auto"/>
        <w:ind w:firstLine="1040"/>
        <w:rPr>
          <w:rFonts w:ascii="仿宋_GB2312" w:eastAsia="仿宋_GB2312"/>
          <w:color w:val="auto"/>
          <w:sz w:val="36"/>
          <w:szCs w:val="36"/>
          <w:highlight w:val="none"/>
        </w:rPr>
      </w:pPr>
    </w:p>
    <w:p w14:paraId="4CCABC0A">
      <w:pPr>
        <w:adjustRightInd w:val="0"/>
        <w:snapToGrid w:val="0"/>
        <w:spacing w:line="288" w:lineRule="auto"/>
        <w:ind w:firstLine="1040"/>
        <w:rPr>
          <w:rFonts w:ascii="仿宋_GB2312" w:eastAsia="仿宋_GB2312"/>
          <w:color w:val="auto"/>
          <w:sz w:val="36"/>
          <w:szCs w:val="36"/>
          <w:highlight w:val="none"/>
        </w:rPr>
      </w:pPr>
    </w:p>
    <w:bookmarkEnd w:id="3"/>
    <w:p w14:paraId="30AE6E61">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0DB9E525">
      <w:pPr>
        <w:adjustRightInd w:val="0"/>
        <w:snapToGrid w:val="0"/>
        <w:spacing w:line="288" w:lineRule="auto"/>
        <w:jc w:val="center"/>
        <w:rPr>
          <w:rFonts w:ascii="楷体_GB2312" w:eastAsia="楷体_GB2312"/>
          <w:color w:val="auto"/>
          <w:sz w:val="36"/>
          <w:szCs w:val="36"/>
          <w:highlight w:val="none"/>
        </w:rPr>
      </w:pPr>
    </w:p>
    <w:p w14:paraId="70229F5C">
      <w:pPr>
        <w:adjustRightInd w:val="0"/>
        <w:snapToGrid w:val="0"/>
        <w:spacing w:line="288" w:lineRule="auto"/>
        <w:jc w:val="center"/>
        <w:rPr>
          <w:rFonts w:ascii="楷体_GB2312" w:eastAsia="楷体_GB2312"/>
          <w:color w:val="FF0000"/>
          <w:sz w:val="36"/>
          <w:szCs w:val="36"/>
          <w:highlight w:val="none"/>
        </w:rPr>
      </w:pPr>
    </w:p>
    <w:p w14:paraId="7CB4FB8C">
      <w:pPr>
        <w:adjustRightInd w:val="0"/>
        <w:snapToGrid w:val="0"/>
        <w:spacing w:line="288" w:lineRule="auto"/>
        <w:ind w:firstLine="1040"/>
        <w:rPr>
          <w:rFonts w:ascii="仿宋_GB2312" w:eastAsia="仿宋_GB2312"/>
          <w:color w:val="FF0000"/>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98B4B9B">
      <w:pPr>
        <w:rPr>
          <w:b/>
          <w:color w:val="FF0000"/>
          <w:highlight w:val="none"/>
        </w:rPr>
      </w:pPr>
    </w:p>
    <w:p w14:paraId="68F0A635">
      <w:pPr>
        <w:spacing w:line="360" w:lineRule="auto"/>
        <w:jc w:val="center"/>
        <w:rPr>
          <w:color w:val="auto"/>
          <w:sz w:val="24"/>
          <w:highlight w:val="none"/>
        </w:rPr>
      </w:pPr>
      <w:r>
        <w:rPr>
          <w:color w:val="auto"/>
          <w:sz w:val="24"/>
          <w:highlight w:val="none"/>
        </w:rPr>
        <w:t>目录</w:t>
      </w:r>
    </w:p>
    <w:p w14:paraId="5EABC0AB">
      <w:pPr>
        <w:pStyle w:val="98"/>
        <w:tabs>
          <w:tab w:val="right" w:leader="dot" w:pos="8844"/>
        </w:tabs>
        <w:spacing w:line="360" w:lineRule="auto"/>
        <w:rPr>
          <w:color w:val="auto"/>
          <w:sz w:val="24"/>
          <w:szCs w:val="24"/>
          <w:highlight w:val="none"/>
        </w:rPr>
      </w:pPr>
      <w:r>
        <w:rPr>
          <w:snapToGrid w:val="0"/>
          <w:color w:val="auto"/>
          <w:sz w:val="24"/>
          <w:szCs w:val="24"/>
          <w:highlight w:val="none"/>
        </w:rPr>
        <w:fldChar w:fldCharType="begin"/>
      </w:r>
      <w:r>
        <w:rPr>
          <w:snapToGrid w:val="0"/>
          <w:color w:val="auto"/>
          <w:sz w:val="24"/>
          <w:szCs w:val="24"/>
          <w:highlight w:val="none"/>
        </w:rPr>
        <w:instrText xml:space="preserve">TOC \o "1-2" \h \u </w:instrText>
      </w:r>
      <w:r>
        <w:rPr>
          <w:snapToGrid w:val="0"/>
          <w:color w:val="auto"/>
          <w:sz w:val="24"/>
          <w:szCs w:val="24"/>
          <w:highlight w:val="none"/>
        </w:rPr>
        <w:fldChar w:fldCharType="separate"/>
      </w:r>
      <w:r>
        <w:rPr>
          <w:color w:val="auto"/>
          <w:highlight w:val="none"/>
        </w:rPr>
        <w:fldChar w:fldCharType="begin"/>
      </w:r>
      <w:r>
        <w:rPr>
          <w:color w:val="auto"/>
          <w:highlight w:val="none"/>
        </w:rPr>
        <w:instrText xml:space="preserve"> HYPERLINK \l "_Toc15429" </w:instrText>
      </w:r>
      <w:r>
        <w:rPr>
          <w:color w:val="auto"/>
          <w:highlight w:val="none"/>
        </w:rPr>
        <w:fldChar w:fldCharType="separate"/>
      </w:r>
      <w:r>
        <w:rPr>
          <w:snapToGrid w:val="0"/>
          <w:color w:val="auto"/>
          <w:sz w:val="24"/>
          <w:szCs w:val="24"/>
          <w:highlight w:val="none"/>
        </w:rPr>
        <w:t>一、建设项目基本情况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_Toc15429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14:paraId="156DAA93">
      <w:pPr>
        <w:pStyle w:val="98"/>
        <w:tabs>
          <w:tab w:val="right" w:leader="dot" w:pos="8844"/>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"_Toc20960" </w:instrText>
      </w:r>
      <w:r>
        <w:rPr>
          <w:color w:val="auto"/>
          <w:highlight w:val="none"/>
        </w:rPr>
        <w:fldChar w:fldCharType="separate"/>
      </w:r>
      <w:r>
        <w:rPr>
          <w:snapToGrid w:val="0"/>
          <w:color w:val="auto"/>
          <w:sz w:val="24"/>
          <w:szCs w:val="24"/>
          <w:highlight w:val="none"/>
        </w:rPr>
        <w:t>二、建设项目工程分析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_Toc20960 \h </w:instrText>
      </w:r>
      <w:r>
        <w:rPr>
          <w:color w:val="auto"/>
          <w:sz w:val="24"/>
          <w:szCs w:val="24"/>
          <w:highlight w:val="none"/>
        </w:rPr>
        <w:fldChar w:fldCharType="separate"/>
      </w:r>
      <w:r>
        <w:rPr>
          <w:color w:val="auto"/>
          <w:sz w:val="24"/>
          <w:szCs w:val="24"/>
          <w:highlight w:val="none"/>
        </w:rPr>
        <w:t>15</w:t>
      </w:r>
      <w:r>
        <w:rPr>
          <w:color w:val="auto"/>
          <w:sz w:val="24"/>
          <w:szCs w:val="24"/>
          <w:highlight w:val="none"/>
        </w:rPr>
        <w:fldChar w:fldCharType="end"/>
      </w:r>
      <w:r>
        <w:rPr>
          <w:color w:val="auto"/>
          <w:sz w:val="24"/>
          <w:szCs w:val="24"/>
          <w:highlight w:val="none"/>
        </w:rPr>
        <w:fldChar w:fldCharType="end"/>
      </w:r>
    </w:p>
    <w:p w14:paraId="04FFE1C2">
      <w:pPr>
        <w:pStyle w:val="98"/>
        <w:tabs>
          <w:tab w:val="right" w:leader="dot" w:pos="8844"/>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"_Toc14364" </w:instrText>
      </w:r>
      <w:r>
        <w:rPr>
          <w:color w:val="auto"/>
          <w:highlight w:val="none"/>
        </w:rPr>
        <w:fldChar w:fldCharType="separate"/>
      </w:r>
      <w:r>
        <w:rPr>
          <w:snapToGrid w:val="0"/>
          <w:color w:val="auto"/>
          <w:sz w:val="24"/>
          <w:szCs w:val="24"/>
          <w:highlight w:val="none"/>
        </w:rPr>
        <w:t>三、区域环境质量现状、环境保护目标及评价标准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_Toc14364 \h </w:instrText>
      </w:r>
      <w:r>
        <w:rPr>
          <w:color w:val="auto"/>
          <w:sz w:val="24"/>
          <w:szCs w:val="24"/>
          <w:highlight w:val="none"/>
        </w:rPr>
        <w:fldChar w:fldCharType="separate"/>
      </w:r>
      <w:r>
        <w:rPr>
          <w:color w:val="auto"/>
          <w:sz w:val="24"/>
          <w:szCs w:val="24"/>
          <w:highlight w:val="none"/>
        </w:rPr>
        <w:t>42</w:t>
      </w:r>
      <w:r>
        <w:rPr>
          <w:color w:val="auto"/>
          <w:sz w:val="24"/>
          <w:szCs w:val="24"/>
          <w:highlight w:val="none"/>
        </w:rPr>
        <w:fldChar w:fldCharType="end"/>
      </w:r>
      <w:r>
        <w:rPr>
          <w:color w:val="auto"/>
          <w:sz w:val="24"/>
          <w:szCs w:val="24"/>
          <w:highlight w:val="none"/>
        </w:rPr>
        <w:fldChar w:fldCharType="end"/>
      </w:r>
    </w:p>
    <w:p w14:paraId="55F47474">
      <w:pPr>
        <w:pStyle w:val="98"/>
        <w:tabs>
          <w:tab w:val="right" w:leader="dot" w:pos="8844"/>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"_Toc28527" </w:instrText>
      </w:r>
      <w:r>
        <w:rPr>
          <w:color w:val="auto"/>
          <w:highlight w:val="none"/>
        </w:rPr>
        <w:fldChar w:fldCharType="separate"/>
      </w:r>
      <w:r>
        <w:rPr>
          <w:snapToGrid w:val="0"/>
          <w:color w:val="auto"/>
          <w:sz w:val="24"/>
          <w:szCs w:val="24"/>
          <w:highlight w:val="none"/>
        </w:rPr>
        <w:t>四、主要环境影响和保护措施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_Toc28527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color w:val="auto"/>
          <w:sz w:val="24"/>
          <w:szCs w:val="24"/>
          <w:highlight w:val="none"/>
        </w:rPr>
        <w:fldChar w:fldCharType="end"/>
      </w:r>
    </w:p>
    <w:p w14:paraId="32E21C74">
      <w:pPr>
        <w:pStyle w:val="98"/>
        <w:tabs>
          <w:tab w:val="right" w:leader="dot" w:pos="8844"/>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"_Toc11733" </w:instrText>
      </w:r>
      <w:r>
        <w:rPr>
          <w:color w:val="auto"/>
          <w:highlight w:val="none"/>
        </w:rPr>
        <w:fldChar w:fldCharType="separate"/>
      </w:r>
      <w:r>
        <w:rPr>
          <w:snapToGrid w:val="0"/>
          <w:color w:val="auto"/>
          <w:sz w:val="24"/>
          <w:szCs w:val="24"/>
          <w:highlight w:val="none"/>
        </w:rPr>
        <w:t>五、环境保护措施监督检查清单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_Toc11733 \h </w:instrText>
      </w:r>
      <w:r>
        <w:rPr>
          <w:color w:val="auto"/>
          <w:sz w:val="24"/>
          <w:szCs w:val="24"/>
          <w:highlight w:val="none"/>
        </w:rPr>
        <w:fldChar w:fldCharType="separate"/>
      </w:r>
      <w:r>
        <w:rPr>
          <w:color w:val="auto"/>
          <w:sz w:val="24"/>
          <w:szCs w:val="24"/>
          <w:highlight w:val="none"/>
        </w:rPr>
        <w:t>97</w:t>
      </w:r>
      <w:r>
        <w:rPr>
          <w:color w:val="auto"/>
          <w:sz w:val="24"/>
          <w:szCs w:val="24"/>
          <w:highlight w:val="none"/>
        </w:rPr>
        <w:fldChar w:fldCharType="end"/>
      </w:r>
      <w:r>
        <w:rPr>
          <w:color w:val="auto"/>
          <w:sz w:val="24"/>
          <w:szCs w:val="24"/>
          <w:highlight w:val="none"/>
        </w:rPr>
        <w:fldChar w:fldCharType="end"/>
      </w:r>
    </w:p>
    <w:p w14:paraId="609D7176">
      <w:pPr>
        <w:pStyle w:val="98"/>
        <w:tabs>
          <w:tab w:val="right" w:leader="dot" w:pos="8844"/>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"_Toc7735" </w:instrText>
      </w:r>
      <w:r>
        <w:rPr>
          <w:color w:val="auto"/>
          <w:highlight w:val="none"/>
        </w:rPr>
        <w:fldChar w:fldCharType="separate"/>
      </w:r>
      <w:r>
        <w:rPr>
          <w:snapToGrid w:val="0"/>
          <w:color w:val="auto"/>
          <w:sz w:val="24"/>
          <w:szCs w:val="24"/>
          <w:highlight w:val="none"/>
        </w:rPr>
        <w:t>六、结论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_Toc7735 \h </w:instrText>
      </w:r>
      <w:r>
        <w:rPr>
          <w:color w:val="auto"/>
          <w:sz w:val="24"/>
          <w:szCs w:val="24"/>
          <w:highlight w:val="none"/>
        </w:rPr>
        <w:fldChar w:fldCharType="separate"/>
      </w:r>
      <w:r>
        <w:rPr>
          <w:color w:val="auto"/>
          <w:sz w:val="24"/>
          <w:szCs w:val="24"/>
          <w:highlight w:val="none"/>
        </w:rPr>
        <w:t>99</w:t>
      </w:r>
      <w:r>
        <w:rPr>
          <w:color w:val="auto"/>
          <w:sz w:val="24"/>
          <w:szCs w:val="24"/>
          <w:highlight w:val="none"/>
        </w:rPr>
        <w:fldChar w:fldCharType="end"/>
      </w:r>
      <w:r>
        <w:rPr>
          <w:color w:val="auto"/>
          <w:sz w:val="24"/>
          <w:szCs w:val="24"/>
          <w:highlight w:val="none"/>
        </w:rPr>
        <w:fldChar w:fldCharType="end"/>
      </w:r>
    </w:p>
    <w:p w14:paraId="35FA46F3">
      <w:pPr>
        <w:pStyle w:val="98"/>
        <w:tabs>
          <w:tab w:val="right" w:leader="dot" w:pos="8844"/>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"_Toc65" </w:instrText>
      </w:r>
      <w:r>
        <w:rPr>
          <w:color w:val="auto"/>
          <w:highlight w:val="none"/>
        </w:rPr>
        <w:fldChar w:fldCharType="separate"/>
      </w:r>
      <w:r>
        <w:rPr>
          <w:snapToGrid w:val="0"/>
          <w:color w:val="auto"/>
          <w:sz w:val="24"/>
          <w:szCs w:val="24"/>
          <w:highlight w:val="none"/>
        </w:rPr>
        <w:t>附表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_Toc65 \h </w:instrText>
      </w:r>
      <w:r>
        <w:rPr>
          <w:color w:val="auto"/>
          <w:sz w:val="24"/>
          <w:szCs w:val="24"/>
          <w:highlight w:val="none"/>
        </w:rPr>
        <w:fldChar w:fldCharType="separate"/>
      </w:r>
      <w:r>
        <w:rPr>
          <w:color w:val="auto"/>
          <w:sz w:val="24"/>
          <w:szCs w:val="24"/>
          <w:highlight w:val="none"/>
        </w:rPr>
        <w:t>100</w:t>
      </w:r>
      <w:r>
        <w:rPr>
          <w:color w:val="auto"/>
          <w:sz w:val="24"/>
          <w:szCs w:val="24"/>
          <w:highlight w:val="none"/>
        </w:rPr>
        <w:fldChar w:fldCharType="end"/>
      </w:r>
      <w:r>
        <w:rPr>
          <w:color w:val="auto"/>
          <w:sz w:val="24"/>
          <w:szCs w:val="24"/>
          <w:highlight w:val="none"/>
        </w:rPr>
        <w:fldChar w:fldCharType="end"/>
      </w:r>
    </w:p>
    <w:p w14:paraId="7CC544C6">
      <w:pPr>
        <w:spacing w:line="360" w:lineRule="auto"/>
        <w:outlineLvl w:val="0"/>
        <w:rPr>
          <w:color w:val="auto"/>
          <w:szCs w:val="21"/>
          <w:highlight w:val="none"/>
        </w:rPr>
      </w:pPr>
      <w:r>
        <w:rPr>
          <w:snapToGrid w:val="0"/>
          <w:color w:val="auto"/>
          <w:sz w:val="24"/>
          <w:highlight w:val="none"/>
        </w:rPr>
        <w:fldChar w:fldCharType="end"/>
      </w:r>
      <w:bookmarkStart w:id="4" w:name="_Toc16542"/>
      <w:bookmarkStart w:id="5" w:name="_Toc23562"/>
      <w:r>
        <w:rPr>
          <w:rFonts w:hint="eastAsia"/>
          <w:color w:val="auto"/>
          <w:szCs w:val="21"/>
          <w:highlight w:val="none"/>
        </w:rPr>
        <w:t>附件：</w:t>
      </w:r>
      <w:bookmarkEnd w:id="4"/>
    </w:p>
    <w:p w14:paraId="7642BB15">
      <w:pPr>
        <w:pStyle w:val="10"/>
        <w:shd w:val="clear" w:color="auto" w:fill="auto"/>
        <w:spacing w:line="240" w:lineRule="auto"/>
        <w:ind w:left="420" w:leftChars="200" w:rightChars="54"/>
        <w:outlineLvl w:val="0"/>
        <w:rPr>
          <w:rFonts w:hint="eastAsia"/>
          <w:color w:val="auto"/>
          <w:sz w:val="21"/>
          <w:szCs w:val="21"/>
          <w:highlight w:val="none"/>
        </w:rPr>
      </w:pPr>
      <w:r>
        <w:rPr>
          <w:rFonts w:hint="eastAsia"/>
          <w:color w:val="auto"/>
          <w:sz w:val="21"/>
          <w:szCs w:val="21"/>
          <w:highlight w:val="none"/>
        </w:rPr>
        <w:t>附件1备案证</w:t>
      </w:r>
    </w:p>
    <w:p w14:paraId="5F4856D6">
      <w:pPr>
        <w:pStyle w:val="10"/>
        <w:shd w:val="clear" w:color="auto" w:fill="auto"/>
        <w:spacing w:line="240" w:lineRule="auto"/>
        <w:ind w:left="420" w:leftChars="200" w:rightChars="54"/>
        <w:outlineLvl w:val="0"/>
        <w:rPr>
          <w:rFonts w:hint="eastAsia"/>
          <w:color w:val="auto"/>
          <w:sz w:val="21"/>
          <w:szCs w:val="21"/>
          <w:highlight w:val="none"/>
        </w:rPr>
      </w:pPr>
      <w:r>
        <w:rPr>
          <w:rFonts w:hint="eastAsia"/>
          <w:color w:val="auto"/>
          <w:sz w:val="21"/>
          <w:szCs w:val="21"/>
          <w:highlight w:val="none"/>
        </w:rPr>
        <w:t>附件2委托书</w:t>
      </w:r>
    </w:p>
    <w:p w14:paraId="7AB30F96">
      <w:pPr>
        <w:pStyle w:val="10"/>
        <w:shd w:val="clear" w:color="auto" w:fill="auto"/>
        <w:spacing w:line="240" w:lineRule="auto"/>
        <w:ind w:left="420" w:leftChars="200" w:rightChars="54"/>
        <w:outlineLvl w:val="0"/>
        <w:rPr>
          <w:rFonts w:hint="eastAsia"/>
          <w:color w:val="auto"/>
          <w:sz w:val="21"/>
          <w:szCs w:val="21"/>
          <w:highlight w:val="none"/>
        </w:rPr>
      </w:pPr>
      <w:r>
        <w:rPr>
          <w:rFonts w:hint="eastAsia"/>
          <w:color w:val="auto"/>
          <w:sz w:val="21"/>
          <w:szCs w:val="21"/>
          <w:highlight w:val="none"/>
        </w:rPr>
        <w:t>附件3环评合同</w:t>
      </w:r>
    </w:p>
    <w:p w14:paraId="0890E34B">
      <w:pPr>
        <w:pStyle w:val="10"/>
        <w:shd w:val="clear" w:color="auto" w:fill="auto"/>
        <w:spacing w:line="240" w:lineRule="auto"/>
        <w:ind w:left="420" w:leftChars="200" w:rightChars="54"/>
        <w:outlineLvl w:val="0"/>
        <w:rPr>
          <w:rFonts w:hint="eastAsia"/>
          <w:color w:val="auto"/>
          <w:sz w:val="21"/>
          <w:szCs w:val="21"/>
          <w:highlight w:val="none"/>
        </w:rPr>
      </w:pPr>
      <w:r>
        <w:rPr>
          <w:rFonts w:hint="eastAsia"/>
          <w:color w:val="auto"/>
          <w:sz w:val="21"/>
          <w:szCs w:val="21"/>
          <w:highlight w:val="none"/>
        </w:rPr>
        <w:t>附件4宿迁市环保领域信用承诺书</w:t>
      </w:r>
    </w:p>
    <w:p w14:paraId="495D7976">
      <w:pPr>
        <w:pStyle w:val="10"/>
        <w:shd w:val="clear" w:color="auto" w:fill="auto"/>
        <w:spacing w:line="240" w:lineRule="auto"/>
        <w:ind w:left="420" w:leftChars="200" w:rightChars="54"/>
        <w:outlineLvl w:val="0"/>
        <w:rPr>
          <w:rFonts w:hint="eastAsia"/>
          <w:color w:val="auto"/>
          <w:sz w:val="21"/>
          <w:szCs w:val="21"/>
          <w:highlight w:val="none"/>
        </w:rPr>
      </w:pPr>
      <w:r>
        <w:rPr>
          <w:rFonts w:hint="eastAsia"/>
          <w:color w:val="auto"/>
          <w:sz w:val="21"/>
          <w:szCs w:val="21"/>
          <w:highlight w:val="none"/>
        </w:rPr>
        <w:t>附件5危废承诺书</w:t>
      </w:r>
    </w:p>
    <w:p w14:paraId="056B216C">
      <w:pPr>
        <w:pStyle w:val="10"/>
        <w:shd w:val="clear" w:color="auto" w:fill="auto"/>
        <w:spacing w:line="240" w:lineRule="auto"/>
        <w:ind w:left="420" w:leftChars="200" w:rightChars="54"/>
        <w:outlineLvl w:val="0"/>
        <w:rPr>
          <w:rFonts w:hint="eastAsia"/>
          <w:color w:val="auto"/>
          <w:sz w:val="21"/>
          <w:szCs w:val="21"/>
          <w:highlight w:val="none"/>
        </w:rPr>
      </w:pPr>
      <w:r>
        <w:rPr>
          <w:rFonts w:hint="eastAsia"/>
          <w:color w:val="auto"/>
          <w:sz w:val="21"/>
          <w:szCs w:val="21"/>
          <w:highlight w:val="none"/>
        </w:rPr>
        <w:t>附件6企业承诺书</w:t>
      </w:r>
    </w:p>
    <w:p w14:paraId="08B061E1">
      <w:pPr>
        <w:pStyle w:val="10"/>
        <w:shd w:val="clear" w:color="auto" w:fill="auto"/>
        <w:spacing w:line="240" w:lineRule="auto"/>
        <w:ind w:left="420" w:leftChars="200" w:rightChars="54"/>
        <w:outlineLvl w:val="0"/>
        <w:rPr>
          <w:rFonts w:hint="eastAsia" w:eastAsia="宋体"/>
          <w:color w:val="auto"/>
          <w:sz w:val="21"/>
          <w:szCs w:val="21"/>
          <w:highlight w:val="none"/>
          <w:lang w:eastAsia="zh-CN"/>
        </w:rPr>
      </w:pPr>
      <w:r>
        <w:rPr>
          <w:rFonts w:hint="eastAsia"/>
          <w:color w:val="auto"/>
          <w:sz w:val="21"/>
          <w:szCs w:val="21"/>
          <w:highlight w:val="none"/>
        </w:rPr>
        <w:t>附件7</w:t>
      </w:r>
      <w:r>
        <w:rPr>
          <w:rFonts w:hint="eastAsia"/>
          <w:color w:val="auto"/>
          <w:sz w:val="21"/>
          <w:szCs w:val="21"/>
          <w:highlight w:val="none"/>
          <w:lang w:val="en-US" w:eastAsia="zh-CN"/>
        </w:rPr>
        <w:t>土地证</w:t>
      </w:r>
    </w:p>
    <w:p w14:paraId="470B3F03">
      <w:pPr>
        <w:pStyle w:val="10"/>
        <w:shd w:val="clear" w:color="auto" w:fill="auto"/>
        <w:spacing w:line="240" w:lineRule="auto"/>
        <w:ind w:left="420" w:leftChars="200" w:rightChars="54"/>
        <w:outlineLvl w:val="0"/>
        <w:rPr>
          <w:rFonts w:hint="eastAsia"/>
          <w:color w:val="auto"/>
          <w:sz w:val="21"/>
          <w:szCs w:val="21"/>
          <w:highlight w:val="none"/>
          <w:lang w:val="en-US" w:eastAsia="zh-CN"/>
        </w:rPr>
      </w:pPr>
      <w:r>
        <w:rPr>
          <w:rFonts w:hint="eastAsia"/>
          <w:color w:val="auto"/>
          <w:sz w:val="21"/>
          <w:szCs w:val="21"/>
          <w:highlight w:val="none"/>
        </w:rPr>
        <w:t>附件8</w:t>
      </w:r>
      <w:r>
        <w:rPr>
          <w:rFonts w:hint="eastAsia"/>
          <w:color w:val="auto"/>
          <w:sz w:val="21"/>
          <w:szCs w:val="21"/>
          <w:highlight w:val="none"/>
          <w:lang w:val="en-US" w:eastAsia="zh-CN"/>
        </w:rPr>
        <w:t>营业执照</w:t>
      </w:r>
    </w:p>
    <w:p w14:paraId="0580FE71">
      <w:pPr>
        <w:pStyle w:val="10"/>
        <w:shd w:val="clear" w:color="auto" w:fill="auto"/>
        <w:spacing w:line="240" w:lineRule="auto"/>
        <w:ind w:left="420" w:leftChars="200" w:rightChars="54"/>
        <w:outlineLvl w:val="0"/>
        <w:rPr>
          <w:rFonts w:hint="eastAsia" w:eastAsia="宋体"/>
          <w:color w:val="auto"/>
          <w:sz w:val="21"/>
          <w:szCs w:val="21"/>
          <w:highlight w:val="none"/>
          <w:lang w:eastAsia="zh-CN"/>
        </w:rPr>
      </w:pPr>
      <w:r>
        <w:rPr>
          <w:rFonts w:hint="eastAsia"/>
          <w:color w:val="auto"/>
          <w:sz w:val="21"/>
          <w:szCs w:val="21"/>
          <w:highlight w:val="none"/>
          <w:lang w:val="en-US" w:eastAsia="zh-CN"/>
        </w:rPr>
        <w:t>附件9法人身份证</w:t>
      </w:r>
    </w:p>
    <w:p w14:paraId="12907EE1">
      <w:pPr>
        <w:pStyle w:val="10"/>
        <w:shd w:val="clear" w:color="auto" w:fill="auto"/>
        <w:spacing w:line="240" w:lineRule="auto"/>
        <w:ind w:left="420" w:leftChars="200" w:rightChars="54"/>
        <w:outlineLvl w:val="0"/>
        <w:rPr>
          <w:rFonts w:hint="eastAsia"/>
          <w:color w:val="auto"/>
          <w:sz w:val="21"/>
          <w:szCs w:val="21"/>
          <w:highlight w:val="none"/>
        </w:rPr>
      </w:pPr>
      <w:r>
        <w:rPr>
          <w:rFonts w:hint="eastAsia"/>
          <w:color w:val="auto"/>
          <w:sz w:val="21"/>
          <w:szCs w:val="21"/>
          <w:highlight w:val="none"/>
        </w:rPr>
        <w:t>附件</w:t>
      </w:r>
      <w:r>
        <w:rPr>
          <w:rFonts w:hint="eastAsia"/>
          <w:color w:val="auto"/>
          <w:sz w:val="21"/>
          <w:szCs w:val="21"/>
          <w:highlight w:val="none"/>
          <w:lang w:val="en-US" w:eastAsia="zh-CN"/>
        </w:rPr>
        <w:t>10</w:t>
      </w:r>
      <w:r>
        <w:rPr>
          <w:rFonts w:hint="eastAsia"/>
          <w:color w:val="auto"/>
          <w:sz w:val="21"/>
          <w:szCs w:val="21"/>
          <w:highlight w:val="none"/>
        </w:rPr>
        <w:t>现场踏勘记录表</w:t>
      </w:r>
    </w:p>
    <w:p w14:paraId="3E36507C">
      <w:pPr>
        <w:pStyle w:val="10"/>
        <w:shd w:val="clear" w:color="auto" w:fill="auto"/>
        <w:spacing w:line="240" w:lineRule="auto"/>
        <w:ind w:left="420" w:leftChars="200" w:rightChars="54"/>
        <w:outlineLvl w:val="0"/>
        <w:rPr>
          <w:rFonts w:hint="default"/>
          <w:color w:val="auto"/>
          <w:sz w:val="21"/>
          <w:szCs w:val="21"/>
          <w:highlight w:val="none"/>
          <w:lang w:val="en-US"/>
        </w:rPr>
      </w:pPr>
      <w:r>
        <w:rPr>
          <w:rFonts w:hint="eastAsia"/>
          <w:color w:val="auto"/>
          <w:sz w:val="21"/>
          <w:szCs w:val="21"/>
          <w:highlight w:val="none"/>
        </w:rPr>
        <w:t>附件</w:t>
      </w:r>
      <w:r>
        <w:rPr>
          <w:rFonts w:hint="eastAsia"/>
          <w:color w:val="auto"/>
          <w:sz w:val="21"/>
          <w:szCs w:val="21"/>
          <w:highlight w:val="none"/>
          <w:lang w:val="en-US" w:eastAsia="zh-CN"/>
        </w:rPr>
        <w:t>11现有项目排污许可证</w:t>
      </w:r>
    </w:p>
    <w:p w14:paraId="4257E34D">
      <w:pPr>
        <w:pStyle w:val="10"/>
        <w:shd w:val="clear" w:color="auto" w:fill="auto"/>
        <w:spacing w:line="240" w:lineRule="auto"/>
        <w:ind w:left="420" w:leftChars="200" w:rightChars="54"/>
        <w:outlineLvl w:val="0"/>
        <w:rPr>
          <w:rFonts w:hint="eastAsia"/>
          <w:color w:val="auto"/>
          <w:sz w:val="21"/>
          <w:szCs w:val="21"/>
          <w:highlight w:val="none"/>
          <w:lang w:val="en-US" w:eastAsia="zh-CN"/>
        </w:rPr>
      </w:pPr>
      <w:r>
        <w:rPr>
          <w:rFonts w:hint="eastAsia"/>
          <w:color w:val="auto"/>
          <w:sz w:val="21"/>
          <w:szCs w:val="21"/>
          <w:highlight w:val="none"/>
          <w:lang w:val="en-US" w:eastAsia="zh-CN"/>
        </w:rPr>
        <w:t>附件12现有项目自行监测报告</w:t>
      </w:r>
    </w:p>
    <w:p w14:paraId="7EE62A4B">
      <w:pPr>
        <w:pStyle w:val="10"/>
        <w:shd w:val="clear" w:color="auto" w:fill="auto"/>
        <w:spacing w:line="240" w:lineRule="auto"/>
        <w:ind w:left="420" w:leftChars="200" w:rightChars="54"/>
        <w:outlineLvl w:val="0"/>
        <w:rPr>
          <w:rFonts w:hint="default"/>
          <w:color w:val="auto"/>
          <w:sz w:val="21"/>
          <w:szCs w:val="21"/>
          <w:highlight w:val="none"/>
          <w:lang w:val="en-US" w:eastAsia="zh-CN"/>
        </w:rPr>
      </w:pPr>
      <w:r>
        <w:rPr>
          <w:rFonts w:hint="eastAsia"/>
          <w:color w:val="auto"/>
          <w:sz w:val="21"/>
          <w:szCs w:val="21"/>
          <w:highlight w:val="none"/>
          <w:lang w:val="en-US" w:eastAsia="zh-CN"/>
        </w:rPr>
        <w:t>附件13现状检测报告</w:t>
      </w:r>
    </w:p>
    <w:p w14:paraId="354ED010">
      <w:pPr>
        <w:pStyle w:val="10"/>
        <w:shd w:val="clear" w:color="auto" w:fill="auto"/>
        <w:spacing w:line="240" w:lineRule="auto"/>
        <w:ind w:left="420" w:leftChars="200" w:rightChars="54"/>
        <w:outlineLvl w:val="0"/>
        <w:rPr>
          <w:rFonts w:hint="default"/>
          <w:color w:val="auto"/>
          <w:sz w:val="21"/>
          <w:szCs w:val="21"/>
          <w:highlight w:val="none"/>
          <w:lang w:val="en-US" w:eastAsia="zh-CN"/>
        </w:rPr>
      </w:pPr>
      <w:r>
        <w:rPr>
          <w:rFonts w:hint="eastAsia"/>
          <w:color w:val="auto"/>
          <w:sz w:val="21"/>
          <w:szCs w:val="21"/>
          <w:highlight w:val="none"/>
          <w:lang w:val="en-US" w:eastAsia="zh-CN"/>
        </w:rPr>
        <w:t>附件14江苏省生态环境分区管控综合查询报告书</w:t>
      </w:r>
    </w:p>
    <w:p w14:paraId="4EC4E8BB">
      <w:pPr>
        <w:pStyle w:val="10"/>
        <w:shd w:val="clear" w:color="auto" w:fill="auto"/>
        <w:spacing w:line="240" w:lineRule="auto"/>
        <w:ind w:left="420" w:leftChars="200" w:rightChars="54"/>
        <w:outlineLvl w:val="0"/>
        <w:rPr>
          <w:rFonts w:hint="default"/>
          <w:color w:val="auto"/>
          <w:sz w:val="21"/>
          <w:szCs w:val="21"/>
          <w:highlight w:val="none"/>
          <w:lang w:val="en-US" w:eastAsia="zh-CN"/>
        </w:rPr>
      </w:pPr>
      <w:r>
        <w:rPr>
          <w:rFonts w:hint="eastAsia"/>
          <w:color w:val="auto"/>
          <w:sz w:val="21"/>
          <w:szCs w:val="21"/>
          <w:highlight w:val="none"/>
          <w:lang w:val="en-US" w:eastAsia="zh-CN"/>
        </w:rPr>
        <w:t>附件15用地说明</w:t>
      </w:r>
    </w:p>
    <w:p w14:paraId="7B0AC4AA">
      <w:pPr>
        <w:pStyle w:val="10"/>
        <w:shd w:val="clear" w:color="auto" w:fill="auto"/>
        <w:spacing w:line="240" w:lineRule="auto"/>
        <w:ind w:left="420" w:leftChars="200" w:rightChars="54"/>
        <w:outlineLvl w:val="0"/>
        <w:rPr>
          <w:rFonts w:hint="default"/>
          <w:color w:val="auto"/>
          <w:sz w:val="21"/>
          <w:szCs w:val="21"/>
          <w:highlight w:val="none"/>
          <w:lang w:val="en-US" w:eastAsia="zh-CN"/>
        </w:rPr>
      </w:pPr>
      <w:r>
        <w:rPr>
          <w:rFonts w:hint="eastAsia"/>
          <w:color w:val="auto"/>
          <w:sz w:val="21"/>
          <w:szCs w:val="21"/>
          <w:highlight w:val="none"/>
          <w:lang w:val="en-US" w:eastAsia="zh-CN"/>
        </w:rPr>
        <w:t>附件16现有项目环评批复及验收意见</w:t>
      </w:r>
    </w:p>
    <w:p w14:paraId="0D177B49">
      <w:pPr>
        <w:pStyle w:val="10"/>
        <w:shd w:val="clear" w:color="auto" w:fill="auto"/>
        <w:spacing w:line="240" w:lineRule="auto"/>
        <w:ind w:left="420" w:leftChars="200" w:rightChars="54"/>
        <w:outlineLvl w:val="0"/>
        <w:rPr>
          <w:rFonts w:hint="default"/>
          <w:color w:val="auto"/>
          <w:sz w:val="21"/>
          <w:szCs w:val="21"/>
          <w:highlight w:val="none"/>
          <w:lang w:val="en-US" w:eastAsia="zh-CN"/>
        </w:rPr>
      </w:pPr>
      <w:r>
        <w:rPr>
          <w:rFonts w:hint="eastAsia"/>
          <w:color w:val="auto"/>
          <w:sz w:val="21"/>
          <w:szCs w:val="21"/>
          <w:highlight w:val="none"/>
          <w:lang w:val="en-US" w:eastAsia="zh-CN"/>
        </w:rPr>
        <w:t>附件17原料MSDS</w:t>
      </w:r>
    </w:p>
    <w:p w14:paraId="49E2A1E0">
      <w:pPr>
        <w:pStyle w:val="10"/>
        <w:shd w:val="clear" w:color="auto" w:fill="auto"/>
        <w:spacing w:line="240" w:lineRule="auto"/>
        <w:ind w:left="420" w:leftChars="200" w:rightChars="54"/>
        <w:outlineLvl w:val="0"/>
        <w:rPr>
          <w:rFonts w:hint="default"/>
          <w:color w:val="auto"/>
          <w:sz w:val="21"/>
          <w:szCs w:val="21"/>
          <w:highlight w:val="yellow"/>
          <w:lang w:val="en-US" w:eastAsia="zh-CN"/>
        </w:rPr>
      </w:pPr>
      <w:r>
        <w:rPr>
          <w:rFonts w:hint="eastAsia"/>
          <w:color w:val="auto"/>
          <w:sz w:val="21"/>
          <w:szCs w:val="21"/>
          <w:highlight w:val="none"/>
          <w:lang w:val="en-US" w:eastAsia="zh-CN"/>
        </w:rPr>
        <w:t>附件18总量指标文件</w:t>
      </w:r>
    </w:p>
    <w:bookmarkEnd w:id="5"/>
    <w:p w14:paraId="66292EC7">
      <w:pPr>
        <w:rPr>
          <w:color w:val="auto"/>
          <w:szCs w:val="21"/>
          <w:highlight w:val="none"/>
        </w:rPr>
      </w:pPr>
      <w:bookmarkStart w:id="6" w:name="_Toc3167"/>
      <w:r>
        <w:rPr>
          <w:rFonts w:hint="eastAsia"/>
          <w:color w:val="auto"/>
          <w:szCs w:val="21"/>
          <w:highlight w:val="none"/>
        </w:rPr>
        <w:t>附图：</w:t>
      </w:r>
    </w:p>
    <w:p w14:paraId="49D81280">
      <w:pPr>
        <w:pStyle w:val="10"/>
        <w:spacing w:before="0" w:after="0" w:line="360" w:lineRule="auto"/>
        <w:ind w:right="0" w:firstLine="420" w:firstLineChars="200"/>
        <w:outlineLvl w:val="0"/>
        <w:rPr>
          <w:color w:val="auto"/>
          <w:sz w:val="21"/>
          <w:szCs w:val="21"/>
          <w:highlight w:val="none"/>
        </w:rPr>
      </w:pPr>
      <w:r>
        <w:rPr>
          <w:rFonts w:hint="eastAsia"/>
          <w:color w:val="auto"/>
          <w:sz w:val="21"/>
          <w:szCs w:val="21"/>
          <w:highlight w:val="none"/>
        </w:rPr>
        <w:t>附图1 建设项目地理位置概况图</w:t>
      </w:r>
    </w:p>
    <w:bookmarkEnd w:id="6"/>
    <w:p w14:paraId="3076C30B">
      <w:pPr>
        <w:pStyle w:val="10"/>
        <w:spacing w:before="0" w:after="0" w:line="360" w:lineRule="auto"/>
        <w:ind w:right="0" w:firstLine="420" w:firstLineChars="200"/>
        <w:outlineLvl w:val="0"/>
        <w:rPr>
          <w:color w:val="auto"/>
          <w:sz w:val="21"/>
          <w:szCs w:val="21"/>
          <w:highlight w:val="none"/>
        </w:rPr>
      </w:pPr>
      <w:bookmarkStart w:id="7" w:name="_Toc31189"/>
      <w:r>
        <w:rPr>
          <w:rFonts w:hint="eastAsia"/>
          <w:color w:val="auto"/>
          <w:sz w:val="21"/>
          <w:szCs w:val="21"/>
          <w:highlight w:val="none"/>
        </w:rPr>
        <w:t xml:space="preserve">附图2 </w:t>
      </w:r>
      <w:bookmarkEnd w:id="7"/>
      <w:r>
        <w:rPr>
          <w:rFonts w:hint="eastAsia"/>
          <w:color w:val="auto"/>
          <w:sz w:val="21"/>
          <w:szCs w:val="21"/>
          <w:highlight w:val="none"/>
        </w:rPr>
        <w:t>建设项目周围水系图</w:t>
      </w:r>
    </w:p>
    <w:p w14:paraId="46C91D9F">
      <w:pPr>
        <w:pStyle w:val="10"/>
        <w:spacing w:before="0" w:after="0" w:line="360" w:lineRule="auto"/>
        <w:ind w:right="0" w:firstLine="420" w:firstLineChars="200"/>
        <w:outlineLvl w:val="0"/>
        <w:rPr>
          <w:color w:val="auto"/>
          <w:sz w:val="21"/>
          <w:szCs w:val="21"/>
          <w:highlight w:val="none"/>
        </w:rPr>
      </w:pPr>
      <w:bookmarkStart w:id="8" w:name="_Toc563"/>
      <w:r>
        <w:rPr>
          <w:rFonts w:hint="eastAsia"/>
          <w:color w:val="auto"/>
          <w:sz w:val="21"/>
          <w:szCs w:val="21"/>
          <w:highlight w:val="none"/>
        </w:rPr>
        <w:t xml:space="preserve">附图3 </w:t>
      </w:r>
      <w:bookmarkEnd w:id="8"/>
      <w:bookmarkStart w:id="9" w:name="_Toc11018"/>
      <w:r>
        <w:rPr>
          <w:rFonts w:hint="eastAsia"/>
          <w:color w:val="auto"/>
          <w:sz w:val="21"/>
          <w:szCs w:val="21"/>
          <w:highlight w:val="none"/>
        </w:rPr>
        <w:t>项目所在地管控单元图</w:t>
      </w:r>
    </w:p>
    <w:p w14:paraId="2D366F17">
      <w:pPr>
        <w:pStyle w:val="10"/>
        <w:spacing w:before="0" w:after="0" w:line="360" w:lineRule="auto"/>
        <w:ind w:right="0" w:firstLine="420" w:firstLineChars="200"/>
        <w:outlineLvl w:val="0"/>
        <w:rPr>
          <w:color w:val="auto"/>
          <w:sz w:val="21"/>
          <w:szCs w:val="21"/>
          <w:highlight w:val="none"/>
        </w:rPr>
      </w:pPr>
      <w:r>
        <w:rPr>
          <w:rFonts w:hint="eastAsia"/>
          <w:color w:val="auto"/>
          <w:sz w:val="21"/>
          <w:szCs w:val="21"/>
          <w:highlight w:val="none"/>
        </w:rPr>
        <w:t xml:space="preserve">附图4 </w:t>
      </w:r>
      <w:bookmarkEnd w:id="9"/>
      <w:r>
        <w:rPr>
          <w:rFonts w:hint="eastAsia"/>
          <w:color w:val="auto"/>
          <w:sz w:val="21"/>
          <w:szCs w:val="21"/>
          <w:highlight w:val="none"/>
        </w:rPr>
        <w:t>建设项目周围环境概况图</w:t>
      </w:r>
    </w:p>
    <w:p w14:paraId="5FDE5340">
      <w:pPr>
        <w:pStyle w:val="10"/>
        <w:spacing w:before="0" w:after="0" w:line="360" w:lineRule="auto"/>
        <w:ind w:right="0" w:firstLine="420" w:firstLineChars="200"/>
        <w:outlineLvl w:val="0"/>
        <w:rPr>
          <w:color w:val="auto"/>
          <w:sz w:val="21"/>
          <w:szCs w:val="21"/>
          <w:highlight w:val="none"/>
        </w:rPr>
      </w:pPr>
      <w:r>
        <w:rPr>
          <w:rFonts w:hint="eastAsia"/>
          <w:color w:val="auto"/>
          <w:sz w:val="21"/>
          <w:szCs w:val="21"/>
          <w:highlight w:val="none"/>
        </w:rPr>
        <w:t>附图</w:t>
      </w:r>
      <w:r>
        <w:rPr>
          <w:rFonts w:hint="eastAsia"/>
          <w:color w:val="auto"/>
          <w:sz w:val="21"/>
          <w:szCs w:val="21"/>
          <w:highlight w:val="none"/>
          <w:lang w:val="en-US" w:eastAsia="zh-CN"/>
        </w:rPr>
        <w:t>5</w:t>
      </w:r>
      <w:r>
        <w:rPr>
          <w:rFonts w:hint="eastAsia"/>
          <w:color w:val="auto"/>
          <w:sz w:val="21"/>
          <w:szCs w:val="21"/>
          <w:highlight w:val="none"/>
        </w:rPr>
        <w:t xml:space="preserve"> 项目厂区平面布置图</w:t>
      </w:r>
    </w:p>
    <w:p w14:paraId="380B44FB">
      <w:pPr>
        <w:pStyle w:val="10"/>
        <w:spacing w:before="0" w:after="0" w:line="360" w:lineRule="auto"/>
        <w:ind w:right="0" w:firstLine="420" w:firstLineChars="200"/>
        <w:outlineLvl w:val="0"/>
        <w:rPr>
          <w:rFonts w:hint="default" w:eastAsia="宋体"/>
          <w:color w:val="auto"/>
          <w:sz w:val="21"/>
          <w:szCs w:val="21"/>
          <w:highlight w:val="none"/>
          <w:lang w:val="en-US" w:eastAsia="zh-CN"/>
        </w:rPr>
      </w:pPr>
      <w:r>
        <w:rPr>
          <w:rFonts w:hint="eastAsia"/>
          <w:color w:val="auto"/>
          <w:sz w:val="21"/>
          <w:szCs w:val="21"/>
          <w:highlight w:val="none"/>
        </w:rPr>
        <w:t>附图</w:t>
      </w:r>
      <w:r>
        <w:rPr>
          <w:rFonts w:hint="eastAsia"/>
          <w:color w:val="auto"/>
          <w:sz w:val="21"/>
          <w:szCs w:val="21"/>
          <w:highlight w:val="none"/>
          <w:lang w:val="en-US" w:eastAsia="zh-CN"/>
        </w:rPr>
        <w:t>6</w:t>
      </w:r>
      <w:r>
        <w:rPr>
          <w:rFonts w:hint="eastAsia"/>
          <w:color w:val="auto"/>
          <w:sz w:val="21"/>
          <w:szCs w:val="21"/>
          <w:highlight w:val="none"/>
        </w:rPr>
        <w:t xml:space="preserve"> </w:t>
      </w:r>
      <w:r>
        <w:rPr>
          <w:rFonts w:hint="eastAsia"/>
          <w:color w:val="auto"/>
          <w:sz w:val="21"/>
          <w:szCs w:val="21"/>
          <w:highlight w:val="none"/>
          <w:lang w:val="en-US" w:eastAsia="zh-CN"/>
        </w:rPr>
        <w:t>项目所在地规划图</w:t>
      </w:r>
    </w:p>
    <w:p w14:paraId="71359DBD">
      <w:pPr>
        <w:pStyle w:val="10"/>
        <w:spacing w:before="0" w:after="0" w:line="360" w:lineRule="auto"/>
        <w:ind w:right="0" w:firstLine="420" w:firstLineChars="200"/>
        <w:outlineLvl w:val="0"/>
        <w:rPr>
          <w:rFonts w:hint="default"/>
          <w:color w:val="auto"/>
          <w:sz w:val="21"/>
          <w:szCs w:val="21"/>
          <w:highlight w:val="none"/>
          <w:lang w:val="en-US" w:eastAsia="zh-CN"/>
        </w:rPr>
      </w:pPr>
      <w:r>
        <w:rPr>
          <w:rFonts w:hint="eastAsia"/>
          <w:color w:val="auto"/>
          <w:sz w:val="21"/>
          <w:szCs w:val="21"/>
          <w:highlight w:val="none"/>
          <w:lang w:val="en-US" w:eastAsia="zh-CN"/>
        </w:rPr>
        <w:t>附图7 园区污水管网图</w:t>
      </w:r>
    </w:p>
    <w:p w14:paraId="734C807B">
      <w:pPr>
        <w:pStyle w:val="10"/>
        <w:spacing w:before="0" w:after="0" w:line="360" w:lineRule="auto"/>
        <w:ind w:right="0" w:firstLine="420" w:firstLineChars="200"/>
        <w:outlineLvl w:val="0"/>
        <w:rPr>
          <w:color w:val="FF0000"/>
          <w:sz w:val="21"/>
          <w:szCs w:val="21"/>
          <w:highlight w:val="none"/>
        </w:rPr>
      </w:pPr>
    </w:p>
    <w:p w14:paraId="40EE3F29">
      <w:pPr>
        <w:pStyle w:val="10"/>
        <w:spacing w:before="0" w:after="0" w:line="360" w:lineRule="auto"/>
        <w:ind w:right="0" w:firstLine="420" w:firstLineChars="200"/>
        <w:outlineLvl w:val="0"/>
        <w:rPr>
          <w:color w:val="FF0000"/>
          <w:sz w:val="21"/>
          <w:szCs w:val="21"/>
          <w:highlight w:val="none"/>
        </w:rPr>
      </w:pPr>
    </w:p>
    <w:p w14:paraId="0A3A76F2">
      <w:pPr>
        <w:pStyle w:val="10"/>
        <w:spacing w:before="0" w:after="0" w:line="360" w:lineRule="auto"/>
        <w:ind w:right="0" w:firstLine="420" w:firstLineChars="200"/>
        <w:outlineLvl w:val="0"/>
        <w:rPr>
          <w:color w:val="FF0000"/>
          <w:sz w:val="21"/>
          <w:szCs w:val="21"/>
          <w:highlight w:val="none"/>
        </w:rPr>
      </w:pPr>
    </w:p>
    <w:p w14:paraId="37604EBE">
      <w:pPr>
        <w:pStyle w:val="10"/>
        <w:spacing w:before="0" w:after="0" w:line="360" w:lineRule="auto"/>
        <w:ind w:right="0" w:firstLine="600" w:firstLineChars="200"/>
        <w:outlineLvl w:val="0"/>
        <w:rPr>
          <w:rFonts w:ascii="黑体" w:hAnsi="黑体"/>
          <w:snapToGrid w:val="0"/>
          <w:color w:val="FF0000"/>
          <w:sz w:val="30"/>
          <w:szCs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F09CF40">
      <w:pPr>
        <w:pStyle w:val="25"/>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10" w:name="_Toc29062"/>
      <w:bookmarkStart w:id="11" w:name="_Toc15429"/>
      <w:r>
        <w:rPr>
          <w:rFonts w:hint="eastAsia" w:ascii="黑体" w:hAnsi="黑体" w:eastAsia="黑体"/>
          <w:snapToGrid w:val="0"/>
          <w:color w:val="auto"/>
          <w:sz w:val="30"/>
          <w:szCs w:val="30"/>
          <w:highlight w:val="none"/>
        </w:rPr>
        <w:t>一、建设项目基本情况</w:t>
      </w:r>
      <w:bookmarkEnd w:id="10"/>
      <w:bookmarkEnd w:id="11"/>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09"/>
        <w:gridCol w:w="300"/>
        <w:gridCol w:w="3010"/>
        <w:gridCol w:w="2025"/>
        <w:gridCol w:w="2826"/>
      </w:tblGrid>
      <w:tr w14:paraId="7D6ED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09" w:type="dxa"/>
            <w:gridSpan w:val="2"/>
            <w:tcMar>
              <w:top w:w="16" w:type="dxa"/>
              <w:left w:w="16" w:type="dxa"/>
              <w:right w:w="16" w:type="dxa"/>
            </w:tcMar>
            <w:vAlign w:val="center"/>
          </w:tcPr>
          <w:p w14:paraId="732AF99B">
            <w:pPr>
              <w:adjustRightInd w:val="0"/>
              <w:snapToGrid w:val="0"/>
              <w:jc w:val="center"/>
              <w:rPr>
                <w:color w:val="auto"/>
                <w:szCs w:val="21"/>
                <w:highlight w:val="none"/>
              </w:rPr>
            </w:pPr>
            <w:r>
              <w:rPr>
                <w:color w:val="auto"/>
                <w:szCs w:val="21"/>
                <w:highlight w:val="none"/>
              </w:rPr>
              <w:t>建设项目名称</w:t>
            </w:r>
          </w:p>
        </w:tc>
        <w:tc>
          <w:tcPr>
            <w:tcW w:w="7861" w:type="dxa"/>
            <w:gridSpan w:val="3"/>
            <w:vAlign w:val="center"/>
          </w:tcPr>
          <w:p w14:paraId="7F715D2D">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年产5万个碳烤炉扩建项目</w:t>
            </w:r>
          </w:p>
        </w:tc>
      </w:tr>
      <w:tr w14:paraId="6D844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09" w:type="dxa"/>
            <w:gridSpan w:val="2"/>
            <w:tcMar>
              <w:top w:w="16" w:type="dxa"/>
              <w:left w:w="16" w:type="dxa"/>
              <w:right w:w="16" w:type="dxa"/>
            </w:tcMar>
            <w:vAlign w:val="center"/>
          </w:tcPr>
          <w:p w14:paraId="06618942">
            <w:pPr>
              <w:adjustRightInd w:val="0"/>
              <w:snapToGrid w:val="0"/>
              <w:jc w:val="center"/>
              <w:rPr>
                <w:color w:val="auto"/>
                <w:szCs w:val="21"/>
                <w:highlight w:val="none"/>
              </w:rPr>
            </w:pPr>
            <w:r>
              <w:rPr>
                <w:color w:val="auto"/>
                <w:szCs w:val="21"/>
                <w:highlight w:val="none"/>
              </w:rPr>
              <w:t>项目代码</w:t>
            </w:r>
          </w:p>
        </w:tc>
        <w:tc>
          <w:tcPr>
            <w:tcW w:w="7861" w:type="dxa"/>
            <w:gridSpan w:val="3"/>
            <w:vAlign w:val="center"/>
          </w:tcPr>
          <w:p w14:paraId="520CA25A">
            <w:pPr>
              <w:adjustRightInd w:val="0"/>
              <w:snapToGrid w:val="0"/>
              <w:jc w:val="center"/>
              <w:rPr>
                <w:color w:val="auto"/>
                <w:szCs w:val="21"/>
                <w:highlight w:val="none"/>
              </w:rPr>
            </w:pPr>
            <w:r>
              <w:rPr>
                <w:color w:val="auto"/>
                <w:szCs w:val="21"/>
                <w:highlight w:val="none"/>
                <w:lang w:val="en-US" w:eastAsia="zh-CN"/>
              </w:rPr>
              <w:t>2311-321323-89-01-263851</w:t>
            </w:r>
          </w:p>
        </w:tc>
      </w:tr>
      <w:tr w14:paraId="197EB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09" w:type="dxa"/>
            <w:gridSpan w:val="2"/>
            <w:tcMar>
              <w:top w:w="16" w:type="dxa"/>
              <w:left w:w="16" w:type="dxa"/>
              <w:right w:w="16" w:type="dxa"/>
            </w:tcMar>
            <w:vAlign w:val="center"/>
          </w:tcPr>
          <w:p w14:paraId="2300A52D">
            <w:pPr>
              <w:adjustRightInd w:val="0"/>
              <w:snapToGrid w:val="0"/>
              <w:jc w:val="center"/>
              <w:rPr>
                <w:color w:val="auto"/>
                <w:szCs w:val="21"/>
                <w:highlight w:val="none"/>
              </w:rPr>
            </w:pPr>
            <w:r>
              <w:rPr>
                <w:color w:val="auto"/>
                <w:szCs w:val="21"/>
                <w:highlight w:val="none"/>
              </w:rPr>
              <w:t>建设单位联系人</w:t>
            </w:r>
          </w:p>
        </w:tc>
        <w:tc>
          <w:tcPr>
            <w:tcW w:w="3010" w:type="dxa"/>
            <w:vAlign w:val="center"/>
          </w:tcPr>
          <w:p w14:paraId="1A694D88">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2025" w:type="dxa"/>
            <w:vAlign w:val="center"/>
          </w:tcPr>
          <w:p w14:paraId="3090685A">
            <w:pPr>
              <w:adjustRightInd w:val="0"/>
              <w:snapToGrid w:val="0"/>
              <w:jc w:val="center"/>
              <w:rPr>
                <w:color w:val="auto"/>
                <w:szCs w:val="21"/>
                <w:highlight w:val="none"/>
              </w:rPr>
            </w:pPr>
            <w:r>
              <w:rPr>
                <w:color w:val="auto"/>
                <w:szCs w:val="21"/>
                <w:highlight w:val="none"/>
              </w:rPr>
              <w:t>联系方式</w:t>
            </w:r>
          </w:p>
        </w:tc>
        <w:tc>
          <w:tcPr>
            <w:tcW w:w="2826" w:type="dxa"/>
            <w:vAlign w:val="center"/>
          </w:tcPr>
          <w:p w14:paraId="0C0AB249">
            <w:pPr>
              <w:adjustRightInd w:val="0"/>
              <w:snapToGrid w:val="0"/>
              <w:jc w:val="center"/>
              <w:rPr>
                <w:rFonts w:hint="default"/>
                <w:color w:val="auto"/>
                <w:szCs w:val="21"/>
                <w:highlight w:val="none"/>
                <w:lang w:val="en-US"/>
              </w:rPr>
            </w:pPr>
            <w:r>
              <w:rPr>
                <w:rFonts w:hint="eastAsia"/>
                <w:color w:val="auto"/>
                <w:szCs w:val="21"/>
                <w:highlight w:val="none"/>
                <w:lang w:val="en-US" w:eastAsia="zh-CN"/>
              </w:rPr>
              <w:t>*****</w:t>
            </w:r>
            <w:bookmarkStart w:id="42" w:name="_GoBack"/>
            <w:bookmarkEnd w:id="42"/>
          </w:p>
        </w:tc>
      </w:tr>
      <w:tr w14:paraId="5EAAB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09" w:type="dxa"/>
            <w:gridSpan w:val="2"/>
            <w:tcMar>
              <w:top w:w="16" w:type="dxa"/>
              <w:left w:w="16" w:type="dxa"/>
              <w:right w:w="16" w:type="dxa"/>
            </w:tcMar>
            <w:vAlign w:val="center"/>
          </w:tcPr>
          <w:p w14:paraId="2DF143BC">
            <w:pPr>
              <w:adjustRightInd w:val="0"/>
              <w:snapToGrid w:val="0"/>
              <w:jc w:val="center"/>
              <w:rPr>
                <w:color w:val="auto"/>
                <w:szCs w:val="21"/>
                <w:highlight w:val="none"/>
              </w:rPr>
            </w:pPr>
            <w:r>
              <w:rPr>
                <w:color w:val="auto"/>
                <w:szCs w:val="21"/>
                <w:highlight w:val="none"/>
              </w:rPr>
              <w:t>建设地点</w:t>
            </w:r>
          </w:p>
        </w:tc>
        <w:tc>
          <w:tcPr>
            <w:tcW w:w="7861" w:type="dxa"/>
            <w:gridSpan w:val="3"/>
            <w:vAlign w:val="center"/>
          </w:tcPr>
          <w:p w14:paraId="45A03B6A">
            <w:pPr>
              <w:adjustRightInd w:val="0"/>
              <w:snapToGrid w:val="0"/>
              <w:jc w:val="center"/>
              <w:rPr>
                <w:color w:val="auto"/>
                <w:szCs w:val="21"/>
                <w:highlight w:val="none"/>
              </w:rPr>
            </w:pPr>
            <w:r>
              <w:rPr>
                <w:rFonts w:hint="eastAsia"/>
                <w:color w:val="auto"/>
                <w:szCs w:val="21"/>
                <w:highlight w:val="none"/>
              </w:rPr>
              <w:t>江苏省</w:t>
            </w:r>
            <w:r>
              <w:rPr>
                <w:rFonts w:hint="eastAsia"/>
                <w:color w:val="auto"/>
                <w:szCs w:val="21"/>
                <w:highlight w:val="none"/>
                <w:lang w:val="en-US" w:eastAsia="zh-CN"/>
              </w:rPr>
              <w:t>宿迁市泗阳县李口镇全民创业园广州路3号</w:t>
            </w:r>
          </w:p>
        </w:tc>
      </w:tr>
      <w:tr w14:paraId="2D861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09" w:type="dxa"/>
            <w:gridSpan w:val="2"/>
            <w:tcMar>
              <w:top w:w="16" w:type="dxa"/>
              <w:left w:w="16" w:type="dxa"/>
              <w:right w:w="16" w:type="dxa"/>
            </w:tcMar>
            <w:vAlign w:val="center"/>
          </w:tcPr>
          <w:p w14:paraId="16CDFFA2">
            <w:pPr>
              <w:adjustRightInd w:val="0"/>
              <w:snapToGrid w:val="0"/>
              <w:jc w:val="center"/>
              <w:rPr>
                <w:color w:val="auto"/>
                <w:szCs w:val="21"/>
                <w:highlight w:val="none"/>
              </w:rPr>
            </w:pPr>
            <w:r>
              <w:rPr>
                <w:color w:val="auto"/>
                <w:szCs w:val="21"/>
                <w:highlight w:val="none"/>
              </w:rPr>
              <w:t>地理坐标</w:t>
            </w:r>
          </w:p>
        </w:tc>
        <w:tc>
          <w:tcPr>
            <w:tcW w:w="7861" w:type="dxa"/>
            <w:gridSpan w:val="3"/>
            <w:vAlign w:val="center"/>
          </w:tcPr>
          <w:p w14:paraId="06247DC1">
            <w:pPr>
              <w:jc w:val="center"/>
              <w:rPr>
                <w:color w:val="auto"/>
                <w:szCs w:val="21"/>
                <w:highlight w:val="none"/>
              </w:rPr>
            </w:pPr>
            <w:r>
              <w:rPr>
                <w:color w:val="auto"/>
                <w:szCs w:val="21"/>
                <w:highlight w:val="none"/>
              </w:rPr>
              <w:t>（</w:t>
            </w:r>
            <w:r>
              <w:rPr>
                <w:rFonts w:hint="eastAsia"/>
                <w:color w:val="auto"/>
                <w:szCs w:val="21"/>
                <w:highlight w:val="none"/>
              </w:rPr>
              <w:t>东经</w:t>
            </w:r>
            <w:r>
              <w:rPr>
                <w:color w:val="auto"/>
                <w:szCs w:val="21"/>
                <w:highlight w:val="none"/>
                <w:u w:val="single"/>
              </w:rPr>
              <w:t>118度</w:t>
            </w:r>
            <w:r>
              <w:rPr>
                <w:rFonts w:hint="eastAsia"/>
                <w:color w:val="auto"/>
                <w:szCs w:val="21"/>
                <w:highlight w:val="none"/>
                <w:u w:val="single"/>
              </w:rPr>
              <w:t>4</w:t>
            </w:r>
            <w:r>
              <w:rPr>
                <w:rFonts w:hint="eastAsia"/>
                <w:color w:val="auto"/>
                <w:szCs w:val="21"/>
                <w:highlight w:val="none"/>
                <w:u w:val="single"/>
                <w:lang w:val="en-US" w:eastAsia="zh-CN"/>
              </w:rPr>
              <w:t>2</w:t>
            </w:r>
            <w:r>
              <w:rPr>
                <w:color w:val="auto"/>
                <w:szCs w:val="21"/>
                <w:highlight w:val="none"/>
                <w:u w:val="single"/>
              </w:rPr>
              <w:t>分</w:t>
            </w:r>
            <w:r>
              <w:rPr>
                <w:rFonts w:hint="eastAsia"/>
                <w:color w:val="auto"/>
                <w:szCs w:val="21"/>
                <w:highlight w:val="none"/>
                <w:u w:val="single"/>
                <w:lang w:val="en-US" w:eastAsia="zh-CN"/>
              </w:rPr>
              <w:t>54.007</w:t>
            </w:r>
            <w:r>
              <w:rPr>
                <w:color w:val="auto"/>
                <w:szCs w:val="21"/>
                <w:highlight w:val="none"/>
                <w:u w:val="single"/>
              </w:rPr>
              <w:t>秒</w:t>
            </w:r>
            <w:r>
              <w:rPr>
                <w:color w:val="auto"/>
                <w:szCs w:val="21"/>
                <w:highlight w:val="none"/>
              </w:rPr>
              <w:t>，</w:t>
            </w:r>
            <w:r>
              <w:rPr>
                <w:rFonts w:hint="eastAsia"/>
                <w:color w:val="auto"/>
                <w:szCs w:val="21"/>
                <w:highlight w:val="none"/>
              </w:rPr>
              <w:t>北纬</w:t>
            </w:r>
            <w:r>
              <w:rPr>
                <w:color w:val="auto"/>
                <w:szCs w:val="21"/>
                <w:highlight w:val="none"/>
                <w:u w:val="single"/>
              </w:rPr>
              <w:t>3</w:t>
            </w:r>
            <w:r>
              <w:rPr>
                <w:rFonts w:hint="eastAsia"/>
                <w:color w:val="auto"/>
                <w:szCs w:val="21"/>
                <w:highlight w:val="none"/>
                <w:u w:val="single"/>
              </w:rPr>
              <w:t>3</w:t>
            </w:r>
            <w:r>
              <w:rPr>
                <w:color w:val="auto"/>
                <w:szCs w:val="21"/>
                <w:highlight w:val="none"/>
                <w:u w:val="single"/>
              </w:rPr>
              <w:t>度</w:t>
            </w:r>
            <w:r>
              <w:rPr>
                <w:rFonts w:hint="eastAsia"/>
                <w:color w:val="auto"/>
                <w:szCs w:val="21"/>
                <w:highlight w:val="none"/>
                <w:u w:val="single"/>
                <w:lang w:val="en-US" w:eastAsia="zh-CN"/>
              </w:rPr>
              <w:t>37</w:t>
            </w:r>
            <w:r>
              <w:rPr>
                <w:color w:val="auto"/>
                <w:szCs w:val="21"/>
                <w:highlight w:val="none"/>
                <w:u w:val="single"/>
              </w:rPr>
              <w:t>分</w:t>
            </w:r>
            <w:r>
              <w:rPr>
                <w:rFonts w:hint="eastAsia"/>
                <w:color w:val="auto"/>
                <w:szCs w:val="21"/>
                <w:highlight w:val="none"/>
                <w:u w:val="single"/>
                <w:lang w:val="en-US" w:eastAsia="zh-CN"/>
              </w:rPr>
              <w:t>35.729</w:t>
            </w:r>
            <w:r>
              <w:rPr>
                <w:color w:val="auto"/>
                <w:szCs w:val="21"/>
                <w:highlight w:val="none"/>
                <w:u w:val="single"/>
              </w:rPr>
              <w:t>秒</w:t>
            </w:r>
            <w:r>
              <w:rPr>
                <w:color w:val="auto"/>
                <w:szCs w:val="21"/>
                <w:highlight w:val="none"/>
              </w:rPr>
              <w:t>）</w:t>
            </w:r>
          </w:p>
        </w:tc>
      </w:tr>
      <w:tr w14:paraId="781DD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1009" w:type="dxa"/>
            <w:gridSpan w:val="2"/>
            <w:tcMar>
              <w:top w:w="16" w:type="dxa"/>
              <w:left w:w="16" w:type="dxa"/>
              <w:right w:w="16" w:type="dxa"/>
            </w:tcMar>
            <w:vAlign w:val="center"/>
          </w:tcPr>
          <w:p w14:paraId="4D86EF1F">
            <w:pPr>
              <w:adjustRightInd w:val="0"/>
              <w:snapToGrid w:val="0"/>
              <w:jc w:val="center"/>
              <w:rPr>
                <w:color w:val="auto"/>
                <w:szCs w:val="21"/>
                <w:highlight w:val="none"/>
              </w:rPr>
            </w:pPr>
            <w:r>
              <w:rPr>
                <w:color w:val="auto"/>
                <w:szCs w:val="21"/>
                <w:highlight w:val="none"/>
              </w:rPr>
              <w:t>国民经济</w:t>
            </w:r>
          </w:p>
          <w:p w14:paraId="185AD6F5">
            <w:pPr>
              <w:adjustRightInd w:val="0"/>
              <w:snapToGrid w:val="0"/>
              <w:jc w:val="center"/>
              <w:rPr>
                <w:color w:val="auto"/>
                <w:szCs w:val="21"/>
                <w:highlight w:val="none"/>
              </w:rPr>
            </w:pPr>
            <w:r>
              <w:rPr>
                <w:color w:val="auto"/>
                <w:szCs w:val="21"/>
                <w:highlight w:val="none"/>
              </w:rPr>
              <w:t>行业类别</w:t>
            </w:r>
          </w:p>
        </w:tc>
        <w:tc>
          <w:tcPr>
            <w:tcW w:w="3010" w:type="dxa"/>
            <w:vAlign w:val="center"/>
          </w:tcPr>
          <w:p w14:paraId="457DC117">
            <w:pPr>
              <w:widowControl/>
              <w:jc w:val="left"/>
              <w:rPr>
                <w:rFonts w:hint="default" w:eastAsia="宋体"/>
                <w:color w:val="auto"/>
                <w:szCs w:val="21"/>
                <w:highlight w:val="none"/>
                <w:lang w:val="en-US" w:eastAsia="zh-CN"/>
              </w:rPr>
            </w:pPr>
            <w:r>
              <w:rPr>
                <w:rFonts w:hint="default" w:eastAsia="宋体"/>
                <w:color w:val="auto"/>
                <w:szCs w:val="21"/>
                <w:highlight w:val="none"/>
                <w:lang w:val="en-US" w:eastAsia="zh-CN"/>
              </w:rPr>
              <w:t>C3399其他未列明金属制品制造</w:t>
            </w:r>
          </w:p>
        </w:tc>
        <w:tc>
          <w:tcPr>
            <w:tcW w:w="2025" w:type="dxa"/>
            <w:vAlign w:val="center"/>
          </w:tcPr>
          <w:p w14:paraId="7A5E61D3">
            <w:pPr>
              <w:widowControl/>
              <w:jc w:val="center"/>
              <w:rPr>
                <w:color w:val="auto"/>
                <w:szCs w:val="21"/>
                <w:highlight w:val="none"/>
              </w:rPr>
            </w:pPr>
            <w:bookmarkStart w:id="12" w:name="_Hlk49843745"/>
            <w:r>
              <w:rPr>
                <w:color w:val="auto"/>
                <w:szCs w:val="21"/>
                <w:highlight w:val="none"/>
              </w:rPr>
              <w:t>建设项目</w:t>
            </w:r>
          </w:p>
          <w:p w14:paraId="2B6403DF">
            <w:pPr>
              <w:widowControl/>
              <w:jc w:val="center"/>
              <w:rPr>
                <w:color w:val="auto"/>
                <w:szCs w:val="21"/>
                <w:highlight w:val="none"/>
              </w:rPr>
            </w:pPr>
            <w:r>
              <w:rPr>
                <w:color w:val="auto"/>
                <w:szCs w:val="21"/>
                <w:highlight w:val="none"/>
              </w:rPr>
              <w:t>行业类别</w:t>
            </w:r>
            <w:bookmarkEnd w:id="12"/>
          </w:p>
        </w:tc>
        <w:tc>
          <w:tcPr>
            <w:tcW w:w="2826" w:type="dxa"/>
            <w:vAlign w:val="center"/>
          </w:tcPr>
          <w:p w14:paraId="64A39B86">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三十</w:t>
            </w:r>
            <w:r>
              <w:rPr>
                <w:rFonts w:hint="eastAsia"/>
                <w:color w:val="auto"/>
                <w:szCs w:val="21"/>
                <w:highlight w:val="none"/>
              </w:rPr>
              <w:t>、</w:t>
            </w:r>
            <w:r>
              <w:rPr>
                <w:rFonts w:hint="eastAsia" w:cs="Times New Roman"/>
                <w:color w:val="auto"/>
                <w:szCs w:val="21"/>
                <w:highlight w:val="none"/>
                <w:lang w:val="en-US" w:eastAsia="zh-CN"/>
              </w:rPr>
              <w:t>金属制品业33-67铸造及其他金属制品制造</w:t>
            </w:r>
            <w:r>
              <w:rPr>
                <w:rFonts w:hint="eastAsia" w:cs="Times New Roman"/>
                <w:color w:val="auto"/>
                <w:kern w:val="0"/>
                <w:szCs w:val="21"/>
                <w:highlight w:val="none"/>
                <w:lang w:val="en-US" w:eastAsia="zh-CN" w:bidi="ar"/>
              </w:rPr>
              <w:t>339</w:t>
            </w:r>
          </w:p>
        </w:tc>
      </w:tr>
      <w:tr w14:paraId="729E1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1009" w:type="dxa"/>
            <w:gridSpan w:val="2"/>
            <w:tcMar>
              <w:top w:w="16" w:type="dxa"/>
              <w:left w:w="16" w:type="dxa"/>
              <w:right w:w="16" w:type="dxa"/>
            </w:tcMar>
            <w:vAlign w:val="center"/>
          </w:tcPr>
          <w:p w14:paraId="0E134447">
            <w:pPr>
              <w:adjustRightInd w:val="0"/>
              <w:snapToGrid w:val="0"/>
              <w:jc w:val="center"/>
              <w:rPr>
                <w:color w:val="auto"/>
                <w:szCs w:val="21"/>
                <w:highlight w:val="none"/>
              </w:rPr>
            </w:pPr>
            <w:r>
              <w:rPr>
                <w:color w:val="auto"/>
                <w:szCs w:val="21"/>
                <w:highlight w:val="none"/>
              </w:rPr>
              <w:t>建设性质</w:t>
            </w:r>
          </w:p>
        </w:tc>
        <w:tc>
          <w:tcPr>
            <w:tcW w:w="3010" w:type="dxa"/>
            <w:vAlign w:val="center"/>
          </w:tcPr>
          <w:p w14:paraId="28EF0E87">
            <w:pPr>
              <w:jc w:val="left"/>
              <w:rPr>
                <w:color w:val="auto"/>
                <w:szCs w:val="21"/>
                <w:highlight w:val="none"/>
              </w:rPr>
            </w:pPr>
            <w:r>
              <w:rPr>
                <w:color w:val="auto"/>
                <w:szCs w:val="21"/>
                <w:highlight w:val="none"/>
              </w:rPr>
              <w:sym w:font="Wingdings 2" w:char="00A3"/>
            </w:r>
            <w:r>
              <w:rPr>
                <w:color w:val="auto"/>
                <w:szCs w:val="21"/>
                <w:highlight w:val="none"/>
              </w:rPr>
              <w:t>新建</w:t>
            </w:r>
          </w:p>
          <w:p w14:paraId="708F6B0B">
            <w:pPr>
              <w:jc w:val="left"/>
              <w:rPr>
                <w:color w:val="auto"/>
                <w:szCs w:val="21"/>
                <w:highlight w:val="none"/>
              </w:rPr>
            </w:pPr>
            <w:r>
              <w:rPr>
                <w:rFonts w:hint="eastAsia"/>
                <w:color w:val="auto"/>
                <w:szCs w:val="21"/>
                <w:highlight w:val="none"/>
                <w:lang w:eastAsia="zh-CN"/>
              </w:rPr>
              <w:t>□</w:t>
            </w:r>
            <w:r>
              <w:rPr>
                <w:color w:val="auto"/>
                <w:szCs w:val="21"/>
                <w:highlight w:val="none"/>
              </w:rPr>
              <w:t>改建</w:t>
            </w:r>
          </w:p>
          <w:p w14:paraId="61F36581">
            <w:pPr>
              <w:jc w:val="left"/>
              <w:rPr>
                <w:color w:val="auto"/>
                <w:szCs w:val="21"/>
                <w:highlight w:val="none"/>
              </w:rPr>
            </w:pPr>
            <w:r>
              <w:rPr>
                <w:rFonts w:hint="eastAsia"/>
                <w:color w:val="auto"/>
                <w:szCs w:val="21"/>
                <w:highlight w:val="none"/>
              </w:rPr>
              <w:sym w:font="Wingdings 2" w:char="0052"/>
            </w:r>
            <w:r>
              <w:rPr>
                <w:color w:val="auto"/>
                <w:szCs w:val="21"/>
                <w:highlight w:val="none"/>
              </w:rPr>
              <w:t>扩建</w:t>
            </w:r>
          </w:p>
          <w:p w14:paraId="57C9892C">
            <w:pPr>
              <w:jc w:val="left"/>
              <w:rPr>
                <w:color w:val="auto"/>
                <w:szCs w:val="21"/>
                <w:highlight w:val="none"/>
              </w:rPr>
            </w:pPr>
            <w:r>
              <w:rPr>
                <w:color w:val="auto"/>
                <w:szCs w:val="21"/>
                <w:highlight w:val="none"/>
              </w:rPr>
              <w:sym w:font="Wingdings 2" w:char="00A3"/>
            </w:r>
            <w:r>
              <w:rPr>
                <w:color w:val="auto"/>
                <w:szCs w:val="21"/>
                <w:highlight w:val="none"/>
              </w:rPr>
              <w:t>技术改造</w:t>
            </w:r>
          </w:p>
        </w:tc>
        <w:tc>
          <w:tcPr>
            <w:tcW w:w="2025" w:type="dxa"/>
            <w:vAlign w:val="center"/>
          </w:tcPr>
          <w:p w14:paraId="59F494DE">
            <w:pPr>
              <w:adjustRightInd w:val="0"/>
              <w:snapToGrid w:val="0"/>
              <w:jc w:val="center"/>
              <w:rPr>
                <w:color w:val="auto"/>
                <w:szCs w:val="21"/>
                <w:highlight w:val="none"/>
              </w:rPr>
            </w:pPr>
            <w:r>
              <w:rPr>
                <w:color w:val="auto"/>
                <w:szCs w:val="21"/>
                <w:highlight w:val="none"/>
              </w:rPr>
              <w:t>建设项目</w:t>
            </w:r>
          </w:p>
          <w:p w14:paraId="6C4AFF29">
            <w:pPr>
              <w:adjustRightInd w:val="0"/>
              <w:snapToGrid w:val="0"/>
              <w:jc w:val="center"/>
              <w:rPr>
                <w:color w:val="auto"/>
                <w:szCs w:val="21"/>
                <w:highlight w:val="none"/>
              </w:rPr>
            </w:pPr>
            <w:r>
              <w:rPr>
                <w:color w:val="auto"/>
                <w:szCs w:val="21"/>
                <w:highlight w:val="none"/>
              </w:rPr>
              <w:t>申报情形</w:t>
            </w:r>
          </w:p>
        </w:tc>
        <w:tc>
          <w:tcPr>
            <w:tcW w:w="2826" w:type="dxa"/>
            <w:vAlign w:val="center"/>
          </w:tcPr>
          <w:p w14:paraId="3C67D51F">
            <w:pPr>
              <w:jc w:val="left"/>
              <w:rPr>
                <w:color w:val="auto"/>
                <w:szCs w:val="21"/>
                <w:highlight w:val="none"/>
              </w:rPr>
            </w:pPr>
            <w:r>
              <w:rPr>
                <w:color w:val="auto"/>
                <w:szCs w:val="21"/>
                <w:highlight w:val="none"/>
              </w:rPr>
              <w:t>☑首次申报项目</w:t>
            </w:r>
          </w:p>
          <w:p w14:paraId="18ECD6F0">
            <w:pPr>
              <w:jc w:val="left"/>
              <w:rPr>
                <w:color w:val="auto"/>
                <w:szCs w:val="21"/>
                <w:highlight w:val="none"/>
              </w:rPr>
            </w:pPr>
            <w:r>
              <w:rPr>
                <w:color w:val="auto"/>
                <w:szCs w:val="21"/>
                <w:highlight w:val="none"/>
              </w:rPr>
              <w:t>□不予批准后再次申报项目</w:t>
            </w:r>
          </w:p>
          <w:p w14:paraId="6B563CE4">
            <w:pPr>
              <w:jc w:val="left"/>
              <w:rPr>
                <w:color w:val="auto"/>
                <w:szCs w:val="21"/>
                <w:highlight w:val="none"/>
              </w:rPr>
            </w:pPr>
            <w:r>
              <w:rPr>
                <w:color w:val="auto"/>
                <w:szCs w:val="21"/>
                <w:highlight w:val="none"/>
              </w:rPr>
              <w:t>□超五年重新审核项目</w:t>
            </w:r>
          </w:p>
          <w:p w14:paraId="492CF4C7">
            <w:pPr>
              <w:jc w:val="left"/>
              <w:rPr>
                <w:color w:val="auto"/>
                <w:szCs w:val="21"/>
                <w:highlight w:val="none"/>
              </w:rPr>
            </w:pPr>
            <w:r>
              <w:rPr>
                <w:color w:val="auto"/>
                <w:szCs w:val="21"/>
                <w:highlight w:val="none"/>
              </w:rPr>
              <w:t>□重大变动重新报批项目</w:t>
            </w:r>
          </w:p>
        </w:tc>
      </w:tr>
      <w:tr w14:paraId="5407A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1009" w:type="dxa"/>
            <w:gridSpan w:val="2"/>
            <w:tcMar>
              <w:top w:w="16" w:type="dxa"/>
              <w:left w:w="16" w:type="dxa"/>
              <w:right w:w="16" w:type="dxa"/>
            </w:tcMar>
            <w:vAlign w:val="center"/>
          </w:tcPr>
          <w:p w14:paraId="2851AA37">
            <w:pPr>
              <w:adjustRightInd w:val="0"/>
              <w:snapToGrid w:val="0"/>
              <w:jc w:val="center"/>
              <w:rPr>
                <w:color w:val="auto"/>
                <w:szCs w:val="21"/>
                <w:highlight w:val="none"/>
              </w:rPr>
            </w:pPr>
            <w:r>
              <w:rPr>
                <w:color w:val="auto"/>
                <w:szCs w:val="21"/>
                <w:highlight w:val="none"/>
              </w:rPr>
              <w:t>项目审批（核准/</w:t>
            </w:r>
          </w:p>
          <w:p w14:paraId="018E86AC">
            <w:pPr>
              <w:adjustRightInd w:val="0"/>
              <w:snapToGrid w:val="0"/>
              <w:jc w:val="center"/>
              <w:rPr>
                <w:color w:val="auto"/>
                <w:szCs w:val="21"/>
                <w:highlight w:val="none"/>
              </w:rPr>
            </w:pPr>
            <w:r>
              <w:rPr>
                <w:color w:val="auto"/>
                <w:szCs w:val="21"/>
                <w:highlight w:val="none"/>
              </w:rPr>
              <w:t>备案）部门（选填）</w:t>
            </w:r>
          </w:p>
        </w:tc>
        <w:tc>
          <w:tcPr>
            <w:tcW w:w="3010" w:type="dxa"/>
            <w:vAlign w:val="center"/>
          </w:tcPr>
          <w:p w14:paraId="2403AE2C">
            <w:pPr>
              <w:adjustRightInd w:val="0"/>
              <w:snapToGrid w:val="0"/>
              <w:jc w:val="center"/>
              <w:rPr>
                <w:color w:val="auto"/>
                <w:szCs w:val="21"/>
                <w:highlight w:val="none"/>
              </w:rPr>
            </w:pPr>
            <w:r>
              <w:rPr>
                <w:color w:val="auto"/>
                <w:szCs w:val="21"/>
                <w:highlight w:val="none"/>
                <w:lang w:val="en-US" w:eastAsia="zh-CN"/>
              </w:rPr>
              <w:t>泗阳县行政审批局</w:t>
            </w:r>
          </w:p>
        </w:tc>
        <w:tc>
          <w:tcPr>
            <w:tcW w:w="2025" w:type="dxa"/>
            <w:vAlign w:val="center"/>
          </w:tcPr>
          <w:p w14:paraId="27D8DD0F">
            <w:pPr>
              <w:adjustRightInd w:val="0"/>
              <w:snapToGrid w:val="0"/>
              <w:jc w:val="center"/>
              <w:rPr>
                <w:color w:val="auto"/>
                <w:szCs w:val="21"/>
                <w:highlight w:val="none"/>
              </w:rPr>
            </w:pPr>
            <w:r>
              <w:rPr>
                <w:color w:val="auto"/>
                <w:szCs w:val="21"/>
                <w:highlight w:val="none"/>
              </w:rPr>
              <w:t>项目审批（核准/</w:t>
            </w:r>
          </w:p>
          <w:p w14:paraId="7765A615">
            <w:pPr>
              <w:adjustRightInd w:val="0"/>
              <w:snapToGrid w:val="0"/>
              <w:jc w:val="center"/>
              <w:rPr>
                <w:color w:val="auto"/>
                <w:szCs w:val="21"/>
                <w:highlight w:val="none"/>
              </w:rPr>
            </w:pPr>
            <w:r>
              <w:rPr>
                <w:color w:val="auto"/>
                <w:szCs w:val="21"/>
                <w:highlight w:val="none"/>
              </w:rPr>
              <w:t>备案）文号（选填）</w:t>
            </w:r>
          </w:p>
        </w:tc>
        <w:tc>
          <w:tcPr>
            <w:tcW w:w="2826" w:type="dxa"/>
            <w:vAlign w:val="center"/>
          </w:tcPr>
          <w:p w14:paraId="4117EE05">
            <w:pPr>
              <w:adjustRightInd w:val="0"/>
              <w:snapToGrid w:val="0"/>
              <w:jc w:val="center"/>
              <w:rPr>
                <w:color w:val="auto"/>
                <w:szCs w:val="21"/>
                <w:highlight w:val="none"/>
              </w:rPr>
            </w:pPr>
            <w:bookmarkStart w:id="13" w:name="OLE_LINK7"/>
            <w:r>
              <w:rPr>
                <w:color w:val="auto"/>
                <w:szCs w:val="21"/>
                <w:highlight w:val="none"/>
                <w:lang w:val="en-US" w:eastAsia="zh-CN"/>
              </w:rPr>
              <w:t>泗阳行审备〔2023〕290号</w:t>
            </w:r>
            <w:bookmarkEnd w:id="13"/>
          </w:p>
        </w:tc>
      </w:tr>
      <w:tr w14:paraId="60CE6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09" w:type="dxa"/>
            <w:gridSpan w:val="2"/>
            <w:tcMar>
              <w:top w:w="16" w:type="dxa"/>
              <w:left w:w="16" w:type="dxa"/>
              <w:right w:w="16" w:type="dxa"/>
            </w:tcMar>
            <w:vAlign w:val="center"/>
          </w:tcPr>
          <w:p w14:paraId="5AECABFE">
            <w:pPr>
              <w:adjustRightInd w:val="0"/>
              <w:snapToGrid w:val="0"/>
              <w:jc w:val="center"/>
              <w:rPr>
                <w:color w:val="auto"/>
                <w:szCs w:val="21"/>
                <w:highlight w:val="none"/>
              </w:rPr>
            </w:pPr>
            <w:r>
              <w:rPr>
                <w:color w:val="auto"/>
                <w:szCs w:val="21"/>
                <w:highlight w:val="none"/>
              </w:rPr>
              <w:t>总投资（万元）</w:t>
            </w:r>
          </w:p>
        </w:tc>
        <w:tc>
          <w:tcPr>
            <w:tcW w:w="3010" w:type="dxa"/>
            <w:vAlign w:val="center"/>
          </w:tcPr>
          <w:p w14:paraId="3BE28690">
            <w:pPr>
              <w:adjustRightInd w:val="0"/>
              <w:snapToGrid w:val="0"/>
              <w:jc w:val="center"/>
              <w:rPr>
                <w:rFonts w:hint="default"/>
                <w:color w:val="auto"/>
                <w:szCs w:val="21"/>
                <w:highlight w:val="none"/>
                <w:lang w:val="en-US"/>
              </w:rPr>
            </w:pPr>
            <w:r>
              <w:rPr>
                <w:rFonts w:hint="eastAsia"/>
                <w:color w:val="auto"/>
                <w:kern w:val="0"/>
                <w:szCs w:val="21"/>
                <w:highlight w:val="none"/>
                <w:lang w:val="en-US" w:eastAsia="zh-CN"/>
              </w:rPr>
              <w:t>800.00</w:t>
            </w:r>
          </w:p>
        </w:tc>
        <w:tc>
          <w:tcPr>
            <w:tcW w:w="2025" w:type="dxa"/>
            <w:tcMar>
              <w:top w:w="16" w:type="dxa"/>
              <w:left w:w="16" w:type="dxa"/>
              <w:right w:w="16" w:type="dxa"/>
            </w:tcMar>
            <w:vAlign w:val="center"/>
          </w:tcPr>
          <w:p w14:paraId="36E80D2F">
            <w:pPr>
              <w:adjustRightInd w:val="0"/>
              <w:snapToGrid w:val="0"/>
              <w:jc w:val="center"/>
              <w:rPr>
                <w:color w:val="auto"/>
                <w:szCs w:val="21"/>
                <w:highlight w:val="none"/>
              </w:rPr>
            </w:pPr>
            <w:r>
              <w:rPr>
                <w:color w:val="auto"/>
                <w:szCs w:val="21"/>
                <w:highlight w:val="none"/>
              </w:rPr>
              <w:t>环保投资（万元）</w:t>
            </w:r>
          </w:p>
        </w:tc>
        <w:tc>
          <w:tcPr>
            <w:tcW w:w="2826" w:type="dxa"/>
            <w:vAlign w:val="center"/>
          </w:tcPr>
          <w:p w14:paraId="16849AEA">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85</w:t>
            </w:r>
          </w:p>
        </w:tc>
      </w:tr>
      <w:tr w14:paraId="379B0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09" w:type="dxa"/>
            <w:gridSpan w:val="2"/>
            <w:tcMar>
              <w:top w:w="16" w:type="dxa"/>
              <w:left w:w="16" w:type="dxa"/>
              <w:right w:w="16" w:type="dxa"/>
            </w:tcMar>
            <w:vAlign w:val="center"/>
          </w:tcPr>
          <w:p w14:paraId="49C952D0">
            <w:pPr>
              <w:adjustRightInd w:val="0"/>
              <w:snapToGrid w:val="0"/>
              <w:jc w:val="center"/>
              <w:rPr>
                <w:color w:val="auto"/>
                <w:szCs w:val="21"/>
                <w:highlight w:val="none"/>
              </w:rPr>
            </w:pPr>
            <w:r>
              <w:rPr>
                <w:color w:val="auto"/>
                <w:szCs w:val="21"/>
                <w:highlight w:val="none"/>
              </w:rPr>
              <w:t>环保投资占比（%）</w:t>
            </w:r>
          </w:p>
        </w:tc>
        <w:tc>
          <w:tcPr>
            <w:tcW w:w="3010" w:type="dxa"/>
            <w:vAlign w:val="center"/>
          </w:tcPr>
          <w:p w14:paraId="7174FD6A">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10.63</w:t>
            </w:r>
          </w:p>
        </w:tc>
        <w:tc>
          <w:tcPr>
            <w:tcW w:w="2025" w:type="dxa"/>
            <w:tcMar>
              <w:top w:w="16" w:type="dxa"/>
              <w:left w:w="16" w:type="dxa"/>
              <w:right w:w="16" w:type="dxa"/>
            </w:tcMar>
            <w:vAlign w:val="center"/>
          </w:tcPr>
          <w:p w14:paraId="0A9492C6">
            <w:pPr>
              <w:adjustRightInd w:val="0"/>
              <w:snapToGrid w:val="0"/>
              <w:jc w:val="center"/>
              <w:rPr>
                <w:color w:val="auto"/>
                <w:szCs w:val="21"/>
                <w:highlight w:val="none"/>
              </w:rPr>
            </w:pPr>
            <w:r>
              <w:rPr>
                <w:color w:val="auto"/>
                <w:szCs w:val="21"/>
                <w:highlight w:val="none"/>
              </w:rPr>
              <w:t>施工工期</w:t>
            </w:r>
          </w:p>
        </w:tc>
        <w:tc>
          <w:tcPr>
            <w:tcW w:w="2826" w:type="dxa"/>
            <w:vAlign w:val="center"/>
          </w:tcPr>
          <w:p w14:paraId="639B5FD4">
            <w:pPr>
              <w:adjustRightInd w:val="0"/>
              <w:snapToGrid w:val="0"/>
              <w:jc w:val="center"/>
              <w:rPr>
                <w:color w:val="auto"/>
                <w:szCs w:val="21"/>
                <w:highlight w:val="none"/>
              </w:rPr>
            </w:pPr>
            <w:r>
              <w:rPr>
                <w:rFonts w:hint="eastAsia"/>
                <w:color w:val="auto"/>
                <w:szCs w:val="21"/>
                <w:highlight w:val="none"/>
                <w:lang w:val="en-US" w:eastAsia="zh-CN"/>
              </w:rPr>
              <w:t>6</w:t>
            </w:r>
            <w:r>
              <w:rPr>
                <w:color w:val="auto"/>
                <w:szCs w:val="21"/>
                <w:highlight w:val="none"/>
              </w:rPr>
              <w:t>个月</w:t>
            </w:r>
          </w:p>
        </w:tc>
      </w:tr>
      <w:tr w14:paraId="2DC2C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09" w:type="dxa"/>
            <w:gridSpan w:val="2"/>
            <w:tcMar>
              <w:top w:w="16" w:type="dxa"/>
              <w:left w:w="16" w:type="dxa"/>
              <w:right w:w="16" w:type="dxa"/>
            </w:tcMar>
            <w:vAlign w:val="center"/>
          </w:tcPr>
          <w:p w14:paraId="6A391EAB">
            <w:pPr>
              <w:adjustRightInd w:val="0"/>
              <w:snapToGrid w:val="0"/>
              <w:jc w:val="center"/>
              <w:rPr>
                <w:color w:val="auto"/>
                <w:szCs w:val="21"/>
                <w:highlight w:val="none"/>
              </w:rPr>
            </w:pPr>
            <w:r>
              <w:rPr>
                <w:color w:val="auto"/>
                <w:szCs w:val="21"/>
                <w:highlight w:val="none"/>
              </w:rPr>
              <w:t>是否开工建设</w:t>
            </w:r>
          </w:p>
        </w:tc>
        <w:tc>
          <w:tcPr>
            <w:tcW w:w="3010" w:type="dxa"/>
            <w:vAlign w:val="center"/>
          </w:tcPr>
          <w:p w14:paraId="5A6207E1">
            <w:pPr>
              <w:adjustRightInd w:val="0"/>
              <w:snapToGrid w:val="0"/>
              <w:rPr>
                <w:color w:val="auto"/>
                <w:szCs w:val="21"/>
                <w:highlight w:val="none"/>
              </w:rPr>
            </w:pPr>
            <w:r>
              <w:rPr>
                <w:color w:val="auto"/>
                <w:szCs w:val="21"/>
                <w:highlight w:val="none"/>
              </w:rPr>
              <w:t>☑否</w:t>
            </w:r>
          </w:p>
          <w:p w14:paraId="0EB9FD16">
            <w:pPr>
              <w:widowControl/>
              <w:jc w:val="left"/>
              <w:rPr>
                <w:color w:val="auto"/>
                <w:szCs w:val="21"/>
                <w:highlight w:val="none"/>
              </w:rPr>
            </w:pPr>
            <w:r>
              <w:rPr>
                <w:color w:val="auto"/>
                <w:szCs w:val="21"/>
                <w:highlight w:val="none"/>
              </w:rPr>
              <w:t>□是</w:t>
            </w:r>
          </w:p>
        </w:tc>
        <w:tc>
          <w:tcPr>
            <w:tcW w:w="2025" w:type="dxa"/>
            <w:tcMar>
              <w:top w:w="16" w:type="dxa"/>
              <w:left w:w="16" w:type="dxa"/>
              <w:right w:w="16" w:type="dxa"/>
            </w:tcMar>
            <w:vAlign w:val="center"/>
          </w:tcPr>
          <w:p w14:paraId="698947FC">
            <w:pPr>
              <w:adjustRightInd w:val="0"/>
              <w:snapToGrid w:val="0"/>
              <w:jc w:val="center"/>
              <w:rPr>
                <w:color w:val="auto"/>
                <w:spacing w:val="-6"/>
                <w:szCs w:val="21"/>
                <w:highlight w:val="none"/>
              </w:rPr>
            </w:pPr>
            <w:r>
              <w:rPr>
                <w:color w:val="auto"/>
                <w:spacing w:val="-6"/>
                <w:szCs w:val="21"/>
                <w:highlight w:val="none"/>
              </w:rPr>
              <w:t>用地（用海）</w:t>
            </w:r>
          </w:p>
          <w:p w14:paraId="78996FCC">
            <w:pPr>
              <w:adjustRightInd w:val="0"/>
              <w:snapToGrid w:val="0"/>
              <w:jc w:val="center"/>
              <w:rPr>
                <w:color w:val="auto"/>
                <w:szCs w:val="21"/>
                <w:highlight w:val="none"/>
              </w:rPr>
            </w:pPr>
            <w:r>
              <w:rPr>
                <w:color w:val="auto"/>
                <w:spacing w:val="-6"/>
                <w:szCs w:val="21"/>
                <w:highlight w:val="none"/>
              </w:rPr>
              <w:t>面积（m</w:t>
            </w:r>
            <w:r>
              <w:rPr>
                <w:color w:val="auto"/>
                <w:spacing w:val="-6"/>
                <w:szCs w:val="21"/>
                <w:highlight w:val="none"/>
                <w:vertAlign w:val="superscript"/>
              </w:rPr>
              <w:t>2</w:t>
            </w:r>
            <w:r>
              <w:rPr>
                <w:color w:val="auto"/>
                <w:spacing w:val="-6"/>
                <w:szCs w:val="21"/>
                <w:highlight w:val="none"/>
              </w:rPr>
              <w:t>）</w:t>
            </w:r>
          </w:p>
        </w:tc>
        <w:tc>
          <w:tcPr>
            <w:tcW w:w="2826" w:type="dxa"/>
            <w:vAlign w:val="center"/>
          </w:tcPr>
          <w:p w14:paraId="00C8186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4731</w:t>
            </w:r>
          </w:p>
        </w:tc>
      </w:tr>
      <w:tr w14:paraId="2F29F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96" w:hRule="atLeast"/>
          <w:jc w:val="center"/>
        </w:trPr>
        <w:tc>
          <w:tcPr>
            <w:tcW w:w="1009" w:type="dxa"/>
            <w:gridSpan w:val="2"/>
            <w:vAlign w:val="center"/>
          </w:tcPr>
          <w:p w14:paraId="3B7A6D54">
            <w:pPr>
              <w:autoSpaceDE w:val="0"/>
              <w:autoSpaceDN w:val="0"/>
              <w:adjustRightInd w:val="0"/>
              <w:snapToGrid w:val="0"/>
              <w:jc w:val="center"/>
              <w:rPr>
                <w:color w:val="auto"/>
                <w:kern w:val="0"/>
                <w:szCs w:val="21"/>
                <w:highlight w:val="none"/>
              </w:rPr>
            </w:pPr>
            <w:r>
              <w:rPr>
                <w:color w:val="auto"/>
                <w:kern w:val="0"/>
                <w:szCs w:val="21"/>
                <w:highlight w:val="none"/>
              </w:rPr>
              <w:t>专项评价设置情况</w:t>
            </w:r>
          </w:p>
        </w:tc>
        <w:tc>
          <w:tcPr>
            <w:tcW w:w="7861" w:type="dxa"/>
            <w:gridSpan w:val="3"/>
            <w:vAlign w:val="center"/>
          </w:tcPr>
          <w:p w14:paraId="5375D180">
            <w:pPr>
              <w:autoSpaceDE w:val="0"/>
              <w:autoSpaceDN w:val="0"/>
              <w:adjustRightInd w:val="0"/>
              <w:snapToGrid w:val="0"/>
              <w:jc w:val="center"/>
              <w:rPr>
                <w:rFonts w:hint="eastAsia" w:eastAsia="宋体"/>
                <w:color w:val="auto"/>
                <w:kern w:val="0"/>
                <w:szCs w:val="21"/>
                <w:highlight w:val="none"/>
                <w:lang w:eastAsia="zh-CN"/>
              </w:rPr>
            </w:pPr>
            <w:r>
              <w:rPr>
                <w:rFonts w:hint="eastAsia"/>
                <w:color w:val="auto"/>
                <w:kern w:val="0"/>
                <w:szCs w:val="21"/>
                <w:highlight w:val="none"/>
                <w:lang w:val="en-US" w:eastAsia="zh-CN"/>
              </w:rPr>
              <w:t>无</w:t>
            </w:r>
          </w:p>
        </w:tc>
      </w:tr>
      <w:tr w14:paraId="37136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99" w:hRule="atLeast"/>
          <w:jc w:val="center"/>
        </w:trPr>
        <w:tc>
          <w:tcPr>
            <w:tcW w:w="1009" w:type="dxa"/>
            <w:gridSpan w:val="2"/>
            <w:vAlign w:val="center"/>
          </w:tcPr>
          <w:p w14:paraId="55C8B6CE">
            <w:pPr>
              <w:autoSpaceDE w:val="0"/>
              <w:autoSpaceDN w:val="0"/>
              <w:adjustRightInd w:val="0"/>
              <w:snapToGrid w:val="0"/>
              <w:jc w:val="center"/>
              <w:rPr>
                <w:color w:val="auto"/>
                <w:kern w:val="0"/>
                <w:szCs w:val="21"/>
                <w:highlight w:val="none"/>
              </w:rPr>
            </w:pPr>
            <w:r>
              <w:rPr>
                <w:color w:val="auto"/>
                <w:szCs w:val="21"/>
                <w:highlight w:val="none"/>
              </w:rPr>
              <w:t>规划情况</w:t>
            </w:r>
          </w:p>
        </w:tc>
        <w:tc>
          <w:tcPr>
            <w:tcW w:w="7861" w:type="dxa"/>
            <w:gridSpan w:val="3"/>
            <w:vAlign w:val="center"/>
          </w:tcPr>
          <w:p w14:paraId="0BFEE16D">
            <w:pPr>
              <w:keepNext w:val="0"/>
              <w:keepLines w:val="0"/>
              <w:suppressLineNumbers w:val="0"/>
              <w:autoSpaceDE w:val="0"/>
              <w:autoSpaceDN w:val="0"/>
              <w:adjustRightInd w:val="0"/>
              <w:snapToGrid w:val="0"/>
              <w:spacing w:before="0" w:beforeAutospacing="0" w:after="0" w:afterAutospacing="0" w:line="360" w:lineRule="auto"/>
              <w:ind w:left="0" w:right="0"/>
              <w:rPr>
                <w:color w:val="auto"/>
                <w:kern w:val="0"/>
                <w:szCs w:val="21"/>
              </w:rPr>
            </w:pPr>
            <w:r>
              <w:rPr>
                <w:color w:val="auto"/>
                <w:kern w:val="0"/>
                <w:szCs w:val="21"/>
              </w:rPr>
              <w:t>规划名称：</w:t>
            </w:r>
            <w:r>
              <w:rPr>
                <w:rFonts w:hint="eastAsia"/>
                <w:color w:val="auto"/>
                <w:kern w:val="0"/>
                <w:szCs w:val="21"/>
              </w:rPr>
              <w:t>《泗阳县李口镇工业园区发展规划（2020-2035）》</w:t>
            </w:r>
          </w:p>
          <w:p w14:paraId="4733AFE8">
            <w:pPr>
              <w:keepNext w:val="0"/>
              <w:keepLines w:val="0"/>
              <w:suppressLineNumbers w:val="0"/>
              <w:autoSpaceDE w:val="0"/>
              <w:autoSpaceDN w:val="0"/>
              <w:adjustRightInd w:val="0"/>
              <w:snapToGrid w:val="0"/>
              <w:spacing w:before="0" w:beforeAutospacing="0" w:after="0" w:afterAutospacing="0" w:line="360" w:lineRule="auto"/>
              <w:ind w:left="0" w:right="0"/>
              <w:rPr>
                <w:color w:val="auto"/>
                <w:kern w:val="0"/>
                <w:szCs w:val="21"/>
              </w:rPr>
            </w:pPr>
            <w:r>
              <w:rPr>
                <w:color w:val="auto"/>
                <w:kern w:val="0"/>
                <w:szCs w:val="21"/>
              </w:rPr>
              <w:t>审批机关：泗阳县人民政府</w:t>
            </w:r>
          </w:p>
          <w:p w14:paraId="0AEEACB6">
            <w:pPr>
              <w:autoSpaceDE w:val="0"/>
              <w:autoSpaceDN w:val="0"/>
              <w:adjustRightInd w:val="0"/>
              <w:snapToGrid w:val="0"/>
              <w:spacing w:line="360" w:lineRule="auto"/>
              <w:rPr>
                <w:color w:val="auto"/>
                <w:highlight w:val="none"/>
                <w:lang w:val="en-US"/>
              </w:rPr>
            </w:pPr>
            <w:r>
              <w:rPr>
                <w:rFonts w:hint="eastAsia"/>
                <w:color w:val="auto"/>
                <w:kern w:val="0"/>
                <w:szCs w:val="21"/>
              </w:rPr>
              <w:t>审批文件名称及文号：/</w:t>
            </w:r>
          </w:p>
        </w:tc>
      </w:tr>
      <w:tr w14:paraId="5E954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738" w:hRule="atLeast"/>
          <w:jc w:val="center"/>
        </w:trPr>
        <w:tc>
          <w:tcPr>
            <w:tcW w:w="1009" w:type="dxa"/>
            <w:gridSpan w:val="2"/>
            <w:vAlign w:val="center"/>
          </w:tcPr>
          <w:p w14:paraId="6FD9BE24">
            <w:pPr>
              <w:adjustRightInd w:val="0"/>
              <w:snapToGrid w:val="0"/>
              <w:jc w:val="center"/>
              <w:rPr>
                <w:color w:val="auto"/>
                <w:szCs w:val="21"/>
                <w:highlight w:val="none"/>
              </w:rPr>
            </w:pPr>
            <w:r>
              <w:rPr>
                <w:color w:val="auto"/>
                <w:szCs w:val="21"/>
                <w:highlight w:val="none"/>
              </w:rPr>
              <w:t>规划环境影响评价情况</w:t>
            </w:r>
          </w:p>
        </w:tc>
        <w:tc>
          <w:tcPr>
            <w:tcW w:w="7861" w:type="dxa"/>
            <w:gridSpan w:val="3"/>
            <w:vAlign w:val="center"/>
          </w:tcPr>
          <w:p w14:paraId="5FACE957">
            <w:pPr>
              <w:keepNext w:val="0"/>
              <w:keepLines w:val="0"/>
              <w:suppressLineNumbers w:val="0"/>
              <w:autoSpaceDE w:val="0"/>
              <w:autoSpaceDN w:val="0"/>
              <w:adjustRightInd w:val="0"/>
              <w:snapToGrid w:val="0"/>
              <w:spacing w:before="0" w:beforeAutospacing="0" w:after="0" w:afterAutospacing="0" w:line="360" w:lineRule="auto"/>
              <w:ind w:left="0" w:right="0"/>
              <w:rPr>
                <w:color w:val="auto"/>
                <w:kern w:val="0"/>
                <w:szCs w:val="21"/>
              </w:rPr>
            </w:pPr>
            <w:r>
              <w:rPr>
                <w:color w:val="auto"/>
                <w:kern w:val="0"/>
                <w:szCs w:val="21"/>
              </w:rPr>
              <w:t>规划环境影响评价文件：《</w:t>
            </w:r>
            <w:r>
              <w:rPr>
                <w:rFonts w:hint="eastAsia"/>
                <w:color w:val="auto"/>
                <w:kern w:val="0"/>
                <w:szCs w:val="21"/>
              </w:rPr>
              <w:t>泗阳县李口镇工业园区发展规划环境影响报告书</w:t>
            </w:r>
            <w:r>
              <w:rPr>
                <w:color w:val="auto"/>
                <w:kern w:val="0"/>
                <w:szCs w:val="21"/>
              </w:rPr>
              <w:t>》</w:t>
            </w:r>
          </w:p>
          <w:p w14:paraId="15B1AB5A">
            <w:pPr>
              <w:keepNext w:val="0"/>
              <w:keepLines w:val="0"/>
              <w:suppressLineNumbers w:val="0"/>
              <w:autoSpaceDE w:val="0"/>
              <w:autoSpaceDN w:val="0"/>
              <w:adjustRightInd w:val="0"/>
              <w:snapToGrid w:val="0"/>
              <w:spacing w:before="0" w:beforeAutospacing="0" w:after="0" w:afterAutospacing="0" w:line="360" w:lineRule="auto"/>
              <w:ind w:left="0" w:right="0"/>
              <w:rPr>
                <w:color w:val="auto"/>
                <w:kern w:val="0"/>
                <w:szCs w:val="21"/>
              </w:rPr>
            </w:pPr>
            <w:r>
              <w:rPr>
                <w:color w:val="auto"/>
                <w:kern w:val="0"/>
                <w:szCs w:val="21"/>
              </w:rPr>
              <w:t>审查单位：宿迁市</w:t>
            </w:r>
            <w:r>
              <w:rPr>
                <w:rFonts w:hint="eastAsia"/>
                <w:color w:val="auto"/>
                <w:kern w:val="0"/>
                <w:szCs w:val="21"/>
                <w:lang w:val="en-US" w:eastAsia="zh-CN"/>
              </w:rPr>
              <w:t>泗阳</w:t>
            </w:r>
            <w:r>
              <w:rPr>
                <w:color w:val="auto"/>
                <w:kern w:val="0"/>
                <w:szCs w:val="21"/>
              </w:rPr>
              <w:t>生态环境局</w:t>
            </w:r>
          </w:p>
          <w:p w14:paraId="52567E8F">
            <w:pPr>
              <w:keepNext w:val="0"/>
              <w:keepLines w:val="0"/>
              <w:suppressLineNumbers w:val="0"/>
              <w:autoSpaceDE w:val="0"/>
              <w:autoSpaceDN w:val="0"/>
              <w:adjustRightInd w:val="0"/>
              <w:snapToGrid w:val="0"/>
              <w:spacing w:before="0" w:beforeAutospacing="0" w:after="0" w:afterAutospacing="0" w:line="360" w:lineRule="auto"/>
              <w:ind w:left="0" w:right="0"/>
              <w:rPr>
                <w:color w:val="auto"/>
                <w:kern w:val="0"/>
                <w:szCs w:val="21"/>
              </w:rPr>
            </w:pPr>
            <w:r>
              <w:rPr>
                <w:color w:val="auto"/>
                <w:kern w:val="0"/>
                <w:szCs w:val="21"/>
              </w:rPr>
              <w:t>审查文件：《</w:t>
            </w:r>
            <w:r>
              <w:rPr>
                <w:rFonts w:hint="eastAsia"/>
                <w:color w:val="auto"/>
                <w:kern w:val="0"/>
                <w:szCs w:val="21"/>
              </w:rPr>
              <w:t>关于对泗阳县李口镇工业园区发展规划环境影响报告书的审查意见</w:t>
            </w:r>
            <w:r>
              <w:rPr>
                <w:color w:val="auto"/>
                <w:kern w:val="0"/>
                <w:szCs w:val="21"/>
              </w:rPr>
              <w:t>》</w:t>
            </w:r>
          </w:p>
          <w:p w14:paraId="2C797E54">
            <w:pPr>
              <w:autoSpaceDE w:val="0"/>
              <w:autoSpaceDN w:val="0"/>
              <w:adjustRightInd w:val="0"/>
              <w:snapToGrid w:val="0"/>
              <w:spacing w:line="360" w:lineRule="auto"/>
              <w:rPr>
                <w:rFonts w:ascii="Times New Roman" w:hAnsi="Times New Roman" w:eastAsia="宋体" w:cs="Times New Roman"/>
                <w:color w:val="auto"/>
                <w:szCs w:val="21"/>
                <w:highlight w:val="none"/>
                <w:lang w:val="en-US" w:bidi="ar-SA"/>
              </w:rPr>
            </w:pPr>
            <w:r>
              <w:rPr>
                <w:color w:val="auto"/>
                <w:kern w:val="0"/>
                <w:szCs w:val="21"/>
              </w:rPr>
              <w:t>审查文号：宿环建管〔2020〕2021号</w:t>
            </w:r>
          </w:p>
        </w:tc>
      </w:tr>
      <w:tr w14:paraId="42CBC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709" w:type="dxa"/>
            <w:vAlign w:val="center"/>
          </w:tcPr>
          <w:p w14:paraId="2FF892E1">
            <w:pPr>
              <w:autoSpaceDE w:val="0"/>
              <w:autoSpaceDN w:val="0"/>
              <w:adjustRightInd w:val="0"/>
              <w:snapToGrid w:val="0"/>
              <w:jc w:val="center"/>
              <w:rPr>
                <w:color w:val="auto"/>
                <w:kern w:val="0"/>
                <w:szCs w:val="21"/>
                <w:highlight w:val="none"/>
              </w:rPr>
            </w:pPr>
            <w:r>
              <w:rPr>
                <w:color w:val="auto"/>
                <w:kern w:val="0"/>
                <w:szCs w:val="21"/>
                <w:highlight w:val="none"/>
              </w:rPr>
              <w:t>规划及规划环境影响评价符合性分析</w:t>
            </w:r>
          </w:p>
        </w:tc>
        <w:tc>
          <w:tcPr>
            <w:tcW w:w="8161" w:type="dxa"/>
            <w:gridSpan w:val="4"/>
            <w:vAlign w:val="center"/>
          </w:tcPr>
          <w:p w14:paraId="0797CA0E">
            <w:pPr>
              <w:numPr>
                <w:ilvl w:val="0"/>
                <w:numId w:val="2"/>
              </w:numPr>
              <w:spacing w:line="360" w:lineRule="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选址规划符合性分析</w:t>
            </w:r>
          </w:p>
          <w:p w14:paraId="3C202450">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 w:val="21"/>
                <w:szCs w:val="22"/>
                <w:highlight w:val="none"/>
                <w:lang w:val="en-US" w:eastAsia="zh-CN" w:bidi="ar-SA"/>
              </w:rPr>
            </w:pPr>
            <w:r>
              <w:rPr>
                <w:color w:val="auto"/>
                <w:kern w:val="0"/>
                <w:szCs w:val="21"/>
              </w:rPr>
              <w:t>本项目</w:t>
            </w:r>
            <w:r>
              <w:rPr>
                <w:color w:val="auto"/>
                <w:kern w:val="0"/>
                <w:szCs w:val="21"/>
                <w:highlight w:val="none"/>
              </w:rPr>
              <w:t>位于</w:t>
            </w:r>
            <w:r>
              <w:rPr>
                <w:rFonts w:hint="eastAsia"/>
                <w:color w:val="auto"/>
                <w:kern w:val="0"/>
                <w:szCs w:val="21"/>
                <w:highlight w:val="none"/>
                <w:lang w:val="en-US" w:eastAsia="zh-CN"/>
              </w:rPr>
              <w:t>泗阳县李口镇全民创业园广州路3号</w:t>
            </w:r>
            <w:r>
              <w:rPr>
                <w:color w:val="auto"/>
                <w:kern w:val="0"/>
                <w:szCs w:val="21"/>
                <w:highlight w:val="none"/>
              </w:rPr>
              <w:t>，</w:t>
            </w:r>
            <w:r>
              <w:rPr>
                <w:rFonts w:hint="eastAsia"/>
                <w:color w:val="auto"/>
                <w:kern w:val="0"/>
                <w:szCs w:val="21"/>
              </w:rPr>
              <w:t>在李口镇工业园区内</w:t>
            </w:r>
            <w:r>
              <w:rPr>
                <w:color w:val="auto"/>
                <w:kern w:val="0"/>
                <w:szCs w:val="21"/>
                <w:highlight w:val="none"/>
              </w:rPr>
              <w:t>。</w:t>
            </w:r>
            <w:r>
              <w:rPr>
                <w:rFonts w:hint="eastAsia"/>
                <w:color w:val="auto"/>
                <w:kern w:val="0"/>
                <w:szCs w:val="21"/>
                <w:highlight w:val="none"/>
              </w:rPr>
              <w:t>本次扩建项目所用</w:t>
            </w:r>
            <w:r>
              <w:rPr>
                <w:rFonts w:hint="eastAsia"/>
                <w:color w:val="auto"/>
                <w:kern w:val="0"/>
                <w:szCs w:val="21"/>
                <w:highlight w:val="none"/>
                <w:lang w:val="en-US" w:eastAsia="zh-CN"/>
              </w:rPr>
              <w:t>地</w:t>
            </w:r>
            <w:r>
              <w:rPr>
                <w:rFonts w:hint="eastAsia"/>
                <w:color w:val="auto"/>
                <w:kern w:val="0"/>
                <w:szCs w:val="21"/>
                <w:highlight w:val="none"/>
              </w:rPr>
              <w:t>已取得</w:t>
            </w:r>
            <w:r>
              <w:rPr>
                <w:rFonts w:hint="eastAsia"/>
                <w:color w:val="auto"/>
                <w:kern w:val="0"/>
                <w:szCs w:val="21"/>
                <w:highlight w:val="none"/>
                <w:lang w:val="en-US" w:eastAsia="zh-CN"/>
              </w:rPr>
              <w:t>不动产权证书（详见附件7），用地性质为</w:t>
            </w:r>
            <w:r>
              <w:rPr>
                <w:rFonts w:hint="eastAsia"/>
                <w:color w:val="auto"/>
                <w:kern w:val="0"/>
                <w:szCs w:val="21"/>
                <w:highlight w:val="none"/>
              </w:rPr>
              <w:t>工业用地</w:t>
            </w:r>
            <w:r>
              <w:rPr>
                <w:rFonts w:hint="eastAsia"/>
                <w:color w:val="auto"/>
                <w:kern w:val="0"/>
                <w:szCs w:val="21"/>
                <w:highlight w:val="none"/>
                <w:lang w:eastAsia="zh-CN"/>
              </w:rPr>
              <w:t>。</w:t>
            </w:r>
          </w:p>
          <w:p w14:paraId="115D024D">
            <w:pPr>
              <w:numPr>
                <w:ilvl w:val="0"/>
                <w:numId w:val="2"/>
              </w:numPr>
              <w:spacing w:line="360" w:lineRule="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产业定位规划符合性</w:t>
            </w:r>
          </w:p>
          <w:p w14:paraId="40820486">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jc w:val="left"/>
              <w:rPr>
                <w:color w:val="auto"/>
                <w:kern w:val="0"/>
                <w:szCs w:val="21"/>
              </w:rPr>
            </w:pPr>
            <w:r>
              <w:rPr>
                <w:rFonts w:hint="eastAsia"/>
                <w:color w:val="auto"/>
                <w:kern w:val="0"/>
                <w:szCs w:val="21"/>
              </w:rPr>
              <w:t>李口镇工业园区紧邻泗阳县城区南部，园区总占地面积约4.56平方公里（6840亩），规划范围包含2处，即工业园西区和工业园东区。</w:t>
            </w:r>
          </w:p>
          <w:p w14:paraId="1E2898FB">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jc w:val="left"/>
              <w:rPr>
                <w:color w:val="auto"/>
                <w:kern w:val="0"/>
                <w:szCs w:val="21"/>
              </w:rPr>
            </w:pPr>
            <w:r>
              <w:rPr>
                <w:rFonts w:hint="eastAsia"/>
                <w:color w:val="auto"/>
                <w:kern w:val="0"/>
                <w:szCs w:val="21"/>
              </w:rPr>
              <w:t>工业园西区——李口镇镇区北侧工业园区（李口镇工业集聚区），东至条堆河，西至经三路，南至其葛路，北至徐宿淮盐高速（G2513），用地面积约为4.0平方公里（约6000亩）；工业园东区——八堡建材园，东至新建线，西至省道267，南至规划纬三路，北至规划纬一路，用地面积约0.56平方公里（约840亩）。</w:t>
            </w:r>
          </w:p>
          <w:p w14:paraId="605D91AB">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jc w:val="left"/>
              <w:rPr>
                <w:color w:val="auto"/>
                <w:kern w:val="0"/>
                <w:szCs w:val="21"/>
              </w:rPr>
            </w:pPr>
            <w:r>
              <w:rPr>
                <w:rFonts w:hint="eastAsia"/>
                <w:color w:val="auto"/>
                <w:kern w:val="0"/>
                <w:szCs w:val="21"/>
              </w:rPr>
              <w:t>泗阳县李口镇工业园区发展规划产业定位为：电子信息、家居建材、机械加工及其他无污染和低污染项目，园区现有纺织服装、塑料制品、木材加工等产业保留，后期限制此类小型企业入园。</w:t>
            </w:r>
          </w:p>
          <w:p w14:paraId="06DD0086">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szCs w:val="21"/>
                <w:highlight w:val="none"/>
                <w:lang w:val="en-US" w:eastAsia="zh-CN"/>
              </w:rPr>
            </w:pPr>
            <w:r>
              <w:rPr>
                <w:rFonts w:hint="eastAsia"/>
                <w:color w:val="auto"/>
                <w:kern w:val="0"/>
                <w:szCs w:val="21"/>
              </w:rPr>
              <w:t>本项目位于泗阳县李口镇广州路3号，所在地为规划中的李口镇工业园西区（属于李口镇工业集</w:t>
            </w:r>
            <w:r>
              <w:rPr>
                <w:rFonts w:hint="eastAsia"/>
                <w:color w:val="auto"/>
                <w:kern w:val="0"/>
                <w:szCs w:val="21"/>
                <w:highlight w:val="none"/>
              </w:rPr>
              <w:t>聚区），项目为</w:t>
            </w:r>
            <w:r>
              <w:rPr>
                <w:rFonts w:hint="eastAsia"/>
                <w:color w:val="auto"/>
                <w:szCs w:val="21"/>
                <w:highlight w:val="none"/>
                <w:lang w:val="en-US" w:eastAsia="zh-CN"/>
              </w:rPr>
              <w:t>碳烤炉</w:t>
            </w:r>
            <w:r>
              <w:rPr>
                <w:rFonts w:hint="eastAsia"/>
                <w:color w:val="auto"/>
                <w:szCs w:val="21"/>
                <w:highlight w:val="none"/>
              </w:rPr>
              <w:t>制造</w:t>
            </w:r>
            <w:r>
              <w:rPr>
                <w:rFonts w:hint="eastAsia"/>
                <w:color w:val="auto"/>
                <w:kern w:val="0"/>
                <w:szCs w:val="21"/>
                <w:highlight w:val="none"/>
              </w:rPr>
              <w:t>行业，属于低污染项目，符合泗阳县李口镇工业园区发展规划的产业定位。</w:t>
            </w:r>
          </w:p>
          <w:p w14:paraId="7F7718D2">
            <w:pPr>
              <w:keepNext w:val="0"/>
              <w:keepLines w:val="0"/>
              <w:pageBreakBefore w:val="0"/>
              <w:widowControl w:val="0"/>
              <w:tabs>
                <w:tab w:val="left" w:pos="276"/>
              </w:tabs>
              <w:kinsoku/>
              <w:wordWrap/>
              <w:overflowPunct/>
              <w:topLinePunct w:val="0"/>
              <w:autoSpaceDE w:val="0"/>
              <w:autoSpaceDN w:val="0"/>
              <w:bidi w:val="0"/>
              <w:adjustRightInd w:val="0"/>
              <w:snapToGrid w:val="0"/>
              <w:spacing w:before="157" w:beforeLines="50" w:line="240" w:lineRule="auto"/>
              <w:jc w:val="center"/>
              <w:textAlignment w:val="auto"/>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表</w:t>
            </w:r>
            <w:r>
              <w:rPr>
                <w:rFonts w:ascii="Times New Roman" w:hAnsi="Times New Roman" w:eastAsia="宋体" w:cs="Times New Roman"/>
                <w:b/>
                <w:bCs/>
                <w:color w:val="auto"/>
                <w:highlight w:val="none"/>
              </w:rPr>
              <w:t>1</w:t>
            </w:r>
            <w:r>
              <w:rPr>
                <w:rFonts w:hint="eastAsia" w:ascii="Times New Roman" w:hAnsi="Times New Roman" w:eastAsia="宋体" w:cs="Times New Roman"/>
                <w:b/>
                <w:bCs/>
                <w:color w:val="auto"/>
                <w:highlight w:val="none"/>
              </w:rPr>
              <w:t>-</w:t>
            </w:r>
            <w:r>
              <w:rPr>
                <w:rFonts w:hint="eastAsia" w:ascii="Times New Roman" w:hAnsi="Times New Roman" w:eastAsia="宋体" w:cs="Times New Roman"/>
                <w:b/>
                <w:bCs/>
                <w:color w:val="auto"/>
                <w:highlight w:val="none"/>
                <w:lang w:val="en-US" w:eastAsia="zh-CN"/>
              </w:rPr>
              <w:t>1</w:t>
            </w:r>
            <w:r>
              <w:rPr>
                <w:rFonts w:hint="eastAsia" w:ascii="Times New Roman" w:hAnsi="Times New Roman" w:eastAsia="宋体" w:cs="Times New Roman"/>
                <w:b/>
                <w:bCs/>
                <w:color w:val="auto"/>
                <w:highlight w:val="none"/>
              </w:rPr>
              <w:t xml:space="preserve"> </w:t>
            </w:r>
            <w:r>
              <w:rPr>
                <w:b/>
                <w:bCs/>
                <w:color w:val="auto"/>
              </w:rPr>
              <w:t>李口镇工业园区优先发展项目清单及环境准入条件</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41"/>
              <w:gridCol w:w="2083"/>
              <w:gridCol w:w="2357"/>
              <w:gridCol w:w="3021"/>
            </w:tblGrid>
            <w:tr w14:paraId="275A0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pct"/>
                  <w:noWrap w:val="0"/>
                  <w:vAlign w:val="center"/>
                </w:tcPr>
                <w:p w14:paraId="35A6C4EA">
                  <w:pPr>
                    <w:pStyle w:val="126"/>
                    <w:rPr>
                      <w:color w:val="auto"/>
                    </w:rPr>
                  </w:pPr>
                  <w:r>
                    <w:rPr>
                      <w:color w:val="auto"/>
                    </w:rPr>
                    <w:t>类别</w:t>
                  </w:r>
                </w:p>
              </w:tc>
              <w:tc>
                <w:tcPr>
                  <w:tcW w:w="1285" w:type="pct"/>
                  <w:noWrap w:val="0"/>
                  <w:vAlign w:val="center"/>
                </w:tcPr>
                <w:p w14:paraId="293A6302">
                  <w:pPr>
                    <w:pStyle w:val="126"/>
                    <w:rPr>
                      <w:color w:val="auto"/>
                    </w:rPr>
                  </w:pPr>
                  <w:r>
                    <w:rPr>
                      <w:color w:val="auto"/>
                    </w:rPr>
                    <w:t>行业</w:t>
                  </w:r>
                </w:p>
              </w:tc>
              <w:tc>
                <w:tcPr>
                  <w:tcW w:w="1454" w:type="pct"/>
                  <w:noWrap w:val="0"/>
                  <w:vAlign w:val="center"/>
                </w:tcPr>
                <w:p w14:paraId="4E7808A9">
                  <w:pPr>
                    <w:pStyle w:val="126"/>
                    <w:rPr>
                      <w:color w:val="auto"/>
                    </w:rPr>
                  </w:pPr>
                  <w:r>
                    <w:rPr>
                      <w:color w:val="auto"/>
                    </w:rPr>
                    <w:t>环境准入条件</w:t>
                  </w:r>
                </w:p>
              </w:tc>
              <w:tc>
                <w:tcPr>
                  <w:tcW w:w="1864" w:type="pct"/>
                  <w:noWrap w:val="0"/>
                  <w:vAlign w:val="center"/>
                </w:tcPr>
                <w:p w14:paraId="6533045F">
                  <w:pPr>
                    <w:pStyle w:val="126"/>
                    <w:rPr>
                      <w:color w:val="auto"/>
                    </w:rPr>
                  </w:pPr>
                  <w:r>
                    <w:rPr>
                      <w:color w:val="auto"/>
                    </w:rPr>
                    <w:t>禁止引入类别</w:t>
                  </w:r>
                </w:p>
              </w:tc>
            </w:tr>
            <w:tr w14:paraId="229BB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pct"/>
                  <w:vMerge w:val="restart"/>
                  <w:noWrap w:val="0"/>
                  <w:vAlign w:val="center"/>
                </w:tcPr>
                <w:p w14:paraId="6DAE72A3">
                  <w:pPr>
                    <w:pStyle w:val="127"/>
                    <w:rPr>
                      <w:color w:val="auto"/>
                    </w:rPr>
                  </w:pPr>
                  <w:r>
                    <w:rPr>
                      <w:color w:val="auto"/>
                    </w:rPr>
                    <w:t>主导产业</w:t>
                  </w:r>
                </w:p>
              </w:tc>
              <w:tc>
                <w:tcPr>
                  <w:tcW w:w="1285" w:type="pct"/>
                  <w:noWrap w:val="0"/>
                  <w:vAlign w:val="center"/>
                </w:tcPr>
                <w:p w14:paraId="138E7363">
                  <w:pPr>
                    <w:pStyle w:val="127"/>
                    <w:rPr>
                      <w:color w:val="auto"/>
                    </w:rPr>
                  </w:pPr>
                  <w:r>
                    <w:rPr>
                      <w:color w:val="auto"/>
                      <w:spacing w:val="6"/>
                    </w:rPr>
                    <w:t>电子信息</w:t>
                  </w:r>
                </w:p>
              </w:tc>
              <w:tc>
                <w:tcPr>
                  <w:tcW w:w="1454" w:type="pct"/>
                  <w:noWrap w:val="0"/>
                  <w:vAlign w:val="center"/>
                </w:tcPr>
                <w:p w14:paraId="4E86F9F4">
                  <w:pPr>
                    <w:pStyle w:val="127"/>
                    <w:rPr>
                      <w:color w:val="auto"/>
                    </w:rPr>
                  </w:pPr>
                  <w:r>
                    <w:rPr>
                      <w:color w:val="auto"/>
                    </w:rPr>
                    <w:t>涉及到VOCs的应全面使用低VOCs含量的涂料、胶黏剂、清洗剂</w:t>
                  </w:r>
                </w:p>
              </w:tc>
              <w:tc>
                <w:tcPr>
                  <w:tcW w:w="1864" w:type="pct"/>
                  <w:noWrap w:val="0"/>
                  <w:vAlign w:val="center"/>
                </w:tcPr>
                <w:p w14:paraId="2B3E22FD">
                  <w:pPr>
                    <w:pStyle w:val="127"/>
                    <w:rPr>
                      <w:color w:val="auto"/>
                    </w:rPr>
                  </w:pPr>
                  <w:r>
                    <w:rPr>
                      <w:color w:val="auto"/>
                    </w:rPr>
                    <w:t>电镀等涉重表面处理的；高污染、高能耗、高排放和落后技术、落后装备、废气排放污染严重项目及国家和省级产业政策中淘汰、限制类项目</w:t>
                  </w:r>
                </w:p>
              </w:tc>
            </w:tr>
            <w:tr w14:paraId="1CEFE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pct"/>
                  <w:vMerge w:val="continue"/>
                  <w:noWrap w:val="0"/>
                  <w:vAlign w:val="center"/>
                </w:tcPr>
                <w:p w14:paraId="1D822FF0">
                  <w:pPr>
                    <w:pStyle w:val="127"/>
                    <w:rPr>
                      <w:color w:val="auto"/>
                    </w:rPr>
                  </w:pPr>
                </w:p>
              </w:tc>
              <w:tc>
                <w:tcPr>
                  <w:tcW w:w="1285" w:type="pct"/>
                  <w:noWrap w:val="0"/>
                  <w:vAlign w:val="center"/>
                </w:tcPr>
                <w:p w14:paraId="4019718A">
                  <w:pPr>
                    <w:pStyle w:val="127"/>
                    <w:rPr>
                      <w:color w:val="auto"/>
                      <w:spacing w:val="6"/>
                    </w:rPr>
                  </w:pPr>
                  <w:r>
                    <w:rPr>
                      <w:color w:val="auto"/>
                      <w:spacing w:val="6"/>
                    </w:rPr>
                    <w:t>机械加工</w:t>
                  </w:r>
                </w:p>
              </w:tc>
              <w:tc>
                <w:tcPr>
                  <w:tcW w:w="1454" w:type="pct"/>
                  <w:noWrap w:val="0"/>
                  <w:vAlign w:val="center"/>
                </w:tcPr>
                <w:p w14:paraId="1C7C33BB">
                  <w:pPr>
                    <w:pStyle w:val="127"/>
                    <w:rPr>
                      <w:color w:val="auto"/>
                    </w:rPr>
                  </w:pPr>
                  <w:r>
                    <w:rPr>
                      <w:color w:val="auto"/>
                    </w:rPr>
                    <w:t>使用节能、环保、高效的新技术、新工艺、新装备</w:t>
                  </w:r>
                </w:p>
              </w:tc>
              <w:tc>
                <w:tcPr>
                  <w:tcW w:w="1864" w:type="pct"/>
                  <w:noWrap w:val="0"/>
                  <w:vAlign w:val="center"/>
                </w:tcPr>
                <w:p w14:paraId="137B8AF5">
                  <w:pPr>
                    <w:pStyle w:val="127"/>
                    <w:rPr>
                      <w:color w:val="auto"/>
                    </w:rPr>
                  </w:pPr>
                  <w:r>
                    <w:rPr>
                      <w:color w:val="auto"/>
                    </w:rPr>
                    <w:t>有化学处理工艺的；电镀等涉重表面处理及热处理加工的；使用有机涂层的；有钝化工艺的热镀锌；设备和工艺属于国家和省级产业政策中的限制类和淘汰类</w:t>
                  </w:r>
                </w:p>
              </w:tc>
            </w:tr>
            <w:tr w14:paraId="0B9C4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pct"/>
                  <w:vMerge w:val="continue"/>
                  <w:noWrap w:val="0"/>
                  <w:vAlign w:val="center"/>
                </w:tcPr>
                <w:p w14:paraId="165DCF3C">
                  <w:pPr>
                    <w:pStyle w:val="127"/>
                    <w:rPr>
                      <w:color w:val="auto"/>
                    </w:rPr>
                  </w:pPr>
                </w:p>
              </w:tc>
              <w:tc>
                <w:tcPr>
                  <w:tcW w:w="1285" w:type="pct"/>
                  <w:noWrap w:val="0"/>
                  <w:vAlign w:val="center"/>
                </w:tcPr>
                <w:p w14:paraId="4E65ABB4">
                  <w:pPr>
                    <w:pStyle w:val="127"/>
                    <w:rPr>
                      <w:color w:val="auto"/>
                      <w:spacing w:val="6"/>
                    </w:rPr>
                  </w:pPr>
                  <w:r>
                    <w:rPr>
                      <w:color w:val="auto"/>
                      <w:spacing w:val="6"/>
                    </w:rPr>
                    <w:t>家居建材</w:t>
                  </w:r>
                </w:p>
              </w:tc>
              <w:tc>
                <w:tcPr>
                  <w:tcW w:w="1454" w:type="pct"/>
                  <w:noWrap w:val="0"/>
                  <w:vAlign w:val="center"/>
                </w:tcPr>
                <w:p w14:paraId="07E6FDA6">
                  <w:pPr>
                    <w:pStyle w:val="127"/>
                    <w:rPr>
                      <w:color w:val="auto"/>
                    </w:rPr>
                  </w:pPr>
                  <w:r>
                    <w:rPr>
                      <w:color w:val="auto"/>
                    </w:rPr>
                    <w:t>无污染或少污染，单位产品能耗、物耗水平应至少达到国内一般水平、主要原辅材料不含铬、镍、铅等剧毒物质</w:t>
                  </w:r>
                </w:p>
              </w:tc>
              <w:tc>
                <w:tcPr>
                  <w:tcW w:w="1864" w:type="pct"/>
                  <w:noWrap w:val="0"/>
                  <w:vAlign w:val="center"/>
                </w:tcPr>
                <w:p w14:paraId="2458914E">
                  <w:pPr>
                    <w:pStyle w:val="127"/>
                    <w:rPr>
                      <w:color w:val="auto"/>
                    </w:rPr>
                  </w:pPr>
                  <w:r>
                    <w:rPr>
                      <w:color w:val="auto"/>
                    </w:rPr>
                    <w:t>使用高挥发性有机物含量涂料、有毒板材项目及国家和省级产业政策中淘汰、限制类项目</w:t>
                  </w:r>
                </w:p>
              </w:tc>
            </w:tr>
            <w:tr w14:paraId="17AB2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pct"/>
                  <w:noWrap w:val="0"/>
                  <w:vAlign w:val="center"/>
                </w:tcPr>
                <w:p w14:paraId="4537ED62">
                  <w:pPr>
                    <w:pStyle w:val="127"/>
                    <w:rPr>
                      <w:color w:val="auto"/>
                    </w:rPr>
                  </w:pPr>
                  <w:r>
                    <w:rPr>
                      <w:color w:val="auto"/>
                    </w:rPr>
                    <w:t>限制类</w:t>
                  </w:r>
                </w:p>
              </w:tc>
              <w:tc>
                <w:tcPr>
                  <w:tcW w:w="1285" w:type="pct"/>
                  <w:noWrap w:val="0"/>
                  <w:vAlign w:val="center"/>
                </w:tcPr>
                <w:p w14:paraId="57FEF21C">
                  <w:pPr>
                    <w:pStyle w:val="127"/>
                    <w:rPr>
                      <w:color w:val="auto"/>
                    </w:rPr>
                  </w:pPr>
                  <w:r>
                    <w:rPr>
                      <w:color w:val="auto"/>
                      <w:spacing w:val="6"/>
                    </w:rPr>
                    <w:t>纺织服装、木材加工、橡胶与塑料制品</w:t>
                  </w:r>
                </w:p>
              </w:tc>
              <w:tc>
                <w:tcPr>
                  <w:tcW w:w="1454" w:type="pct"/>
                  <w:noWrap w:val="0"/>
                  <w:vAlign w:val="center"/>
                </w:tcPr>
                <w:p w14:paraId="2E6BB5B5">
                  <w:pPr>
                    <w:pStyle w:val="127"/>
                    <w:rPr>
                      <w:color w:val="auto"/>
                    </w:rPr>
                  </w:pPr>
                  <w:r>
                    <w:rPr>
                      <w:color w:val="auto"/>
                    </w:rPr>
                    <w:t>/</w:t>
                  </w:r>
                </w:p>
              </w:tc>
              <w:tc>
                <w:tcPr>
                  <w:tcW w:w="1864" w:type="pct"/>
                  <w:noWrap w:val="0"/>
                  <w:vAlign w:val="center"/>
                </w:tcPr>
                <w:p w14:paraId="3A454EFC">
                  <w:pPr>
                    <w:pStyle w:val="127"/>
                    <w:rPr>
                      <w:color w:val="auto"/>
                    </w:rPr>
                  </w:pPr>
                  <w:r>
                    <w:rPr>
                      <w:color w:val="auto"/>
                    </w:rPr>
                    <w:t>限制规模小、污染重的项目建设</w:t>
                  </w:r>
                </w:p>
              </w:tc>
            </w:tr>
            <w:tr w14:paraId="618D5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6" w:type="pct"/>
                  <w:noWrap w:val="0"/>
                  <w:vAlign w:val="center"/>
                </w:tcPr>
                <w:p w14:paraId="72961CB5">
                  <w:pPr>
                    <w:pStyle w:val="127"/>
                    <w:rPr>
                      <w:color w:val="auto"/>
                      <w:highlight w:val="none"/>
                    </w:rPr>
                  </w:pPr>
                  <w:r>
                    <w:rPr>
                      <w:color w:val="auto"/>
                      <w:highlight w:val="none"/>
                    </w:rPr>
                    <w:t>禁止类</w:t>
                  </w:r>
                </w:p>
              </w:tc>
              <w:tc>
                <w:tcPr>
                  <w:tcW w:w="1285" w:type="pct"/>
                  <w:noWrap w:val="0"/>
                  <w:vAlign w:val="center"/>
                </w:tcPr>
                <w:p w14:paraId="52AEFB69">
                  <w:pPr>
                    <w:pStyle w:val="127"/>
                    <w:rPr>
                      <w:color w:val="auto"/>
                      <w:highlight w:val="none"/>
                    </w:rPr>
                  </w:pPr>
                  <w:r>
                    <w:rPr>
                      <w:color w:val="auto"/>
                      <w:highlight w:val="none"/>
                    </w:rPr>
                    <w:t>化工、印染、印花、电镀、造纸、化肥、染料、农药、酿造、电石、冶炼、铁合金、焦炭、制革、电镀等重污染项目</w:t>
                  </w:r>
                </w:p>
              </w:tc>
              <w:tc>
                <w:tcPr>
                  <w:tcW w:w="1454" w:type="pct"/>
                  <w:noWrap w:val="0"/>
                  <w:vAlign w:val="center"/>
                </w:tcPr>
                <w:p w14:paraId="444B1CD4">
                  <w:pPr>
                    <w:pStyle w:val="127"/>
                    <w:rPr>
                      <w:color w:val="auto"/>
                      <w:highlight w:val="none"/>
                    </w:rPr>
                  </w:pPr>
                  <w:r>
                    <w:rPr>
                      <w:color w:val="auto"/>
                      <w:highlight w:val="none"/>
                    </w:rPr>
                    <w:t>/</w:t>
                  </w:r>
                </w:p>
              </w:tc>
              <w:tc>
                <w:tcPr>
                  <w:tcW w:w="1864" w:type="pct"/>
                  <w:noWrap w:val="0"/>
                  <w:vAlign w:val="center"/>
                </w:tcPr>
                <w:p w14:paraId="5EB42B49">
                  <w:pPr>
                    <w:pStyle w:val="127"/>
                    <w:rPr>
                      <w:rFonts w:hint="eastAsia" w:eastAsia="宋体"/>
                      <w:color w:val="auto"/>
                      <w:highlight w:val="none"/>
                      <w:lang w:eastAsia="zh-CN"/>
                    </w:rPr>
                  </w:pPr>
                  <w:r>
                    <w:rPr>
                      <w:color w:val="auto"/>
                      <w:highlight w:val="none"/>
                    </w:rPr>
                    <w:t>高能耗、高污染、高排放和落后技术、落后工艺、落后装备的项目；重金属项目</w:t>
                  </w:r>
                  <w:r>
                    <w:rPr>
                      <w:rFonts w:hint="eastAsia"/>
                      <w:color w:val="auto"/>
                      <w:highlight w:val="none"/>
                      <w:lang w:eastAsia="zh-CN"/>
                    </w:rPr>
                    <w:t>。</w:t>
                  </w:r>
                </w:p>
              </w:tc>
            </w:tr>
          </w:tbl>
          <w:p w14:paraId="1B023C25">
            <w:pPr>
              <w:tabs>
                <w:tab w:val="left" w:pos="276"/>
              </w:tabs>
              <w:autoSpaceDE w:val="0"/>
              <w:autoSpaceDN w:val="0"/>
              <w:adjustRightInd w:val="0"/>
              <w:snapToGrid w:val="0"/>
              <w:spacing w:line="360" w:lineRule="auto"/>
              <w:ind w:firstLine="420" w:firstLineChars="200"/>
              <w:jc w:val="both"/>
              <w:rPr>
                <w:rFonts w:hint="default" w:ascii="Times New Roman" w:hAnsi="Times New Roman" w:eastAsia="宋体" w:cs="Times New Roman"/>
                <w:b/>
                <w:bCs/>
                <w:color w:val="auto"/>
                <w:highlight w:val="yellow"/>
                <w:lang w:val="en-US" w:eastAsia="zh-CN"/>
              </w:rPr>
            </w:pPr>
            <w:r>
              <w:rPr>
                <w:rFonts w:hint="eastAsia" w:ascii="Times New Roman" w:hAnsi="Times New Roman" w:eastAsia="宋体" w:cs="Times New Roman"/>
                <w:b w:val="0"/>
                <w:bCs w:val="0"/>
                <w:color w:val="auto"/>
                <w:highlight w:val="none"/>
                <w:lang w:val="en-US" w:eastAsia="zh-CN"/>
              </w:rPr>
              <w:t>项目位于江苏省宿迁市泗阳县李口镇工业园</w:t>
            </w:r>
            <w:r>
              <w:rPr>
                <w:rFonts w:hint="eastAsia" w:cs="Times New Roman"/>
                <w:b w:val="0"/>
                <w:bCs w:val="0"/>
                <w:color w:val="auto"/>
                <w:highlight w:val="none"/>
                <w:lang w:val="en-US" w:eastAsia="zh-CN"/>
              </w:rPr>
              <w:t>西</w:t>
            </w:r>
            <w:r>
              <w:rPr>
                <w:rFonts w:hint="eastAsia" w:ascii="Times New Roman" w:hAnsi="Times New Roman" w:eastAsia="宋体" w:cs="Times New Roman"/>
                <w:b w:val="0"/>
                <w:bCs w:val="0"/>
                <w:color w:val="auto"/>
                <w:highlight w:val="none"/>
                <w:lang w:val="en-US" w:eastAsia="zh-CN"/>
              </w:rPr>
              <w:t>区，</w:t>
            </w:r>
            <w:r>
              <w:rPr>
                <w:rFonts w:hint="eastAsia"/>
                <w:color w:val="auto"/>
                <w:kern w:val="0"/>
                <w:szCs w:val="21"/>
                <w:highlight w:val="none"/>
              </w:rPr>
              <w:t>项目为</w:t>
            </w:r>
            <w:r>
              <w:rPr>
                <w:rFonts w:hint="eastAsia"/>
                <w:color w:val="auto"/>
                <w:szCs w:val="21"/>
                <w:highlight w:val="none"/>
                <w:lang w:val="en-US" w:eastAsia="zh-CN"/>
              </w:rPr>
              <w:t>碳烤炉</w:t>
            </w:r>
            <w:r>
              <w:rPr>
                <w:rFonts w:hint="eastAsia"/>
                <w:color w:val="auto"/>
                <w:szCs w:val="21"/>
                <w:highlight w:val="none"/>
              </w:rPr>
              <w:t>制造</w:t>
            </w:r>
            <w:r>
              <w:rPr>
                <w:rFonts w:hint="eastAsia"/>
                <w:color w:val="auto"/>
                <w:kern w:val="0"/>
                <w:szCs w:val="21"/>
                <w:highlight w:val="none"/>
              </w:rPr>
              <w:t>行业，属于低污染项目</w:t>
            </w:r>
            <w:r>
              <w:rPr>
                <w:rFonts w:hint="eastAsia"/>
                <w:color w:val="auto"/>
                <w:kern w:val="0"/>
                <w:szCs w:val="21"/>
                <w:highlight w:val="none"/>
                <w:lang w:eastAsia="zh-CN"/>
              </w:rPr>
              <w:t>，</w:t>
            </w:r>
            <w:r>
              <w:rPr>
                <w:rFonts w:hint="eastAsia"/>
                <w:color w:val="auto"/>
                <w:kern w:val="0"/>
                <w:szCs w:val="21"/>
                <w:highlight w:val="none"/>
                <w:lang w:val="en-US" w:eastAsia="zh-CN"/>
              </w:rPr>
              <w:t>不属于园区限制类及禁止类项目。</w:t>
            </w:r>
          </w:p>
          <w:p w14:paraId="4C08AD54">
            <w:pPr>
              <w:numPr>
                <w:ilvl w:val="0"/>
                <w:numId w:val="2"/>
              </w:numPr>
              <w:spacing w:line="360" w:lineRule="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规划审查意见符合性分析</w:t>
            </w:r>
          </w:p>
          <w:p w14:paraId="647065F5">
            <w:pPr>
              <w:keepNext w:val="0"/>
              <w:keepLines w:val="0"/>
              <w:pageBreakBefore w:val="0"/>
              <w:widowControl/>
              <w:kinsoku/>
              <w:wordWrap/>
              <w:overflowPunct/>
              <w:topLinePunct w:val="0"/>
              <w:autoSpaceDE/>
              <w:autoSpaceDN/>
              <w:bidi w:val="0"/>
              <w:adjustRightInd/>
              <w:snapToGrid w:val="0"/>
              <w:spacing w:before="157" w:beforeLines="50" w:after="0" w:line="240" w:lineRule="auto"/>
              <w:ind w:right="0"/>
              <w:jc w:val="center"/>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表</w:t>
            </w:r>
            <w:r>
              <w:rPr>
                <w:rFonts w:ascii="Times New Roman" w:hAnsi="Times New Roman" w:eastAsia="宋体" w:cs="Times New Roman"/>
                <w:b/>
                <w:bCs/>
                <w:color w:val="auto"/>
                <w:kern w:val="0"/>
                <w:sz w:val="21"/>
                <w:szCs w:val="21"/>
                <w:highlight w:val="none"/>
                <w:lang w:val="en-US" w:eastAsia="zh-CN" w:bidi="ar-SA"/>
              </w:rPr>
              <w:t>1-</w:t>
            </w:r>
            <w:r>
              <w:rPr>
                <w:rFonts w:hint="eastAsia" w:ascii="Times New Roman" w:hAnsi="Times New Roman" w:eastAsia="宋体" w:cs="Times New Roman"/>
                <w:b/>
                <w:bCs/>
                <w:color w:val="auto"/>
                <w:kern w:val="0"/>
                <w:sz w:val="21"/>
                <w:szCs w:val="21"/>
                <w:highlight w:val="none"/>
                <w:lang w:val="en-US" w:eastAsia="zh-CN" w:bidi="ar-SA"/>
              </w:rPr>
              <w:t>2</w:t>
            </w:r>
            <w:r>
              <w:rPr>
                <w:rFonts w:hint="eastAsia" w:ascii="宋体" w:hAnsi="宋体" w:eastAsia="宋体" w:cs="宋体"/>
                <w:b/>
                <w:bCs/>
                <w:color w:val="auto"/>
                <w:kern w:val="0"/>
                <w:sz w:val="21"/>
                <w:szCs w:val="21"/>
                <w:highlight w:val="none"/>
                <w:lang w:val="en-US" w:eastAsia="zh-CN" w:bidi="ar-SA"/>
              </w:rPr>
              <w:t xml:space="preserve"> 本项目与宿环建管</w:t>
            </w:r>
            <w:r>
              <w:rPr>
                <w:rFonts w:hint="default" w:ascii="Times New Roman" w:hAnsi="Times New Roman" w:eastAsia="宋体" w:cs="Times New Roman"/>
                <w:b/>
                <w:bCs/>
                <w:color w:val="auto"/>
                <w:kern w:val="0"/>
                <w:sz w:val="21"/>
                <w:szCs w:val="21"/>
                <w:highlight w:val="none"/>
                <w:lang w:val="en-US" w:eastAsia="zh-CN" w:bidi="ar-SA"/>
              </w:rPr>
              <w:t>﹝202</w:t>
            </w:r>
            <w:r>
              <w:rPr>
                <w:rFonts w:hint="eastAsia" w:cs="Times New Roman"/>
                <w:b/>
                <w:bCs/>
                <w:color w:val="auto"/>
                <w:kern w:val="0"/>
                <w:sz w:val="21"/>
                <w:szCs w:val="21"/>
                <w:highlight w:val="none"/>
                <w:lang w:val="en-US" w:eastAsia="zh-CN" w:bidi="ar-SA"/>
              </w:rPr>
              <w:t>0</w:t>
            </w:r>
            <w:r>
              <w:rPr>
                <w:rFonts w:hint="default" w:ascii="Times New Roman" w:hAnsi="Times New Roman" w:eastAsia="宋体" w:cs="Times New Roman"/>
                <w:b/>
                <w:bCs/>
                <w:color w:val="auto"/>
                <w:kern w:val="0"/>
                <w:sz w:val="21"/>
                <w:szCs w:val="21"/>
                <w:highlight w:val="none"/>
                <w:lang w:val="en-US" w:eastAsia="zh-CN" w:bidi="ar-SA"/>
              </w:rPr>
              <w:t>﹞20</w:t>
            </w:r>
            <w:r>
              <w:rPr>
                <w:rFonts w:hint="eastAsia" w:cs="Times New Roman"/>
                <w:b/>
                <w:bCs/>
                <w:color w:val="auto"/>
                <w:kern w:val="0"/>
                <w:sz w:val="21"/>
                <w:szCs w:val="21"/>
                <w:highlight w:val="none"/>
                <w:lang w:val="en-US" w:eastAsia="zh-CN" w:bidi="ar-SA"/>
              </w:rPr>
              <w:t>21</w:t>
            </w:r>
            <w:r>
              <w:rPr>
                <w:rFonts w:hint="default" w:ascii="Times New Roman" w:hAnsi="Times New Roman" w:eastAsia="宋体" w:cs="Times New Roman"/>
                <w:b/>
                <w:bCs/>
                <w:color w:val="auto"/>
                <w:kern w:val="0"/>
                <w:sz w:val="21"/>
                <w:szCs w:val="21"/>
                <w:highlight w:val="none"/>
                <w:lang w:val="en-US" w:eastAsia="zh-CN" w:bidi="ar-SA"/>
              </w:rPr>
              <w:t>号</w:t>
            </w:r>
            <w:r>
              <w:rPr>
                <w:rFonts w:hint="eastAsia" w:ascii="宋体" w:hAnsi="宋体" w:eastAsia="宋体" w:cs="宋体"/>
                <w:b/>
                <w:bCs/>
                <w:color w:val="auto"/>
                <w:kern w:val="0"/>
                <w:sz w:val="21"/>
                <w:szCs w:val="21"/>
                <w:highlight w:val="none"/>
                <w:lang w:val="en-US" w:eastAsia="zh-CN" w:bidi="ar-SA"/>
              </w:rPr>
              <w:t>的相符性分析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08"/>
              <w:gridCol w:w="1545"/>
              <w:gridCol w:w="552"/>
            </w:tblGrid>
            <w:tr w14:paraId="47CF9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08" w:type="dxa"/>
                  <w:vAlign w:val="center"/>
                </w:tcPr>
                <w:p w14:paraId="1941173B">
                  <w:pPr>
                    <w:keepNext w:val="0"/>
                    <w:keepLines w:val="0"/>
                    <w:suppressLineNumbers w:val="0"/>
                    <w:autoSpaceDE w:val="0"/>
                    <w:autoSpaceDN w:val="0"/>
                    <w:adjustRightInd w:val="0"/>
                    <w:snapToGrid w:val="0"/>
                    <w:spacing w:before="0" w:beforeAutospacing="0" w:after="0" w:afterAutospacing="0"/>
                    <w:ind w:left="0" w:right="0"/>
                    <w:jc w:val="center"/>
                    <w:rPr>
                      <w:b/>
                      <w:color w:val="auto"/>
                      <w:kern w:val="0"/>
                      <w:szCs w:val="21"/>
                    </w:rPr>
                  </w:pPr>
                  <w:r>
                    <w:rPr>
                      <w:b/>
                      <w:color w:val="auto"/>
                      <w:kern w:val="0"/>
                      <w:szCs w:val="21"/>
                    </w:rPr>
                    <w:t>审查意见</w:t>
                  </w:r>
                </w:p>
              </w:tc>
              <w:tc>
                <w:tcPr>
                  <w:tcW w:w="1545" w:type="dxa"/>
                  <w:vMerge w:val="restart"/>
                  <w:vAlign w:val="center"/>
                </w:tcPr>
                <w:p w14:paraId="049104A3">
                  <w:pPr>
                    <w:keepNext w:val="0"/>
                    <w:keepLines w:val="0"/>
                    <w:suppressLineNumbers w:val="0"/>
                    <w:autoSpaceDE w:val="0"/>
                    <w:autoSpaceDN w:val="0"/>
                    <w:adjustRightInd w:val="0"/>
                    <w:snapToGrid w:val="0"/>
                    <w:spacing w:before="0" w:beforeAutospacing="0" w:after="0" w:afterAutospacing="0"/>
                    <w:ind w:left="0" w:right="0"/>
                    <w:jc w:val="center"/>
                    <w:rPr>
                      <w:b/>
                      <w:color w:val="auto"/>
                      <w:kern w:val="0"/>
                      <w:szCs w:val="21"/>
                    </w:rPr>
                  </w:pPr>
                  <w:r>
                    <w:rPr>
                      <w:b/>
                      <w:color w:val="auto"/>
                      <w:kern w:val="0"/>
                      <w:szCs w:val="21"/>
                    </w:rPr>
                    <w:t>本项目相符性分析</w:t>
                  </w:r>
                </w:p>
              </w:tc>
              <w:tc>
                <w:tcPr>
                  <w:tcW w:w="552" w:type="dxa"/>
                  <w:vMerge w:val="restart"/>
                  <w:vAlign w:val="center"/>
                </w:tcPr>
                <w:p w14:paraId="4D15C3BF">
                  <w:pPr>
                    <w:keepNext w:val="0"/>
                    <w:keepLines w:val="0"/>
                    <w:suppressLineNumbers w:val="0"/>
                    <w:autoSpaceDE w:val="0"/>
                    <w:autoSpaceDN w:val="0"/>
                    <w:adjustRightInd w:val="0"/>
                    <w:snapToGrid w:val="0"/>
                    <w:spacing w:before="0" w:beforeAutospacing="0" w:after="0" w:afterAutospacing="0"/>
                    <w:ind w:left="0" w:right="0"/>
                    <w:jc w:val="center"/>
                    <w:rPr>
                      <w:b/>
                      <w:color w:val="auto"/>
                      <w:kern w:val="0"/>
                      <w:szCs w:val="21"/>
                    </w:rPr>
                  </w:pPr>
                  <w:r>
                    <w:rPr>
                      <w:b/>
                      <w:color w:val="auto"/>
                      <w:kern w:val="0"/>
                      <w:szCs w:val="21"/>
                    </w:rPr>
                    <w:t>是否相符</w:t>
                  </w:r>
                </w:p>
              </w:tc>
            </w:tr>
            <w:tr w14:paraId="3B97C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08" w:type="dxa"/>
                  <w:vAlign w:val="center"/>
                </w:tcPr>
                <w:p w14:paraId="68E00C82">
                  <w:pPr>
                    <w:keepNext w:val="0"/>
                    <w:keepLines w:val="0"/>
                    <w:suppressLineNumbers w:val="0"/>
                    <w:autoSpaceDE w:val="0"/>
                    <w:autoSpaceDN w:val="0"/>
                    <w:adjustRightInd w:val="0"/>
                    <w:snapToGrid w:val="0"/>
                    <w:spacing w:before="0" w:beforeAutospacing="0" w:after="0" w:afterAutospacing="0"/>
                    <w:ind w:left="0" w:right="0"/>
                    <w:jc w:val="center"/>
                    <w:rPr>
                      <w:b/>
                      <w:color w:val="auto"/>
                      <w:kern w:val="0"/>
                      <w:szCs w:val="21"/>
                    </w:rPr>
                  </w:pPr>
                  <w:r>
                    <w:rPr>
                      <w:b/>
                      <w:color w:val="auto"/>
                      <w:kern w:val="0"/>
                      <w:szCs w:val="21"/>
                    </w:rPr>
                    <w:t>具体内容</w:t>
                  </w:r>
                </w:p>
              </w:tc>
              <w:tc>
                <w:tcPr>
                  <w:tcW w:w="1545" w:type="dxa"/>
                  <w:vMerge w:val="continue"/>
                  <w:vAlign w:val="center"/>
                </w:tcPr>
                <w:p w14:paraId="31C51D23">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p>
              </w:tc>
              <w:tc>
                <w:tcPr>
                  <w:tcW w:w="552" w:type="dxa"/>
                  <w:vMerge w:val="continue"/>
                  <w:vAlign w:val="center"/>
                </w:tcPr>
                <w:p w14:paraId="36C8798C">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p>
              </w:tc>
            </w:tr>
            <w:tr w14:paraId="1138B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08" w:type="dxa"/>
                  <w:vAlign w:val="center"/>
                </w:tcPr>
                <w:p w14:paraId="137FAC9C">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rFonts w:hint="eastAsia"/>
                      <w:color w:val="auto"/>
                      <w:kern w:val="0"/>
                      <w:szCs w:val="21"/>
                      <w:highlight w:val="none"/>
                    </w:rPr>
                    <w:t>加强规划引导，坚持绿色发展和协调发展理念。根据区域发展战略，突出区域与产业协调发展的理念，进一步优化《规划》的产业结构、用地布局等，加强与泗阳县城市总体规划、土地利用总体规划、李口镇总体规划的协调和衔接，实现产业发展与生态环境保护相协调。加强土地资源的集约节约利用，提高土地使用效率。</w:t>
                  </w:r>
                </w:p>
              </w:tc>
              <w:tc>
                <w:tcPr>
                  <w:tcW w:w="1545" w:type="dxa"/>
                  <w:vAlign w:val="center"/>
                </w:tcPr>
                <w:p w14:paraId="47D7463C">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本项目符合</w:t>
                  </w:r>
                  <w:r>
                    <w:rPr>
                      <w:rFonts w:hint="eastAsia"/>
                      <w:color w:val="auto"/>
                      <w:kern w:val="0"/>
                      <w:szCs w:val="21"/>
                      <w:highlight w:val="none"/>
                    </w:rPr>
                    <w:t>泗阳县李口镇工业园区发展规划的产业定位</w:t>
                  </w:r>
                </w:p>
              </w:tc>
              <w:tc>
                <w:tcPr>
                  <w:tcW w:w="552" w:type="dxa"/>
                  <w:vAlign w:val="center"/>
                </w:tcPr>
                <w:p w14:paraId="7B44C876">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szCs w:val="21"/>
                    </w:rPr>
                    <w:t>符合</w:t>
                  </w:r>
                </w:p>
              </w:tc>
            </w:tr>
            <w:tr w14:paraId="45EFE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08" w:type="dxa"/>
                  <w:vAlign w:val="center"/>
                </w:tcPr>
                <w:p w14:paraId="3CEF4959">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rFonts w:hint="eastAsia"/>
                      <w:color w:val="auto"/>
                      <w:kern w:val="0"/>
                      <w:szCs w:val="21"/>
                    </w:rPr>
                    <w:t>严格入区项目的环境准入管理。园区建设应严格执行国家环保法律法规及产业政策、规划产业定位、最新环保准入条件以及《报告书》提出的产业发展要求，严守审批原则，严格环境准入，落实“三个不批”和“三挂钩”和“三线一单”要求，加强建设项目的环境管理。具体项目的引进必须严格按有关权限、程序及要求办理环保审批手续。</w:t>
                  </w:r>
                </w:p>
              </w:tc>
              <w:tc>
                <w:tcPr>
                  <w:tcW w:w="1545" w:type="dxa"/>
                  <w:vAlign w:val="center"/>
                </w:tcPr>
                <w:p w14:paraId="1A92DC9D">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rFonts w:hint="eastAsia"/>
                      <w:color w:val="auto"/>
                      <w:kern w:val="0"/>
                      <w:szCs w:val="21"/>
                    </w:rPr>
                    <w:t>本项目严格按有关权限、程序及要求办理环保审批手续</w:t>
                  </w:r>
                </w:p>
              </w:tc>
              <w:tc>
                <w:tcPr>
                  <w:tcW w:w="552" w:type="dxa"/>
                  <w:vAlign w:val="center"/>
                </w:tcPr>
                <w:p w14:paraId="54B4964A">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szCs w:val="21"/>
                    </w:rPr>
                    <w:t>符合</w:t>
                  </w:r>
                </w:p>
              </w:tc>
            </w:tr>
            <w:tr w14:paraId="5F163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08" w:type="dxa"/>
                  <w:vAlign w:val="center"/>
                </w:tcPr>
                <w:p w14:paraId="79818AA8">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rFonts w:hint="eastAsia"/>
                      <w:color w:val="auto"/>
                      <w:kern w:val="0"/>
                      <w:szCs w:val="21"/>
                      <w:highlight w:val="none"/>
                    </w:rPr>
                    <w:t>加强区域空间管控。按照《报告书》提出的空间管控要求，加快区内各类绿地、广场及绿化防护带建设。区内绿地、广场和水域总面积约103.94 公顷。对区内防护绿地应严格实施禁止开发的空间管控措施。园区在开发过程中应严格履行环评等手续，严格禁止建设项目占用园区生态空间。</w:t>
                  </w:r>
                </w:p>
              </w:tc>
              <w:tc>
                <w:tcPr>
                  <w:tcW w:w="1545" w:type="dxa"/>
                  <w:vAlign w:val="center"/>
                </w:tcPr>
                <w:p w14:paraId="651E7288">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本项目</w:t>
                  </w:r>
                  <w:r>
                    <w:rPr>
                      <w:rFonts w:hint="eastAsia"/>
                      <w:color w:val="auto"/>
                      <w:kern w:val="0"/>
                      <w:szCs w:val="21"/>
                      <w:highlight w:val="none"/>
                    </w:rPr>
                    <w:t>用地为工业用地，未占用生态空间</w:t>
                  </w:r>
                </w:p>
              </w:tc>
              <w:tc>
                <w:tcPr>
                  <w:tcW w:w="552" w:type="dxa"/>
                  <w:vAlign w:val="center"/>
                </w:tcPr>
                <w:p w14:paraId="1244B4F7">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szCs w:val="21"/>
                    </w:rPr>
                    <w:t>符合</w:t>
                  </w:r>
                </w:p>
              </w:tc>
            </w:tr>
            <w:tr w14:paraId="539CE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08" w:type="dxa"/>
                  <w:vAlign w:val="center"/>
                </w:tcPr>
                <w:p w14:paraId="76EAA06A">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rFonts w:hint="eastAsia"/>
                      <w:color w:val="auto"/>
                      <w:kern w:val="0"/>
                      <w:szCs w:val="21"/>
                    </w:rPr>
                    <w:t>严守环境质量底线，落实污染物总量管控要求。园区污染物排放总量不得突破《报告书》提出的总量控制指标值，新增常规污染物排放总量指标纳入泗阳县总量指标内，非常规污染物排放总量控制指标可根据环境要求和入区企业实际情况由负责建设项目审批的生态环境主管部门核批。</w:t>
                  </w:r>
                </w:p>
              </w:tc>
              <w:tc>
                <w:tcPr>
                  <w:tcW w:w="1545" w:type="dxa"/>
                  <w:vAlign w:val="center"/>
                </w:tcPr>
                <w:p w14:paraId="581ABBAB">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szCs w:val="21"/>
                    </w:rPr>
                    <w:t>本项目污染物总量指标在泗阳县范围内平衡</w:t>
                  </w:r>
                </w:p>
              </w:tc>
              <w:tc>
                <w:tcPr>
                  <w:tcW w:w="552" w:type="dxa"/>
                  <w:vAlign w:val="center"/>
                </w:tcPr>
                <w:p w14:paraId="77445307">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szCs w:val="21"/>
                    </w:rPr>
                    <w:t>符合</w:t>
                  </w:r>
                </w:p>
              </w:tc>
            </w:tr>
            <w:tr w14:paraId="10C7B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08" w:type="dxa"/>
                  <w:vAlign w:val="center"/>
                </w:tcPr>
                <w:p w14:paraId="2EB45C16">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rPr>
                    <w:t>完善环境基础设施建设。加强临近居住区的工业片区监管，严格控制规划保留局部小区与周边工业用地卫生防护距离，工业园区内花庄、金庄、倪庄、罗圩村李庄组、汪北、汪西、汪东、刘庄、罗圩村路西组、於李庄、李庄村李庄组、灯塔村6组、灯塔村7组、葛庄居葛庄组、葛庄居同心组等农村居民点将在2023年12月底前搬迁完成，毗邻工业园区张庄、陈李、其虎居魏庄组等农村居民点将于2023年11月底前搬迁完成；区内尽量布局无废气排放的企业于边界和保留小区附近，严禁废气排放量大的企业入驻，对新入区企业进行严格环境监管；园区现有企业锅炉须尽快完成提标改造，加强园区内企业挥发性有机物和粉尘等废气污染物的处理处置；完善园区配套环保基础设施建设，加快推进园区污水收集管网建设；按照区内农村居民点拆迁安置计划，将区内现有分散农村居民点逐步搬迁出园区。危险废物必须送有资质和处理能力的单位安全处置。</w:t>
                  </w:r>
                </w:p>
              </w:tc>
              <w:tc>
                <w:tcPr>
                  <w:tcW w:w="1545" w:type="dxa"/>
                  <w:vAlign w:val="center"/>
                </w:tcPr>
                <w:p w14:paraId="2F636E8E">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rPr>
                    <w:t>项目废气、废水等均可以达标排放，</w:t>
                  </w:r>
                  <w:r>
                    <w:rPr>
                      <w:rFonts w:hint="eastAsia"/>
                      <w:color w:val="auto"/>
                    </w:rPr>
                    <w:t>危险废物委托有资质单位处理，满足环境管理要求</w:t>
                  </w:r>
                </w:p>
              </w:tc>
              <w:tc>
                <w:tcPr>
                  <w:tcW w:w="552" w:type="dxa"/>
                  <w:vAlign w:val="center"/>
                </w:tcPr>
                <w:p w14:paraId="360518D5">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szCs w:val="21"/>
                    </w:rPr>
                    <w:t>符合</w:t>
                  </w:r>
                </w:p>
              </w:tc>
            </w:tr>
            <w:tr w14:paraId="395D0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08" w:type="dxa"/>
                  <w:vAlign w:val="center"/>
                </w:tcPr>
                <w:p w14:paraId="5DC25F29">
                  <w:pPr>
                    <w:keepNext w:val="0"/>
                    <w:keepLines w:val="0"/>
                    <w:suppressLineNumbers w:val="0"/>
                    <w:autoSpaceDE w:val="0"/>
                    <w:autoSpaceDN w:val="0"/>
                    <w:adjustRightInd w:val="0"/>
                    <w:snapToGrid w:val="0"/>
                    <w:spacing w:before="0" w:beforeAutospacing="0" w:after="0" w:afterAutospacing="0"/>
                    <w:ind w:left="0" w:right="0"/>
                    <w:jc w:val="center"/>
                    <w:rPr>
                      <w:color w:val="auto"/>
                      <w:kern w:val="0"/>
                    </w:rPr>
                  </w:pPr>
                  <w:r>
                    <w:rPr>
                      <w:color w:val="auto"/>
                    </w:rPr>
                    <w:t>落实环境风险防范措施和事故应急预案。必须高度重视并切实加强园区环境安全管理工作，园区及入区项目均应制定并落实各类事故风险防范措施及应急预案。区内各企业须按规范要求建设贮存、使用易燃易爆危险品的生产装置，杜绝泄漏物料进入环境；储备必须的设备物资，并定期组织实战演练，最大限度地防止和减轻事故的危害，确保园区环境安全。排放工业废水的企业应设置足够容量的事故污水池，严禁污水超标排放。</w:t>
                  </w:r>
                </w:p>
              </w:tc>
              <w:tc>
                <w:tcPr>
                  <w:tcW w:w="1545" w:type="dxa"/>
                  <w:vAlign w:val="center"/>
                </w:tcPr>
                <w:p w14:paraId="07D78A06">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rFonts w:hint="eastAsia"/>
                      <w:bCs/>
                      <w:color w:val="auto"/>
                      <w:szCs w:val="21"/>
                    </w:rPr>
                    <w:t>本项目按要求加强环境风险管理，落实各项环境风险防范措施</w:t>
                  </w:r>
                </w:p>
              </w:tc>
              <w:tc>
                <w:tcPr>
                  <w:tcW w:w="552" w:type="dxa"/>
                  <w:vAlign w:val="center"/>
                </w:tcPr>
                <w:p w14:paraId="11EA9659">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szCs w:val="21"/>
                    </w:rPr>
                    <w:t>符合</w:t>
                  </w:r>
                </w:p>
              </w:tc>
            </w:tr>
            <w:tr w14:paraId="6BD41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08" w:type="dxa"/>
                  <w:vAlign w:val="center"/>
                </w:tcPr>
                <w:p w14:paraId="051A262D">
                  <w:pPr>
                    <w:keepNext w:val="0"/>
                    <w:keepLines w:val="0"/>
                    <w:suppressLineNumbers w:val="0"/>
                    <w:autoSpaceDE w:val="0"/>
                    <w:autoSpaceDN w:val="0"/>
                    <w:adjustRightInd w:val="0"/>
                    <w:snapToGrid w:val="0"/>
                    <w:spacing w:before="0" w:beforeAutospacing="0" w:after="0" w:afterAutospacing="0"/>
                    <w:ind w:left="0" w:right="0"/>
                    <w:jc w:val="center"/>
                    <w:rPr>
                      <w:color w:val="auto"/>
                      <w:kern w:val="0"/>
                    </w:rPr>
                  </w:pPr>
                  <w:r>
                    <w:rPr>
                      <w:color w:val="auto"/>
                    </w:rPr>
                    <w:t>切实加强园区环境监管。制定园区环保管理办法，实行严格的项目审批制度，落实环境保护目标责任制，健全污染治理设施管理制度，建立报告制度和环保奖惩制度。入区企业也应建立环境管理机构，配备专职环保人员，健全环境管理制度。重点污水排放企业须按要求安装废水排放在线监控设施，明确在线监测因子，并与当地生态环境主管部门联网。</w:t>
                  </w:r>
                </w:p>
              </w:tc>
              <w:tc>
                <w:tcPr>
                  <w:tcW w:w="1545" w:type="dxa"/>
                  <w:vAlign w:val="center"/>
                </w:tcPr>
                <w:p w14:paraId="6FDAAE8A">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rPr>
                    <w:t>建立环境管理机构，配备专职环保人员，健全环境管理制度</w:t>
                  </w:r>
                </w:p>
              </w:tc>
              <w:tc>
                <w:tcPr>
                  <w:tcW w:w="552" w:type="dxa"/>
                  <w:vAlign w:val="center"/>
                </w:tcPr>
                <w:p w14:paraId="47D224FF">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szCs w:val="21"/>
                    </w:rPr>
                    <w:t>符合</w:t>
                  </w:r>
                </w:p>
              </w:tc>
            </w:tr>
            <w:tr w14:paraId="2EB55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08" w:type="dxa"/>
                  <w:vAlign w:val="center"/>
                </w:tcPr>
                <w:p w14:paraId="6A7328BF">
                  <w:pPr>
                    <w:keepNext w:val="0"/>
                    <w:keepLines w:val="0"/>
                    <w:suppressLineNumbers w:val="0"/>
                    <w:autoSpaceDE w:val="0"/>
                    <w:autoSpaceDN w:val="0"/>
                    <w:adjustRightInd w:val="0"/>
                    <w:snapToGrid w:val="0"/>
                    <w:spacing w:before="0" w:beforeAutospacing="0" w:after="0" w:afterAutospacing="0"/>
                    <w:ind w:left="0" w:right="0"/>
                    <w:jc w:val="center"/>
                    <w:rPr>
                      <w:color w:val="auto"/>
                      <w:kern w:val="0"/>
                    </w:rPr>
                  </w:pPr>
                  <w:r>
                    <w:rPr>
                      <w:color w:val="auto"/>
                    </w:rPr>
                    <w:t>加强环境影响跟踪监测。建立包括环境空气、地表水、地下水、土壤等环境要素的监控体系，明确责任主体和实施时限等。做好园区大气、水、土壤等环境的长期跟踪监测与管理，组织做好园区及区内企业的环境信息公开工作。</w:t>
                  </w:r>
                </w:p>
              </w:tc>
              <w:tc>
                <w:tcPr>
                  <w:tcW w:w="1545" w:type="dxa"/>
                  <w:vAlign w:val="center"/>
                </w:tcPr>
                <w:p w14:paraId="6B924320">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rPr>
                    <w:t>按照相关要求制定监测计划</w:t>
                  </w:r>
                </w:p>
              </w:tc>
              <w:tc>
                <w:tcPr>
                  <w:tcW w:w="552" w:type="dxa"/>
                  <w:vAlign w:val="center"/>
                </w:tcPr>
                <w:p w14:paraId="544CE333">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rPr>
                  </w:pPr>
                  <w:r>
                    <w:rPr>
                      <w:color w:val="auto"/>
                      <w:kern w:val="0"/>
                      <w:szCs w:val="21"/>
                    </w:rPr>
                    <w:t>符合</w:t>
                  </w:r>
                </w:p>
              </w:tc>
            </w:tr>
          </w:tbl>
          <w:p w14:paraId="2DF9FD3B">
            <w:pPr>
              <w:pStyle w:val="63"/>
              <w:spacing w:line="360" w:lineRule="auto"/>
              <w:ind w:firstLine="420" w:firstLineChars="200"/>
              <w:jc w:val="left"/>
              <w:rPr>
                <w:rFonts w:ascii="Times New Roman" w:hAnsi="Times New Roman" w:eastAsia="宋体" w:cs="Times New Roman"/>
                <w:color w:val="auto"/>
                <w:szCs w:val="21"/>
                <w:highlight w:val="none"/>
                <w:lang w:val="en-US" w:bidi="ar-SA"/>
              </w:rPr>
            </w:pPr>
            <w:r>
              <w:rPr>
                <w:rFonts w:hint="eastAsia" w:ascii="Times New Roman" w:hAnsi="Times New Roman" w:eastAsia="宋体" w:cs="Times New Roman"/>
                <w:color w:val="auto"/>
                <w:szCs w:val="21"/>
                <w:highlight w:val="none"/>
              </w:rPr>
              <w:t>综上可知，建设项目符合相关规划、规划环境影响评价结论及审查意见。</w:t>
            </w:r>
          </w:p>
        </w:tc>
      </w:tr>
      <w:tr w14:paraId="3B68D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933" w:hRule="atLeast"/>
          <w:jc w:val="center"/>
        </w:trPr>
        <w:tc>
          <w:tcPr>
            <w:tcW w:w="1009" w:type="dxa"/>
            <w:gridSpan w:val="2"/>
            <w:vAlign w:val="center"/>
          </w:tcPr>
          <w:p w14:paraId="54DACB00">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7861" w:type="dxa"/>
            <w:gridSpan w:val="3"/>
            <w:vAlign w:val="center"/>
          </w:tcPr>
          <w:p w14:paraId="41AD7568">
            <w:pPr>
              <w:pStyle w:val="72"/>
              <w:ind w:firstLine="422"/>
              <w:rPr>
                <w:color w:val="auto"/>
                <w:sz w:val="21"/>
                <w:szCs w:val="21"/>
                <w:highlight w:val="none"/>
              </w:rPr>
            </w:pPr>
            <w:r>
              <w:rPr>
                <w:rFonts w:hint="eastAsia"/>
                <w:color w:val="auto"/>
                <w:sz w:val="21"/>
                <w:szCs w:val="21"/>
                <w:highlight w:val="none"/>
              </w:rPr>
              <w:t>1、产业政策相符性</w:t>
            </w:r>
          </w:p>
          <w:p w14:paraId="381C2AD8">
            <w:pPr>
              <w:pStyle w:val="72"/>
              <w:ind w:firstLine="420"/>
              <w:rPr>
                <w:b w:val="0"/>
                <w:bCs/>
                <w:color w:val="auto"/>
                <w:sz w:val="21"/>
                <w:szCs w:val="21"/>
                <w:highlight w:val="none"/>
              </w:rPr>
            </w:pPr>
            <w:r>
              <w:rPr>
                <w:rFonts w:hint="eastAsia"/>
                <w:b w:val="0"/>
                <w:bCs/>
                <w:color w:val="auto"/>
                <w:sz w:val="21"/>
                <w:szCs w:val="21"/>
                <w:highlight w:val="none"/>
              </w:rPr>
              <w:t>本项目</w:t>
            </w:r>
            <w:r>
              <w:rPr>
                <w:rFonts w:hint="eastAsia"/>
                <w:b w:val="0"/>
                <w:bCs/>
                <w:color w:val="auto"/>
                <w:sz w:val="21"/>
                <w:szCs w:val="21"/>
                <w:highlight w:val="none"/>
                <w:lang w:val="en-US" w:eastAsia="zh-CN"/>
              </w:rPr>
              <w:t>属于碳烤炉</w:t>
            </w:r>
            <w:r>
              <w:rPr>
                <w:rFonts w:hint="eastAsia"/>
                <w:b w:val="0"/>
                <w:bCs/>
                <w:color w:val="auto"/>
                <w:sz w:val="21"/>
                <w:szCs w:val="21"/>
                <w:highlight w:val="none"/>
              </w:rPr>
              <w:t>制造，不属于《产业结构调整指导目录(</w:t>
            </w:r>
            <w:r>
              <w:rPr>
                <w:b w:val="0"/>
                <w:bCs/>
                <w:color w:val="auto"/>
                <w:sz w:val="21"/>
                <w:szCs w:val="21"/>
                <w:highlight w:val="none"/>
              </w:rPr>
              <w:t>20</w:t>
            </w:r>
            <w:r>
              <w:rPr>
                <w:rFonts w:hint="eastAsia"/>
                <w:b w:val="0"/>
                <w:bCs/>
                <w:color w:val="auto"/>
                <w:sz w:val="21"/>
                <w:szCs w:val="21"/>
                <w:highlight w:val="none"/>
                <w:lang w:val="en-US" w:eastAsia="zh-CN"/>
              </w:rPr>
              <w:t>24</w:t>
            </w:r>
            <w:r>
              <w:rPr>
                <w:rFonts w:hint="eastAsia"/>
                <w:b w:val="0"/>
                <w:bCs/>
                <w:color w:val="auto"/>
                <w:sz w:val="21"/>
                <w:szCs w:val="21"/>
                <w:highlight w:val="none"/>
              </w:rPr>
              <w:t>年本)》中的限制类和淘汰类项目。符合国家及江苏省产业政策的各项相关规定。</w:t>
            </w:r>
          </w:p>
          <w:p w14:paraId="248B369B">
            <w:pPr>
              <w:pStyle w:val="72"/>
              <w:ind w:firstLine="420"/>
              <w:rPr>
                <w:b w:val="0"/>
                <w:bCs/>
                <w:color w:val="auto"/>
                <w:sz w:val="21"/>
                <w:szCs w:val="21"/>
                <w:highlight w:val="none"/>
              </w:rPr>
            </w:pPr>
            <w:r>
              <w:rPr>
                <w:rFonts w:hint="eastAsia"/>
                <w:b w:val="0"/>
                <w:bCs/>
                <w:color w:val="auto"/>
                <w:sz w:val="21"/>
                <w:szCs w:val="21"/>
                <w:highlight w:val="none"/>
              </w:rPr>
              <w:t>目前该项目已取得</w:t>
            </w:r>
            <w:r>
              <w:rPr>
                <w:rFonts w:hint="eastAsia"/>
                <w:b w:val="0"/>
                <w:bCs/>
                <w:color w:val="auto"/>
                <w:sz w:val="21"/>
                <w:szCs w:val="21"/>
                <w:highlight w:val="none"/>
                <w:lang w:val="en-US" w:eastAsia="zh-CN"/>
              </w:rPr>
              <w:t>泗阳县行政审批局</w:t>
            </w:r>
            <w:r>
              <w:rPr>
                <w:rFonts w:hint="eastAsia"/>
                <w:b w:val="0"/>
                <w:bCs/>
                <w:color w:val="auto"/>
                <w:sz w:val="21"/>
                <w:szCs w:val="21"/>
                <w:highlight w:val="none"/>
              </w:rPr>
              <w:t>项目备案，备案证号</w:t>
            </w:r>
            <w:r>
              <w:rPr>
                <w:rFonts w:hint="eastAsia"/>
                <w:b w:val="0"/>
                <w:bCs/>
                <w:color w:val="auto"/>
                <w:sz w:val="21"/>
                <w:szCs w:val="21"/>
                <w:highlight w:val="none"/>
                <w:lang w:val="en-US" w:eastAsia="zh-CN"/>
              </w:rPr>
              <w:t>泗阳行审备〔2023〕290号</w:t>
            </w:r>
            <w:r>
              <w:rPr>
                <w:rFonts w:hint="eastAsia"/>
                <w:b w:val="0"/>
                <w:bCs/>
                <w:color w:val="auto"/>
                <w:sz w:val="21"/>
                <w:szCs w:val="21"/>
                <w:highlight w:val="none"/>
              </w:rPr>
              <w:t>，因此本项目符合产业政策要求。</w:t>
            </w:r>
          </w:p>
          <w:p w14:paraId="32B59219">
            <w:pPr>
              <w:pStyle w:val="72"/>
              <w:ind w:firstLine="422"/>
              <w:rPr>
                <w:color w:val="auto"/>
                <w:sz w:val="21"/>
                <w:szCs w:val="21"/>
                <w:highlight w:val="none"/>
              </w:rPr>
            </w:pPr>
            <w:r>
              <w:rPr>
                <w:rFonts w:hint="eastAsia"/>
                <w:color w:val="auto"/>
                <w:sz w:val="21"/>
                <w:szCs w:val="21"/>
                <w:highlight w:val="none"/>
              </w:rPr>
              <w:t>2</w:t>
            </w:r>
            <w:r>
              <w:rPr>
                <w:color w:val="auto"/>
                <w:sz w:val="21"/>
                <w:szCs w:val="21"/>
                <w:highlight w:val="none"/>
              </w:rPr>
              <w:t>、与</w:t>
            </w:r>
            <w:r>
              <w:rPr>
                <w:rFonts w:hint="eastAsia"/>
                <w:color w:val="auto"/>
                <w:sz w:val="21"/>
                <w:szCs w:val="21"/>
                <w:highlight w:val="none"/>
              </w:rPr>
              <w:t>“</w:t>
            </w:r>
            <w:r>
              <w:rPr>
                <w:color w:val="auto"/>
                <w:sz w:val="21"/>
                <w:szCs w:val="21"/>
                <w:highlight w:val="none"/>
              </w:rPr>
              <w:t>三线一单</w:t>
            </w:r>
            <w:r>
              <w:rPr>
                <w:rFonts w:hint="eastAsia"/>
                <w:color w:val="auto"/>
                <w:sz w:val="21"/>
                <w:szCs w:val="21"/>
                <w:highlight w:val="none"/>
              </w:rPr>
              <w:t>”</w:t>
            </w:r>
            <w:r>
              <w:rPr>
                <w:color w:val="auto"/>
                <w:sz w:val="21"/>
                <w:szCs w:val="21"/>
                <w:highlight w:val="none"/>
              </w:rPr>
              <w:t>相符性分析</w:t>
            </w:r>
          </w:p>
          <w:p w14:paraId="603D89E7">
            <w:pPr>
              <w:pStyle w:val="73"/>
              <w:ind w:firstLine="422"/>
              <w:rPr>
                <w:b/>
                <w:bCs/>
                <w:color w:val="auto"/>
                <w:sz w:val="21"/>
                <w:szCs w:val="21"/>
                <w:highlight w:val="none"/>
              </w:rPr>
            </w:pPr>
            <w:r>
              <w:rPr>
                <w:b/>
                <w:bCs/>
                <w:color w:val="auto"/>
                <w:sz w:val="21"/>
                <w:szCs w:val="21"/>
                <w:highlight w:val="none"/>
              </w:rPr>
              <w:t>（1）生态红线</w:t>
            </w:r>
          </w:p>
          <w:p w14:paraId="7A8F9E38">
            <w:pPr>
              <w:pStyle w:val="24"/>
              <w:spacing w:after="0" w:line="360" w:lineRule="auto"/>
              <w:ind w:firstLine="420" w:firstLineChars="200"/>
              <w:rPr>
                <w:color w:val="auto"/>
                <w:szCs w:val="21"/>
                <w:highlight w:val="none"/>
              </w:rPr>
            </w:pPr>
            <w:bookmarkStart w:id="14" w:name="_Ref499065627"/>
            <w:bookmarkStart w:id="15" w:name="_Ref499065625"/>
            <w:r>
              <w:rPr>
                <w:color w:val="auto"/>
                <w:szCs w:val="21"/>
                <w:highlight w:val="none"/>
              </w:rPr>
              <w:t>根据《省政府关于印发江苏省生态空间管控区域规划的通知》（苏政发〔2020〕1号）</w:t>
            </w:r>
            <w:r>
              <w:rPr>
                <w:rFonts w:hint="eastAsia"/>
                <w:color w:val="auto"/>
                <w:szCs w:val="21"/>
                <w:highlight w:val="none"/>
                <w:lang w:val="en-US" w:eastAsia="zh-CN"/>
              </w:rPr>
              <w:t>和</w:t>
            </w:r>
            <w:r>
              <w:rPr>
                <w:color w:val="auto"/>
                <w:szCs w:val="21"/>
                <w:highlight w:val="none"/>
              </w:rPr>
              <w:t>《江苏省国家级生态保护红线规划》（苏政发〔2018〕74号），项目占地范围内无生态红线保护区域，</w:t>
            </w:r>
            <w:r>
              <w:rPr>
                <w:bCs/>
                <w:color w:val="auto"/>
                <w:highlight w:val="none"/>
              </w:rPr>
              <w:t>与本项目最近的生态</w:t>
            </w:r>
            <w:r>
              <w:rPr>
                <w:rFonts w:hint="eastAsia"/>
                <w:bCs/>
                <w:color w:val="auto"/>
                <w:highlight w:val="none"/>
              </w:rPr>
              <w:t>空间管控区域</w:t>
            </w:r>
            <w:r>
              <w:rPr>
                <w:bCs/>
                <w:color w:val="auto"/>
                <w:highlight w:val="none"/>
              </w:rPr>
              <w:t>是</w:t>
            </w:r>
            <w:r>
              <w:rPr>
                <w:rFonts w:hint="eastAsia"/>
                <w:bCs/>
                <w:color w:val="auto"/>
                <w:highlight w:val="none"/>
                <w:lang w:val="en-US" w:eastAsia="zh-CN"/>
              </w:rPr>
              <w:t>废黄河（泗阳县）重要湿地</w:t>
            </w:r>
            <w:r>
              <w:rPr>
                <w:bCs/>
                <w:color w:val="auto"/>
                <w:highlight w:val="none"/>
              </w:rPr>
              <w:t>，距离本项目</w:t>
            </w:r>
            <w:r>
              <w:rPr>
                <w:rFonts w:hint="eastAsia"/>
                <w:bCs/>
                <w:color w:val="auto"/>
                <w:highlight w:val="none"/>
                <w:lang w:val="en-US" w:eastAsia="zh-CN"/>
              </w:rPr>
              <w:t>1</w:t>
            </w:r>
            <w:r>
              <w:rPr>
                <w:rFonts w:hint="eastAsia"/>
                <w:bCs/>
                <w:color w:val="auto"/>
                <w:highlight w:val="none"/>
              </w:rPr>
              <w:t>.</w:t>
            </w:r>
            <w:r>
              <w:rPr>
                <w:rFonts w:hint="eastAsia"/>
                <w:bCs/>
                <w:color w:val="auto"/>
                <w:highlight w:val="none"/>
                <w:lang w:val="en-US" w:eastAsia="zh-CN"/>
              </w:rPr>
              <w:t>08</w:t>
            </w:r>
            <w:r>
              <w:rPr>
                <w:bCs/>
                <w:color w:val="auto"/>
                <w:highlight w:val="none"/>
              </w:rPr>
              <w:t>km</w:t>
            </w:r>
            <w:r>
              <w:rPr>
                <w:rFonts w:hint="eastAsia"/>
                <w:bCs/>
                <w:color w:val="auto"/>
                <w:highlight w:val="none"/>
              </w:rPr>
              <w:t>；与本项目最近的国家级生态保护红线是</w:t>
            </w:r>
            <w:r>
              <w:rPr>
                <w:rFonts w:hint="eastAsia"/>
                <w:color w:val="auto"/>
                <w:szCs w:val="21"/>
                <w:highlight w:val="none"/>
                <w:lang w:val="en-US" w:eastAsia="zh-CN"/>
              </w:rPr>
              <w:t>泗阳黄河故道省级湿地公园</w:t>
            </w:r>
            <w:r>
              <w:rPr>
                <w:rFonts w:hint="eastAsia"/>
                <w:bCs/>
                <w:color w:val="auto"/>
                <w:highlight w:val="none"/>
              </w:rPr>
              <w:t>，距离本项目</w:t>
            </w:r>
            <w:r>
              <w:rPr>
                <w:rFonts w:hint="eastAsia"/>
                <w:bCs/>
                <w:color w:val="auto"/>
                <w:highlight w:val="none"/>
                <w:lang w:val="en-US" w:eastAsia="zh-CN"/>
              </w:rPr>
              <w:t>1.18</w:t>
            </w:r>
            <w:r>
              <w:rPr>
                <w:rFonts w:hint="eastAsia"/>
                <w:bCs/>
                <w:color w:val="auto"/>
                <w:highlight w:val="none"/>
              </w:rPr>
              <w:t>km</w:t>
            </w:r>
            <w:r>
              <w:rPr>
                <w:color w:val="auto"/>
                <w:szCs w:val="21"/>
                <w:highlight w:val="none"/>
              </w:rPr>
              <w:t>。因此，项目不在《江苏省国家级生态保护红线规划》（苏政发〔2018〕74号）与《江苏省生态空间管控区域规划》（苏政发〔2020〕1号）的管控区内，符合江苏省生态红线规划。</w:t>
            </w:r>
          </w:p>
          <w:p w14:paraId="0BB5222E">
            <w:pPr>
              <w:pStyle w:val="8"/>
              <w:keepNext w:val="0"/>
              <w:keepLines w:val="0"/>
              <w:pageBreakBefore w:val="0"/>
              <w:widowControl w:val="0"/>
              <w:kinsoku/>
              <w:wordWrap/>
              <w:overflowPunct/>
              <w:topLinePunct w:val="0"/>
              <w:autoSpaceDE/>
              <w:autoSpaceDN/>
              <w:bidi w:val="0"/>
              <w:adjustRightInd/>
              <w:snapToGrid/>
              <w:spacing w:before="157" w:beforeLines="50"/>
              <w:textAlignment w:val="auto"/>
              <w:rPr>
                <w:color w:val="auto"/>
                <w:szCs w:val="21"/>
                <w:highlight w:val="none"/>
              </w:rPr>
            </w:pPr>
            <w:r>
              <w:rPr>
                <w:color w:val="auto"/>
                <w:szCs w:val="21"/>
                <w:highlight w:val="none"/>
              </w:rPr>
              <w:t>表</w:t>
            </w:r>
            <w:bookmarkEnd w:id="14"/>
            <w:r>
              <w:rPr>
                <w:color w:val="auto"/>
                <w:szCs w:val="21"/>
                <w:highlight w:val="none"/>
              </w:rPr>
              <w:t>1-</w:t>
            </w:r>
            <w:r>
              <w:rPr>
                <w:rFonts w:hint="eastAsia"/>
                <w:color w:val="auto"/>
                <w:szCs w:val="21"/>
                <w:highlight w:val="none"/>
                <w:lang w:val="en-US" w:eastAsia="zh-CN"/>
              </w:rPr>
              <w:t xml:space="preserve">3 </w:t>
            </w:r>
            <w:r>
              <w:rPr>
                <w:color w:val="auto"/>
                <w:szCs w:val="21"/>
                <w:highlight w:val="none"/>
              </w:rPr>
              <w:t>生态红线区域概况表</w:t>
            </w:r>
            <w:bookmarkEnd w:id="15"/>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08"/>
              <w:gridCol w:w="735"/>
              <w:gridCol w:w="2333"/>
              <w:gridCol w:w="2666"/>
              <w:gridCol w:w="476"/>
              <w:gridCol w:w="687"/>
            </w:tblGrid>
            <w:tr w14:paraId="6D689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08" w:type="dxa"/>
                  <w:vMerge w:val="restart"/>
                  <w:vAlign w:val="center"/>
                </w:tcPr>
                <w:p w14:paraId="4FFAE45E">
                  <w:pPr>
                    <w:adjustRightInd w:val="0"/>
                    <w:snapToGrid w:val="0"/>
                    <w:jc w:val="center"/>
                    <w:rPr>
                      <w:b/>
                      <w:color w:val="auto"/>
                      <w:szCs w:val="21"/>
                      <w:highlight w:val="none"/>
                    </w:rPr>
                  </w:pPr>
                  <w:r>
                    <w:rPr>
                      <w:b/>
                      <w:color w:val="auto"/>
                      <w:szCs w:val="21"/>
                      <w:highlight w:val="none"/>
                    </w:rPr>
                    <w:t>红线区域名称</w:t>
                  </w:r>
                </w:p>
              </w:tc>
              <w:tc>
                <w:tcPr>
                  <w:tcW w:w="735" w:type="dxa"/>
                  <w:vMerge w:val="restart"/>
                  <w:vAlign w:val="center"/>
                </w:tcPr>
                <w:p w14:paraId="19F9D9E2">
                  <w:pPr>
                    <w:adjustRightInd w:val="0"/>
                    <w:snapToGrid w:val="0"/>
                    <w:jc w:val="center"/>
                    <w:rPr>
                      <w:b/>
                      <w:color w:val="auto"/>
                      <w:szCs w:val="21"/>
                      <w:highlight w:val="none"/>
                    </w:rPr>
                  </w:pPr>
                  <w:r>
                    <w:rPr>
                      <w:b/>
                      <w:color w:val="auto"/>
                      <w:szCs w:val="21"/>
                      <w:highlight w:val="none"/>
                    </w:rPr>
                    <w:t>主导生态功能</w:t>
                  </w:r>
                </w:p>
              </w:tc>
              <w:tc>
                <w:tcPr>
                  <w:tcW w:w="4999" w:type="dxa"/>
                  <w:gridSpan w:val="2"/>
                  <w:vAlign w:val="center"/>
                </w:tcPr>
                <w:p w14:paraId="067F27D3">
                  <w:pPr>
                    <w:adjustRightInd w:val="0"/>
                    <w:snapToGrid w:val="0"/>
                    <w:spacing w:line="300" w:lineRule="exact"/>
                    <w:jc w:val="center"/>
                    <w:rPr>
                      <w:b/>
                      <w:color w:val="auto"/>
                      <w:szCs w:val="21"/>
                      <w:highlight w:val="none"/>
                    </w:rPr>
                  </w:pPr>
                  <w:r>
                    <w:rPr>
                      <w:b/>
                      <w:bCs/>
                      <w:color w:val="auto"/>
                      <w:szCs w:val="21"/>
                      <w:highlight w:val="none"/>
                    </w:rPr>
                    <w:t>范围</w:t>
                  </w:r>
                </w:p>
              </w:tc>
              <w:tc>
                <w:tcPr>
                  <w:tcW w:w="1163" w:type="dxa"/>
                  <w:gridSpan w:val="2"/>
                  <w:vAlign w:val="center"/>
                </w:tcPr>
                <w:p w14:paraId="42AC48DB">
                  <w:pPr>
                    <w:adjustRightInd w:val="0"/>
                    <w:snapToGrid w:val="0"/>
                    <w:jc w:val="center"/>
                    <w:rPr>
                      <w:b/>
                      <w:color w:val="auto"/>
                      <w:szCs w:val="21"/>
                      <w:highlight w:val="none"/>
                    </w:rPr>
                  </w:pPr>
                  <w:r>
                    <w:rPr>
                      <w:b/>
                      <w:color w:val="auto"/>
                      <w:szCs w:val="21"/>
                      <w:highlight w:val="none"/>
                    </w:rPr>
                    <w:t>相对本项目*</w:t>
                  </w:r>
                </w:p>
              </w:tc>
            </w:tr>
            <w:tr w14:paraId="069F9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908" w:type="dxa"/>
                  <w:vMerge w:val="continue"/>
                  <w:vAlign w:val="center"/>
                </w:tcPr>
                <w:p w14:paraId="531686C3">
                  <w:pPr>
                    <w:adjustRightInd w:val="0"/>
                    <w:snapToGrid w:val="0"/>
                    <w:jc w:val="center"/>
                    <w:rPr>
                      <w:b/>
                      <w:color w:val="auto"/>
                      <w:szCs w:val="21"/>
                      <w:highlight w:val="none"/>
                    </w:rPr>
                  </w:pPr>
                </w:p>
              </w:tc>
              <w:tc>
                <w:tcPr>
                  <w:tcW w:w="735" w:type="dxa"/>
                  <w:vMerge w:val="continue"/>
                  <w:vAlign w:val="center"/>
                </w:tcPr>
                <w:p w14:paraId="1AAAB67F">
                  <w:pPr>
                    <w:adjustRightInd w:val="0"/>
                    <w:snapToGrid w:val="0"/>
                    <w:jc w:val="center"/>
                    <w:rPr>
                      <w:b/>
                      <w:color w:val="auto"/>
                      <w:szCs w:val="21"/>
                      <w:highlight w:val="none"/>
                    </w:rPr>
                  </w:pPr>
                </w:p>
              </w:tc>
              <w:tc>
                <w:tcPr>
                  <w:tcW w:w="2333" w:type="dxa"/>
                  <w:vAlign w:val="center"/>
                </w:tcPr>
                <w:p w14:paraId="5428777E">
                  <w:pPr>
                    <w:adjustRightInd w:val="0"/>
                    <w:snapToGrid w:val="0"/>
                    <w:spacing w:line="300" w:lineRule="exact"/>
                    <w:jc w:val="center"/>
                    <w:rPr>
                      <w:b/>
                      <w:color w:val="auto"/>
                      <w:szCs w:val="21"/>
                      <w:highlight w:val="none"/>
                    </w:rPr>
                  </w:pPr>
                  <w:r>
                    <w:rPr>
                      <w:b/>
                      <w:bCs/>
                      <w:color w:val="auto"/>
                      <w:szCs w:val="21"/>
                      <w:highlight w:val="none"/>
                    </w:rPr>
                    <w:t xml:space="preserve">国家级生态保护红线范围 </w:t>
                  </w:r>
                </w:p>
              </w:tc>
              <w:tc>
                <w:tcPr>
                  <w:tcW w:w="2666" w:type="dxa"/>
                  <w:vAlign w:val="center"/>
                </w:tcPr>
                <w:p w14:paraId="492CDEDE">
                  <w:pPr>
                    <w:adjustRightInd w:val="0"/>
                    <w:snapToGrid w:val="0"/>
                    <w:spacing w:line="300" w:lineRule="exact"/>
                    <w:jc w:val="center"/>
                    <w:rPr>
                      <w:b/>
                      <w:color w:val="auto"/>
                      <w:szCs w:val="21"/>
                      <w:highlight w:val="none"/>
                    </w:rPr>
                  </w:pPr>
                  <w:r>
                    <w:rPr>
                      <w:b/>
                      <w:bCs/>
                      <w:color w:val="auto"/>
                      <w:szCs w:val="21"/>
                      <w:highlight w:val="none"/>
                    </w:rPr>
                    <w:t>生态空间管控区域范围</w:t>
                  </w:r>
                </w:p>
              </w:tc>
              <w:tc>
                <w:tcPr>
                  <w:tcW w:w="476" w:type="dxa"/>
                  <w:vAlign w:val="center"/>
                </w:tcPr>
                <w:p w14:paraId="767764DF">
                  <w:pPr>
                    <w:adjustRightInd w:val="0"/>
                    <w:snapToGrid w:val="0"/>
                    <w:jc w:val="center"/>
                    <w:rPr>
                      <w:b/>
                      <w:color w:val="auto"/>
                      <w:szCs w:val="21"/>
                      <w:highlight w:val="none"/>
                    </w:rPr>
                  </w:pPr>
                  <w:r>
                    <w:rPr>
                      <w:b/>
                      <w:color w:val="auto"/>
                      <w:szCs w:val="21"/>
                      <w:highlight w:val="none"/>
                    </w:rPr>
                    <w:t>方位</w:t>
                  </w:r>
                </w:p>
              </w:tc>
              <w:tc>
                <w:tcPr>
                  <w:tcW w:w="687" w:type="dxa"/>
                  <w:vAlign w:val="center"/>
                </w:tcPr>
                <w:p w14:paraId="36013493">
                  <w:pPr>
                    <w:adjustRightInd w:val="0"/>
                    <w:snapToGrid w:val="0"/>
                    <w:jc w:val="center"/>
                    <w:rPr>
                      <w:b/>
                      <w:color w:val="auto"/>
                      <w:szCs w:val="21"/>
                      <w:highlight w:val="none"/>
                    </w:rPr>
                  </w:pPr>
                  <w:r>
                    <w:rPr>
                      <w:b/>
                      <w:color w:val="auto"/>
                      <w:szCs w:val="21"/>
                      <w:highlight w:val="none"/>
                    </w:rPr>
                    <w:t>距离（km）</w:t>
                  </w:r>
                </w:p>
              </w:tc>
            </w:tr>
            <w:tr w14:paraId="3901A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08" w:type="dxa"/>
                  <w:vAlign w:val="center"/>
                </w:tcPr>
                <w:p w14:paraId="44F48F78">
                  <w:pPr>
                    <w:keepNext w:val="0"/>
                    <w:keepLines w:val="0"/>
                    <w:pageBreakBefore/>
                    <w:suppressLineNumbers w:val="0"/>
                    <w:spacing w:before="0" w:beforeAutospacing="0" w:after="0" w:afterAutospacing="0" w:line="280" w:lineRule="exact"/>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废黄河（泗阳县）重要湿地</w:t>
                  </w:r>
                </w:p>
              </w:tc>
              <w:tc>
                <w:tcPr>
                  <w:tcW w:w="735" w:type="dxa"/>
                  <w:vAlign w:val="center"/>
                </w:tcPr>
                <w:p w14:paraId="1DF121CE">
                  <w:pPr>
                    <w:keepNext w:val="0"/>
                    <w:keepLines w:val="0"/>
                    <w:pageBreakBefore/>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hAnsi="宋体"/>
                      <w:color w:val="auto"/>
                      <w:szCs w:val="21"/>
                      <w:lang w:val="en-US" w:eastAsia="zh-CN"/>
                    </w:rPr>
                    <w:t>湿地生态系统</w:t>
                  </w:r>
                  <w:r>
                    <w:rPr>
                      <w:rFonts w:hint="eastAsia" w:hAnsi="宋体"/>
                      <w:color w:val="auto"/>
                      <w:szCs w:val="21"/>
                    </w:rPr>
                    <w:t>保护</w:t>
                  </w:r>
                </w:p>
              </w:tc>
              <w:tc>
                <w:tcPr>
                  <w:tcW w:w="2333" w:type="dxa"/>
                  <w:vAlign w:val="center"/>
                </w:tcPr>
                <w:p w14:paraId="10C4FA68">
                  <w:pPr>
                    <w:keepNext w:val="0"/>
                    <w:keepLines w:val="0"/>
                    <w:pageBreakBefore/>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2666" w:type="dxa"/>
                  <w:vAlign w:val="center"/>
                </w:tcPr>
                <w:p w14:paraId="01BCF9BC">
                  <w:pPr>
                    <w:keepNext w:val="0"/>
                    <w:keepLines w:val="0"/>
                    <w:pageBreakBefore/>
                    <w:suppressLineNumbers w:val="0"/>
                    <w:spacing w:before="0" w:beforeAutospacing="0" w:after="0" w:afterAutospacing="0" w:line="280" w:lineRule="exact"/>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泗阳县境内西起临河镇熊码村东至新袁镇新滩村段古黄河水域，及临河镇熊码村至西安路大桥段、上海路至新袁镇新滩村段古黄河两岸</w:t>
                  </w:r>
                  <w:r>
                    <w:rPr>
                      <w:rFonts w:hint="default"/>
                      <w:color w:val="auto"/>
                      <w:szCs w:val="21"/>
                      <w:highlight w:val="none"/>
                      <w:lang w:val="en-US" w:eastAsia="zh-CN"/>
                    </w:rPr>
                    <w:t>100</w:t>
                  </w:r>
                  <w:r>
                    <w:rPr>
                      <w:rFonts w:hint="eastAsia"/>
                      <w:color w:val="auto"/>
                      <w:szCs w:val="21"/>
                      <w:highlight w:val="none"/>
                      <w:lang w:val="en-US" w:eastAsia="zh-CN"/>
                    </w:rPr>
                    <w:t>米范围（其中金庄村（徐圩村）至徐淮高速段为两岸</w:t>
                  </w:r>
                  <w:r>
                    <w:rPr>
                      <w:rFonts w:hint="default"/>
                      <w:color w:val="auto"/>
                      <w:szCs w:val="21"/>
                      <w:highlight w:val="none"/>
                      <w:lang w:val="en-US" w:eastAsia="zh-CN"/>
                    </w:rPr>
                    <w:t>200</w:t>
                  </w:r>
                  <w:r>
                    <w:rPr>
                      <w:rFonts w:hint="eastAsia"/>
                      <w:color w:val="auto"/>
                      <w:szCs w:val="21"/>
                      <w:highlight w:val="none"/>
                      <w:lang w:val="en-US" w:eastAsia="zh-CN"/>
                    </w:rPr>
                    <w:t>米范围）</w:t>
                  </w:r>
                </w:p>
              </w:tc>
              <w:tc>
                <w:tcPr>
                  <w:tcW w:w="476" w:type="dxa"/>
                  <w:vAlign w:val="center"/>
                </w:tcPr>
                <w:p w14:paraId="55572B91">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E</w:t>
                  </w:r>
                </w:p>
              </w:tc>
              <w:tc>
                <w:tcPr>
                  <w:tcW w:w="687" w:type="dxa"/>
                  <w:vAlign w:val="center"/>
                </w:tcPr>
                <w:p w14:paraId="7783E48A">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08</w:t>
                  </w:r>
                </w:p>
              </w:tc>
            </w:tr>
            <w:tr w14:paraId="73F75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08" w:type="dxa"/>
                  <w:vAlign w:val="center"/>
                </w:tcPr>
                <w:p w14:paraId="06084102">
                  <w:pPr>
                    <w:pageBreakBefore/>
                    <w:spacing w:line="280" w:lineRule="exact"/>
                    <w:jc w:val="center"/>
                    <w:rPr>
                      <w:color w:val="auto"/>
                      <w:szCs w:val="21"/>
                      <w:highlight w:val="none"/>
                    </w:rPr>
                  </w:pPr>
                  <w:r>
                    <w:rPr>
                      <w:rFonts w:hint="eastAsia"/>
                      <w:color w:val="auto"/>
                      <w:szCs w:val="21"/>
                      <w:highlight w:val="none"/>
                      <w:lang w:val="en-US" w:eastAsia="zh-CN"/>
                    </w:rPr>
                    <w:t>泗阳黄河故道省级湿地公园</w:t>
                  </w:r>
                </w:p>
              </w:tc>
              <w:tc>
                <w:tcPr>
                  <w:tcW w:w="735" w:type="dxa"/>
                  <w:vAlign w:val="center"/>
                </w:tcPr>
                <w:p w14:paraId="2C8E9201">
                  <w:pPr>
                    <w:pageBreakBefore/>
                    <w:spacing w:line="280" w:lineRule="exact"/>
                    <w:jc w:val="center"/>
                    <w:rPr>
                      <w:color w:val="auto"/>
                      <w:szCs w:val="21"/>
                      <w:highlight w:val="none"/>
                    </w:rPr>
                  </w:pPr>
                  <w:r>
                    <w:rPr>
                      <w:rFonts w:hint="eastAsia" w:hAnsi="宋体"/>
                      <w:color w:val="auto"/>
                      <w:szCs w:val="21"/>
                      <w:highlight w:val="none"/>
                    </w:rPr>
                    <w:t>水源水质保护</w:t>
                  </w:r>
                </w:p>
              </w:tc>
              <w:tc>
                <w:tcPr>
                  <w:tcW w:w="2333" w:type="dxa"/>
                  <w:vAlign w:val="center"/>
                </w:tcPr>
                <w:p w14:paraId="724B6CD4">
                  <w:pPr>
                    <w:keepNext w:val="0"/>
                    <w:keepLines w:val="0"/>
                    <w:widowControl/>
                    <w:suppressLineNumbers w:val="0"/>
                    <w:jc w:val="left"/>
                    <w:rPr>
                      <w:color w:val="auto"/>
                      <w:szCs w:val="21"/>
                      <w:highlight w:val="none"/>
                    </w:rPr>
                  </w:pPr>
                  <w:r>
                    <w:rPr>
                      <w:rFonts w:hint="eastAsia" w:ascii="宋体" w:hAnsi="宋体" w:eastAsia="宋体" w:cs="宋体"/>
                      <w:color w:val="000000"/>
                      <w:kern w:val="0"/>
                      <w:sz w:val="21"/>
                      <w:szCs w:val="21"/>
                      <w:lang w:val="en-US" w:eastAsia="zh-CN" w:bidi="ar"/>
                    </w:rPr>
                    <w:t>泗阳黄河故道省级湿地公园总体规划中确定的范围（包括湿地保育区和恢复重建区等）</w:t>
                  </w:r>
                </w:p>
              </w:tc>
              <w:tc>
                <w:tcPr>
                  <w:tcW w:w="2666" w:type="dxa"/>
                  <w:vAlign w:val="center"/>
                </w:tcPr>
                <w:p w14:paraId="1019B241">
                  <w:pPr>
                    <w:pageBreakBefore/>
                    <w:spacing w:line="280" w:lineRule="exact"/>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476" w:type="dxa"/>
                  <w:vAlign w:val="center"/>
                </w:tcPr>
                <w:p w14:paraId="37A560D8">
                  <w:pPr>
                    <w:adjustRightInd w:val="0"/>
                    <w:snapToGrid w:val="0"/>
                    <w:jc w:val="center"/>
                    <w:rPr>
                      <w:color w:val="auto"/>
                      <w:szCs w:val="21"/>
                      <w:highlight w:val="none"/>
                    </w:rPr>
                  </w:pPr>
                  <w:r>
                    <w:rPr>
                      <w:rFonts w:hint="eastAsia"/>
                      <w:color w:val="auto"/>
                      <w:szCs w:val="21"/>
                      <w:highlight w:val="none"/>
                      <w:lang w:val="en-US" w:eastAsia="zh-CN"/>
                    </w:rPr>
                    <w:t>E</w:t>
                  </w:r>
                </w:p>
              </w:tc>
              <w:tc>
                <w:tcPr>
                  <w:tcW w:w="687" w:type="dxa"/>
                  <w:vAlign w:val="center"/>
                </w:tcPr>
                <w:p w14:paraId="7BB0578F">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1.18</w:t>
                  </w:r>
                </w:p>
              </w:tc>
            </w:tr>
          </w:tbl>
          <w:p w14:paraId="1329D5CD">
            <w:pPr>
              <w:pStyle w:val="73"/>
              <w:ind w:firstLine="420"/>
              <w:rPr>
                <w:color w:val="auto"/>
                <w:sz w:val="21"/>
                <w:szCs w:val="21"/>
                <w:highlight w:val="none"/>
              </w:rPr>
            </w:pPr>
            <w:r>
              <w:rPr>
                <w:color w:val="auto"/>
                <w:sz w:val="21"/>
                <w:szCs w:val="21"/>
                <w:highlight w:val="none"/>
              </w:rPr>
              <w:t>（2）环境质量底线</w:t>
            </w:r>
          </w:p>
          <w:p w14:paraId="06A72430">
            <w:pPr>
              <w:pStyle w:val="10"/>
              <w:keepNext w:val="0"/>
              <w:keepLines w:val="0"/>
              <w:pageBreakBefore w:val="0"/>
              <w:widowControl w:val="0"/>
              <w:shd w:val="clear"/>
              <w:kinsoku/>
              <w:wordWrap/>
              <w:overflowPunct/>
              <w:topLinePunct w:val="0"/>
              <w:autoSpaceDE/>
              <w:autoSpaceDN/>
              <w:bidi w:val="0"/>
              <w:snapToGrid w:val="0"/>
              <w:spacing w:before="0" w:after="0" w:line="360" w:lineRule="auto"/>
              <w:ind w:right="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4"/>
                <w:highlight w:val="none"/>
              </w:rPr>
              <w:t>空气环境质量状况：</w:t>
            </w:r>
            <w:r>
              <w:rPr>
                <w:rFonts w:hint="eastAsia" w:cs="Times New Roman"/>
                <w:color w:val="auto"/>
                <w:sz w:val="21"/>
                <w:szCs w:val="21"/>
                <w:highlight w:val="none"/>
                <w:lang w:val="en-US" w:eastAsia="zh-CN"/>
              </w:rPr>
              <w:t>根据</w:t>
            </w:r>
            <w:r>
              <w:rPr>
                <w:rFonts w:hint="default" w:ascii="Times New Roman" w:hAnsi="Times New Roman" w:cs="Times New Roman"/>
                <w:color w:val="auto"/>
                <w:sz w:val="21"/>
                <w:szCs w:val="21"/>
                <w:highlight w:val="none"/>
              </w:rPr>
              <w:t>《宿迁市202</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年度生态环境状况公报》</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2023年，全市环境空气优良天数达261天，优良天数比例为71.5%；空气中PM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指标浓度同比上升，浓度均值分别为39.8μg/m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、63μg/m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、25μg/m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、8μg/m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，同比分别上升7.9%、3.3%、8.7%、33.3%；O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、CO指标浓度与2022年持平，浓度均值分别为169μg/m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、1mg/m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；其中，O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作为首要污染物的超标天数为53天，占全年超标天数比例达51%，已成为影响全市环境空气质量的主要指标。</w:t>
            </w:r>
          </w:p>
          <w:p w14:paraId="32FBD4C0">
            <w:pPr>
              <w:pStyle w:val="10"/>
              <w:keepNext w:val="0"/>
              <w:keepLines w:val="0"/>
              <w:pageBreakBefore w:val="0"/>
              <w:widowControl w:val="0"/>
              <w:shd w:val="clear"/>
              <w:kinsoku/>
              <w:wordWrap/>
              <w:overflowPunct/>
              <w:topLinePunct w:val="0"/>
              <w:autoSpaceDE/>
              <w:autoSpaceDN/>
              <w:bidi w:val="0"/>
              <w:snapToGrid w:val="0"/>
              <w:spacing w:before="0" w:after="0" w:line="360" w:lineRule="auto"/>
              <w:ind w:right="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沭阳、泗阳和泗洪三县城市环境空气质量优良天数分别为274天、289天、296天，优良天数比例分别为75.1%、79.2%、81.1%。</w:t>
            </w:r>
          </w:p>
          <w:p w14:paraId="0C7C996B">
            <w:pPr>
              <w:pStyle w:val="10"/>
              <w:keepNext w:val="0"/>
              <w:keepLines w:val="0"/>
              <w:pageBreakBefore w:val="0"/>
              <w:widowControl w:val="0"/>
              <w:shd w:val="clear"/>
              <w:kinsoku/>
              <w:wordWrap/>
              <w:overflowPunct/>
              <w:topLinePunct w:val="0"/>
              <w:autoSpaceDE/>
              <w:autoSpaceDN/>
              <w:bidi w:val="0"/>
              <w:snapToGrid w:val="0"/>
              <w:spacing w:before="0" w:after="0" w:line="360" w:lineRule="auto"/>
              <w:ind w:right="0" w:firstLine="420" w:firstLineChars="200"/>
              <w:jc w:val="both"/>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全市降水pH年均值为7.28，介于6.61-8.22之间，与2022年相比，雨水pH值稳定，未出现酸雨</w:t>
            </w:r>
            <w:r>
              <w:rPr>
                <w:rFonts w:ascii="Times New Roman" w:hAnsi="Times New Roman" w:cs="Times New Roman"/>
                <w:color w:val="auto"/>
                <w:sz w:val="21"/>
                <w:szCs w:val="21"/>
                <w:highlight w:val="none"/>
              </w:rPr>
              <w:t>。</w:t>
            </w:r>
          </w:p>
          <w:p w14:paraId="31EF2F18">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rFonts w:hint="eastAsia" w:cs="Times New Roman"/>
                <w:color w:val="auto"/>
                <w:sz w:val="21"/>
                <w:szCs w:val="21"/>
                <w:highlight w:val="none"/>
                <w:lang w:eastAsia="zh-CN"/>
              </w:rPr>
            </w:pPr>
            <w:r>
              <w:rPr>
                <w:rFonts w:hint="eastAsia" w:cs="Times New Roman"/>
                <w:color w:val="auto"/>
                <w:sz w:val="21"/>
                <w:szCs w:val="21"/>
                <w:highlight w:val="none"/>
                <w:lang w:eastAsia="zh-CN"/>
              </w:rPr>
              <w:t>为贯彻落实国家和省有关要求，持续深入打好蓝天保卫战，切实保障人民群众身体健康，以空气质量持续改善推动经济高质量发展，宿迁市人民政府结合市情于2024年8月21日发布《宿迁市空气质量持续改善行动计划实施方案》（宿政发〔2024〕97号），《实施方案》除明确目标任务外共八个部分，明确全省、各设区市空气质量改善目标和58项重点任务。</w:t>
            </w:r>
          </w:p>
          <w:p w14:paraId="73A3B04B">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一</w:t>
            </w:r>
            <w:r>
              <w:rPr>
                <w:rFonts w:hint="eastAsia"/>
                <w:color w:val="auto"/>
                <w:sz w:val="21"/>
                <w:szCs w:val="21"/>
                <w:highlight w:val="none"/>
                <w:lang w:eastAsia="zh-CN"/>
              </w:rPr>
              <w:t>）优化产业结构，促进产业绿色低碳升级。一是坚决遏制高耗能、高排放、低水平项目盲目上马；二是加快退出重点行业落后产能；三是推进传统产业升级和固定源提标改造；四是推进园区、产业集群绿色低碳化改造与综合整治；五是强化VOCs全环节、全流程综合治理。</w:t>
            </w:r>
          </w:p>
          <w:p w14:paraId="4022DBF4">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二</w:t>
            </w:r>
            <w:r>
              <w:rPr>
                <w:rFonts w:hint="eastAsia"/>
                <w:color w:val="auto"/>
                <w:sz w:val="21"/>
                <w:szCs w:val="21"/>
                <w:highlight w:val="none"/>
                <w:lang w:eastAsia="zh-CN"/>
              </w:rPr>
              <w:t>）优化能源结构，加快能源清洁低碳高效发展。一是大力发展新能源和清洁能源；二是严格合理控制煤炭消费总量，提升利用效率；三是持续降低重点领域能耗强度；四是深入推进燃煤锅炉关停整合。</w:t>
            </w:r>
          </w:p>
          <w:p w14:paraId="620EB85A">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三</w:t>
            </w:r>
            <w:r>
              <w:rPr>
                <w:rFonts w:hint="eastAsia"/>
                <w:color w:val="auto"/>
                <w:sz w:val="21"/>
                <w:szCs w:val="21"/>
                <w:highlight w:val="none"/>
                <w:lang w:eastAsia="zh-CN"/>
              </w:rPr>
              <w:t>）优化交通结构，大力发展绿色运输体系。一是持续优化调整货物运输结构；二是加快提升机动车清洁化水平；三是强化非道路移动源综合治理；四是全面保障成品油质量。</w:t>
            </w:r>
          </w:p>
          <w:p w14:paraId="1E061981">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四</w:t>
            </w:r>
            <w:r>
              <w:rPr>
                <w:rFonts w:hint="eastAsia"/>
                <w:color w:val="auto"/>
                <w:sz w:val="21"/>
                <w:szCs w:val="21"/>
                <w:highlight w:val="none"/>
                <w:lang w:eastAsia="zh-CN"/>
              </w:rPr>
              <w:t>）强化面源污染治理，提升精细化管理水平。一是强化扬尘精细化管控；二是加强秸秆综合利用和禁烧；三是加强餐饮油烟防治；四是开展恶臭异味专项治理；五是稳步推进大气氨污染防控。</w:t>
            </w:r>
          </w:p>
          <w:p w14:paraId="5F48A69E">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五</w:t>
            </w:r>
            <w:r>
              <w:rPr>
                <w:rFonts w:hint="eastAsia"/>
                <w:color w:val="auto"/>
                <w:sz w:val="21"/>
                <w:szCs w:val="21"/>
                <w:highlight w:val="none"/>
                <w:lang w:eastAsia="zh-CN"/>
              </w:rPr>
              <w:t>）加强机制建设，完善大气环境管理体系。一是实施区域空气质量达标管理；二是完善重污染天气应对机制；三是推进A、B级绩效企业培育。</w:t>
            </w:r>
          </w:p>
          <w:p w14:paraId="0ED5F39F">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六</w:t>
            </w:r>
            <w:r>
              <w:rPr>
                <w:rFonts w:hint="eastAsia"/>
                <w:color w:val="auto"/>
                <w:sz w:val="21"/>
                <w:szCs w:val="21"/>
                <w:highlight w:val="none"/>
                <w:lang w:eastAsia="zh-CN"/>
              </w:rPr>
              <w:t>）加强能力建设，严格执法监督。一是持续加强监测能力建设；二是强化执法监管能力建设。</w:t>
            </w:r>
          </w:p>
          <w:p w14:paraId="6993C6F5">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七</w:t>
            </w:r>
            <w:r>
              <w:rPr>
                <w:rFonts w:hint="eastAsia"/>
                <w:color w:val="auto"/>
                <w:sz w:val="21"/>
                <w:szCs w:val="21"/>
                <w:highlight w:val="none"/>
                <w:lang w:eastAsia="zh-CN"/>
              </w:rPr>
              <w:t>）健全法律法规标准体系，完善环境经济政策。一是强化法规标准引领；二是完善价格税费激励约束机制；三是积极发挥财政金融引导作用。</w:t>
            </w:r>
          </w:p>
          <w:p w14:paraId="1C03A06B">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八</w:t>
            </w:r>
            <w:r>
              <w:rPr>
                <w:rFonts w:hint="eastAsia"/>
                <w:color w:val="auto"/>
                <w:sz w:val="21"/>
                <w:szCs w:val="21"/>
                <w:highlight w:val="none"/>
                <w:lang w:eastAsia="zh-CN"/>
              </w:rPr>
              <w:t>）落实各方责任，开展全民行动。一是加强组织领导；二是严格监督考核；三是推进信息公开；四是实施全民行动。</w:t>
            </w:r>
          </w:p>
          <w:p w14:paraId="7E4F65A8">
            <w:pPr>
              <w:keepNext w:val="0"/>
              <w:keepLines w:val="0"/>
              <w:numPr>
                <w:ilvl w:val="0"/>
                <w:numId w:val="0"/>
              </w:numPr>
              <w:suppressLineNumbers w:val="0"/>
              <w:tabs>
                <w:tab w:val="left" w:pos="276"/>
              </w:tabs>
              <w:autoSpaceDE w:val="0"/>
              <w:autoSpaceDN w:val="0"/>
              <w:adjustRightInd w:val="0"/>
              <w:snapToGrid w:val="0"/>
              <w:spacing w:before="0" w:beforeAutospacing="0" w:after="0" w:afterAutospacing="0" w:line="360" w:lineRule="auto"/>
              <w:ind w:leftChars="200" w:right="0" w:rightChars="0"/>
              <w:rPr>
                <w:color w:val="auto"/>
                <w:highlight w:val="none"/>
              </w:rPr>
            </w:pPr>
            <w:r>
              <w:rPr>
                <w:rFonts w:hint="eastAsia" w:cs="Times New Roman"/>
                <w:color w:val="auto"/>
                <w:sz w:val="21"/>
                <w:szCs w:val="21"/>
                <w:highlight w:val="none"/>
                <w:lang w:eastAsia="zh-CN"/>
              </w:rPr>
              <w:t>采取上述措施后，大气环境质量状况可以得到有效的改善。</w:t>
            </w:r>
          </w:p>
          <w:p w14:paraId="74DCA19C">
            <w:pPr>
              <w:widowControl/>
              <w:spacing w:line="360" w:lineRule="auto"/>
              <w:ind w:firstLine="420" w:firstLineChars="200"/>
              <w:jc w:val="both"/>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szCs w:val="21"/>
                <w:highlight w:val="none"/>
              </w:rPr>
              <w:t>水环境质量状况：</w:t>
            </w:r>
            <w:r>
              <w:rPr>
                <w:rFonts w:hint="default" w:ascii="Times New Roman" w:hAnsi="Times New Roman" w:cs="Times New Roman"/>
                <w:color w:val="auto"/>
                <w:szCs w:val="21"/>
                <w:highlight w:val="none"/>
                <w:lang w:val="en-US" w:eastAsia="zh-CN"/>
              </w:rPr>
              <w:t>根据</w:t>
            </w:r>
            <w:r>
              <w:rPr>
                <w:rFonts w:hint="default" w:ascii="Times New Roman" w:hAnsi="Times New Roman" w:cs="Times New Roman"/>
                <w:color w:val="auto"/>
                <w:szCs w:val="21"/>
                <w:highlight w:val="none"/>
              </w:rPr>
              <w:t>《宿迁市202</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lang w:val="en-US" w:eastAsia="zh-CN"/>
              </w:rPr>
              <w:t>度</w:t>
            </w:r>
            <w:r>
              <w:rPr>
                <w:rFonts w:hint="default" w:ascii="Times New Roman" w:hAnsi="Times New Roman" w:cs="Times New Roman"/>
                <w:color w:val="auto"/>
                <w:szCs w:val="21"/>
                <w:highlight w:val="none"/>
              </w:rPr>
              <w:t>环境状况公报》，全市10个县级以上集中式饮用水水源地水质优Ⅲ比例为100%。全市15个国考断面水质达标率为100%，优Ⅲ水体比例为86.7%，无劣Ⅴ类水体。全市35个省考断面水质达标率为100%，优Ⅲ水体比例为100%，无劣Ⅴ类水体。</w:t>
            </w:r>
          </w:p>
          <w:p w14:paraId="7520BA65">
            <w:pPr>
              <w:widowControl/>
              <w:spacing w:line="360" w:lineRule="auto"/>
              <w:ind w:firstLine="420" w:firstLineChars="200"/>
              <w:rPr>
                <w:rFonts w:hint="eastAsia" w:ascii="宋体" w:hAnsi="宋体" w:cs="宋体"/>
                <w:color w:val="auto"/>
                <w:szCs w:val="22"/>
                <w:highlight w:val="none"/>
              </w:rPr>
            </w:pPr>
            <w:r>
              <w:rPr>
                <w:rFonts w:hint="eastAsia"/>
                <w:color w:val="auto"/>
                <w:highlight w:val="none"/>
              </w:rPr>
              <w:t>声环境质量状况：</w:t>
            </w:r>
            <w:r>
              <w:rPr>
                <w:rFonts w:hint="eastAsia" w:ascii="Times New Roman" w:hAnsi="Times New Roman"/>
                <w:b w:val="0"/>
                <w:bCs w:val="0"/>
                <w:color w:val="auto"/>
                <w:sz w:val="21"/>
                <w:szCs w:val="21"/>
                <w:highlight w:val="none"/>
                <w:lang w:val="en-US" w:eastAsia="zh-CN"/>
              </w:rPr>
              <w:t>根据</w:t>
            </w:r>
            <w:r>
              <w:rPr>
                <w:rFonts w:hint="eastAsia" w:ascii="Times New Roman" w:hAnsi="Times New Roman"/>
                <w:b w:val="0"/>
                <w:bCs w:val="0"/>
                <w:color w:val="auto"/>
                <w:sz w:val="21"/>
                <w:szCs w:val="21"/>
                <w:highlight w:val="none"/>
              </w:rPr>
              <w:t>《宿迁市202</w:t>
            </w:r>
            <w:r>
              <w:rPr>
                <w:rFonts w:hint="eastAsia" w:ascii="Times New Roman" w:hAnsi="Times New Roman"/>
                <w:b w:val="0"/>
                <w:bCs w:val="0"/>
                <w:color w:val="auto"/>
                <w:sz w:val="21"/>
                <w:szCs w:val="21"/>
                <w:highlight w:val="none"/>
                <w:lang w:val="en-US" w:eastAsia="zh-CN"/>
              </w:rPr>
              <w:t>3</w:t>
            </w:r>
            <w:r>
              <w:rPr>
                <w:rFonts w:hint="eastAsia" w:ascii="Times New Roman" w:hAnsi="Times New Roman"/>
                <w:b w:val="0"/>
                <w:bCs w:val="0"/>
                <w:color w:val="auto"/>
                <w:sz w:val="21"/>
                <w:szCs w:val="21"/>
                <w:highlight w:val="none"/>
              </w:rPr>
              <w:t>年度生态环境状况公报》，202</w:t>
            </w:r>
            <w:r>
              <w:rPr>
                <w:rFonts w:hint="eastAsia" w:ascii="Times New Roman" w:hAnsi="Times New Roman"/>
                <w:b w:val="0"/>
                <w:bCs w:val="0"/>
                <w:color w:val="auto"/>
                <w:sz w:val="21"/>
                <w:szCs w:val="21"/>
                <w:highlight w:val="none"/>
                <w:lang w:val="en-US" w:eastAsia="zh-CN"/>
              </w:rPr>
              <w:t>3</w:t>
            </w:r>
            <w:r>
              <w:rPr>
                <w:rFonts w:hint="eastAsia" w:ascii="Times New Roman" w:hAnsi="Times New Roman"/>
                <w:b w:val="0"/>
                <w:bCs w:val="0"/>
                <w:color w:val="auto"/>
                <w:sz w:val="21"/>
                <w:szCs w:val="21"/>
                <w:highlight w:val="none"/>
              </w:rPr>
              <w:t>年</w:t>
            </w:r>
            <w:r>
              <w:rPr>
                <w:rFonts w:hint="eastAsia" w:ascii="Times New Roman" w:hAnsi="Times New Roman"/>
                <w:b w:val="0"/>
                <w:bCs w:val="0"/>
                <w:color w:val="auto"/>
                <w:sz w:val="21"/>
                <w:szCs w:val="21"/>
                <w:highlight w:val="none"/>
                <w:lang w:eastAsia="zh-CN"/>
              </w:rPr>
              <w:t>，功能区噪声方面，各类功能区昼间、夜间噪声均达标；区域环境噪声方面，全市城区昼间平均等效声级56.8dB（A），达二级水平，与2022年相比，全市区域环境噪声状况总体保持稳定；城市道路交通噪声方面，全市昼间平均等效声级62.1dB（A），交通噪声强度为一级，声环境质量为好。</w:t>
            </w:r>
          </w:p>
          <w:p w14:paraId="24168C14">
            <w:pPr>
              <w:tabs>
                <w:tab w:val="left" w:pos="276"/>
              </w:tabs>
              <w:autoSpaceDE w:val="0"/>
              <w:autoSpaceDN w:val="0"/>
              <w:adjustRightInd w:val="0"/>
              <w:snapToGrid w:val="0"/>
              <w:spacing w:line="360" w:lineRule="auto"/>
              <w:ind w:firstLine="420" w:firstLineChars="200"/>
              <w:rPr>
                <w:rFonts w:hint="eastAsia"/>
                <w:color w:val="auto"/>
                <w:highlight w:val="none"/>
              </w:rPr>
            </w:pPr>
            <w:r>
              <w:rPr>
                <w:rFonts w:hint="eastAsia"/>
                <w:color w:val="auto"/>
                <w:highlight w:val="none"/>
              </w:rPr>
              <w:t>综上，根据环境质量现状数据，项目所在区域声环境质量现状较好，水、</w:t>
            </w:r>
            <w:r>
              <w:rPr>
                <w:color w:val="auto"/>
                <w:highlight w:val="none"/>
              </w:rPr>
              <w:t>大气环境</w:t>
            </w:r>
            <w:r>
              <w:rPr>
                <w:rFonts w:hint="eastAsia"/>
                <w:color w:val="auto"/>
                <w:highlight w:val="none"/>
              </w:rPr>
              <w:t>采取相应措施后也将得到改善，项目产生的污染物经采取相应的防护措施后可做到达标排放，不会降低区域环境质量等级，对区域环境影响较小。</w:t>
            </w:r>
          </w:p>
          <w:p w14:paraId="7BDBC0E4">
            <w:pPr>
              <w:pStyle w:val="73"/>
              <w:ind w:firstLine="420"/>
              <w:rPr>
                <w:color w:val="auto"/>
                <w:sz w:val="21"/>
                <w:szCs w:val="21"/>
                <w:highlight w:val="none"/>
              </w:rPr>
            </w:pPr>
            <w:r>
              <w:rPr>
                <w:color w:val="auto"/>
                <w:sz w:val="21"/>
                <w:szCs w:val="21"/>
                <w:highlight w:val="none"/>
              </w:rPr>
              <w:t>（3）资源利用上线</w:t>
            </w:r>
          </w:p>
          <w:p w14:paraId="0AB2CAC4">
            <w:pPr>
              <w:pStyle w:val="73"/>
              <w:ind w:firstLine="420"/>
              <w:rPr>
                <w:color w:val="auto"/>
                <w:sz w:val="21"/>
                <w:szCs w:val="21"/>
                <w:highlight w:val="none"/>
              </w:rPr>
            </w:pPr>
            <w:r>
              <w:rPr>
                <w:color w:val="auto"/>
                <w:sz w:val="21"/>
                <w:szCs w:val="21"/>
                <w:highlight w:val="none"/>
              </w:rPr>
              <w:t>项目所在地位于</w:t>
            </w:r>
            <w:r>
              <w:rPr>
                <w:rFonts w:hint="default"/>
                <w:color w:val="auto"/>
                <w:sz w:val="21"/>
                <w:szCs w:val="21"/>
                <w:highlight w:val="none"/>
              </w:rPr>
              <w:t>泗阳县李口镇广州路3号</w:t>
            </w:r>
            <w:r>
              <w:rPr>
                <w:color w:val="auto"/>
                <w:sz w:val="21"/>
                <w:szCs w:val="21"/>
                <w:highlight w:val="none"/>
              </w:rPr>
              <w:t>，项目</w:t>
            </w:r>
            <w:r>
              <w:rPr>
                <w:rFonts w:hint="eastAsia"/>
                <w:color w:val="auto"/>
                <w:sz w:val="21"/>
                <w:szCs w:val="21"/>
                <w:highlight w:val="none"/>
                <w:lang w:val="en-US" w:eastAsia="zh-CN"/>
              </w:rPr>
              <w:t>用水</w:t>
            </w:r>
            <w:r>
              <w:rPr>
                <w:color w:val="auto"/>
                <w:sz w:val="21"/>
                <w:szCs w:val="21"/>
                <w:highlight w:val="none"/>
              </w:rPr>
              <w:t>、用电</w:t>
            </w:r>
            <w:r>
              <w:rPr>
                <w:rFonts w:hint="eastAsia"/>
                <w:color w:val="auto"/>
                <w:sz w:val="21"/>
                <w:szCs w:val="21"/>
                <w:highlight w:val="none"/>
                <w:lang w:eastAsia="zh-CN"/>
              </w:rPr>
              <w:t>、</w:t>
            </w:r>
            <w:r>
              <w:rPr>
                <w:rFonts w:hint="eastAsia"/>
                <w:color w:val="auto"/>
                <w:sz w:val="21"/>
                <w:szCs w:val="21"/>
                <w:highlight w:val="none"/>
                <w:lang w:val="en-US" w:eastAsia="zh-CN"/>
              </w:rPr>
              <w:t>用气</w:t>
            </w:r>
            <w:r>
              <w:rPr>
                <w:color w:val="auto"/>
                <w:sz w:val="21"/>
                <w:szCs w:val="21"/>
                <w:highlight w:val="none"/>
              </w:rPr>
              <w:t>均为市政供应，能够满足本项目用水、用电</w:t>
            </w:r>
            <w:r>
              <w:rPr>
                <w:rFonts w:hint="eastAsia"/>
                <w:color w:val="auto"/>
                <w:sz w:val="21"/>
                <w:szCs w:val="21"/>
                <w:highlight w:val="none"/>
                <w:lang w:eastAsia="zh-CN"/>
              </w:rPr>
              <w:t>、</w:t>
            </w:r>
            <w:r>
              <w:rPr>
                <w:rFonts w:hint="eastAsia"/>
                <w:color w:val="auto"/>
                <w:sz w:val="21"/>
                <w:szCs w:val="21"/>
                <w:highlight w:val="none"/>
                <w:lang w:val="en-US" w:eastAsia="zh-CN"/>
              </w:rPr>
              <w:t>用气</w:t>
            </w:r>
            <w:r>
              <w:rPr>
                <w:color w:val="auto"/>
                <w:sz w:val="21"/>
                <w:szCs w:val="21"/>
                <w:highlight w:val="none"/>
              </w:rPr>
              <w:t>要求。项目</w:t>
            </w:r>
            <w:r>
              <w:rPr>
                <w:rFonts w:hint="eastAsia"/>
                <w:color w:val="auto"/>
                <w:sz w:val="21"/>
                <w:szCs w:val="21"/>
                <w:highlight w:val="none"/>
                <w:lang w:val="en-US" w:eastAsia="zh-CN"/>
              </w:rPr>
              <w:t>用地为厂区现有工业用地</w:t>
            </w:r>
            <w:r>
              <w:rPr>
                <w:color w:val="auto"/>
                <w:sz w:val="21"/>
                <w:szCs w:val="21"/>
                <w:highlight w:val="none"/>
              </w:rPr>
              <w:t>，不突破当地土地利用资源，因此本项目符合资源利用上线。</w:t>
            </w:r>
          </w:p>
          <w:p w14:paraId="60BBED7F">
            <w:pPr>
              <w:pStyle w:val="73"/>
              <w:ind w:firstLine="420"/>
              <w:rPr>
                <w:rFonts w:hint="eastAsia" w:eastAsia="宋体"/>
                <w:color w:val="auto"/>
                <w:sz w:val="21"/>
                <w:szCs w:val="21"/>
                <w:highlight w:val="none"/>
                <w:lang w:val="en-US" w:eastAsia="zh-CN"/>
              </w:rPr>
            </w:pPr>
            <w:r>
              <w:rPr>
                <w:color w:val="auto"/>
                <w:sz w:val="21"/>
                <w:szCs w:val="21"/>
                <w:highlight w:val="none"/>
              </w:rPr>
              <w:t>（4）环境准入清单</w:t>
            </w:r>
            <w:r>
              <w:rPr>
                <w:rFonts w:hint="eastAsia"/>
                <w:color w:val="auto"/>
                <w:sz w:val="21"/>
                <w:szCs w:val="21"/>
                <w:highlight w:val="none"/>
                <w:lang w:val="en-US" w:eastAsia="zh-CN"/>
              </w:rPr>
              <w:t>相符性分析</w:t>
            </w:r>
          </w:p>
          <w:p w14:paraId="078ACA92">
            <w:pPr>
              <w:tabs>
                <w:tab w:val="left" w:pos="276"/>
              </w:tabs>
              <w:autoSpaceDE w:val="0"/>
              <w:autoSpaceDN w:val="0"/>
              <w:adjustRightInd w:val="0"/>
              <w:snapToGrid w:val="0"/>
              <w:spacing w:line="360" w:lineRule="auto"/>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szCs w:val="21"/>
                <w:highlight w:val="none"/>
              </w:rPr>
              <w:t>根据</w:t>
            </w:r>
            <w:r>
              <w:rPr>
                <w:rFonts w:hint="eastAsia" w:cs="Times New Roman"/>
                <w:color w:val="auto"/>
                <w:sz w:val="21"/>
                <w:szCs w:val="21"/>
                <w:highlight w:val="none"/>
                <w:lang w:eastAsia="zh-CN"/>
              </w:rPr>
              <w:t>《</w:t>
            </w:r>
            <w:r>
              <w:rPr>
                <w:rFonts w:hint="eastAsia"/>
                <w:lang w:val="en-US" w:eastAsia="zh-CN"/>
              </w:rPr>
              <w:t>江苏省生态环境分区管控综合查询报告书</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，本项目位于</w:t>
            </w:r>
            <w:r>
              <w:rPr>
                <w:rFonts w:hint="eastAsia" w:cs="Times New Roman"/>
                <w:color w:val="auto"/>
                <w:sz w:val="21"/>
                <w:szCs w:val="21"/>
                <w:highlight w:val="none"/>
                <w:lang w:val="en-US" w:eastAsia="zh-CN"/>
              </w:rPr>
              <w:t>李口镇工业园</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李口镇工业</w:t>
            </w:r>
            <w:r>
              <w:rPr>
                <w:rFonts w:hint="eastAsia" w:cs="Times New Roman"/>
                <w:color w:val="auto"/>
                <w:highlight w:val="none"/>
                <w:lang w:val="en-US" w:eastAsia="zh-CN"/>
              </w:rPr>
              <w:t>园</w:t>
            </w:r>
            <w:r>
              <w:rPr>
                <w:rFonts w:hint="eastAsia" w:ascii="Times New Roman" w:hAnsi="Times New Roman" w:eastAsia="宋体" w:cs="Times New Roman"/>
                <w:color w:val="auto"/>
                <w:highlight w:val="none"/>
              </w:rPr>
              <w:t>属于重点管控单元，本项目与该区域管控要求相符性分析见表</w:t>
            </w:r>
            <w:r>
              <w:rPr>
                <w:rFonts w:ascii="Times New Roman" w:hAnsi="Times New Roman" w:eastAsia="宋体" w:cs="Times New Roman"/>
                <w:color w:val="auto"/>
                <w:highlight w:val="none"/>
              </w:rPr>
              <w:t>1-</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rPr>
              <w:t>。</w:t>
            </w:r>
          </w:p>
          <w:p w14:paraId="134D5263">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ascii="Times New Roman" w:hAnsi="Times New Roman" w:eastAsia="宋体" w:cs="Times New Roman"/>
                <w:b/>
                <w:bCs/>
                <w:color w:val="auto"/>
                <w:kern w:val="0"/>
                <w:sz w:val="21"/>
                <w:szCs w:val="21"/>
                <w:highlight w:val="none"/>
                <w:lang w:val="en-US" w:eastAsia="zh-CN" w:bidi="ar-SA"/>
              </w:rPr>
            </w:pPr>
            <w:r>
              <w:rPr>
                <w:rFonts w:ascii="Times New Roman" w:hAnsi="Times New Roman" w:eastAsia="宋体" w:cs="Times New Roman"/>
                <w:b/>
                <w:bCs/>
                <w:color w:val="auto"/>
                <w:kern w:val="0"/>
                <w:sz w:val="21"/>
                <w:szCs w:val="21"/>
                <w:highlight w:val="none"/>
                <w:lang w:val="en-US" w:eastAsia="zh-CN" w:bidi="ar-SA"/>
              </w:rPr>
              <w:t>表1-</w:t>
            </w:r>
            <w:r>
              <w:rPr>
                <w:rFonts w:hint="eastAsia" w:ascii="Times New Roman" w:hAnsi="Times New Roman" w:eastAsia="宋体" w:cs="Times New Roman"/>
                <w:b/>
                <w:bCs/>
                <w:color w:val="auto"/>
                <w:kern w:val="0"/>
                <w:sz w:val="21"/>
                <w:szCs w:val="21"/>
                <w:highlight w:val="none"/>
                <w:lang w:val="en-US" w:eastAsia="zh-CN" w:bidi="ar-SA"/>
              </w:rPr>
              <w:t>4</w:t>
            </w:r>
            <w:r>
              <w:rPr>
                <w:rFonts w:ascii="Times New Roman" w:hAnsi="Times New Roman" w:eastAsia="宋体" w:cs="Times New Roman"/>
                <w:b/>
                <w:bCs/>
                <w:color w:val="auto"/>
                <w:kern w:val="0"/>
                <w:sz w:val="21"/>
                <w:szCs w:val="21"/>
                <w:highlight w:val="none"/>
                <w:lang w:val="en-US" w:eastAsia="zh-CN" w:bidi="ar-SA"/>
              </w:rPr>
              <w:t xml:space="preserve"> </w:t>
            </w:r>
            <w:r>
              <w:rPr>
                <w:rFonts w:hint="eastAsia" w:cs="Times New Roman"/>
                <w:b/>
                <w:bCs/>
                <w:color w:val="auto"/>
                <w:kern w:val="0"/>
                <w:sz w:val="21"/>
                <w:szCs w:val="21"/>
                <w:highlight w:val="none"/>
                <w:lang w:val="en-US" w:eastAsia="zh-CN" w:bidi="ar-SA"/>
              </w:rPr>
              <w:t>李口镇工业园</w:t>
            </w:r>
            <w:r>
              <w:rPr>
                <w:rFonts w:ascii="Times New Roman" w:hAnsi="Times New Roman" w:eastAsia="宋体" w:cs="Times New Roman"/>
                <w:b/>
                <w:bCs/>
                <w:color w:val="auto"/>
                <w:kern w:val="0"/>
                <w:sz w:val="21"/>
                <w:szCs w:val="21"/>
                <w:highlight w:val="none"/>
                <w:lang w:val="en-US" w:eastAsia="zh-CN" w:bidi="ar-SA"/>
              </w:rPr>
              <w:t>生态环境准入清单一览表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4"/>
              <w:gridCol w:w="747"/>
              <w:gridCol w:w="4326"/>
              <w:gridCol w:w="2198"/>
            </w:tblGrid>
            <w:tr w14:paraId="495A7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4" w:type="dxa"/>
                  <w:noWrap w:val="0"/>
                  <w:vAlign w:val="center"/>
                </w:tcPr>
                <w:p w14:paraId="58059FA4">
                  <w:pPr>
                    <w:tabs>
                      <w:tab w:val="left" w:pos="276"/>
                    </w:tabs>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区域</w:t>
                  </w:r>
                </w:p>
              </w:tc>
              <w:tc>
                <w:tcPr>
                  <w:tcW w:w="5073" w:type="dxa"/>
                  <w:gridSpan w:val="2"/>
                  <w:noWrap w:val="0"/>
                  <w:vAlign w:val="center"/>
                </w:tcPr>
                <w:p w14:paraId="0A20D8E3">
                  <w:pPr>
                    <w:tabs>
                      <w:tab w:val="left" w:pos="276"/>
                    </w:tabs>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管控要求</w:t>
                  </w:r>
                </w:p>
              </w:tc>
              <w:tc>
                <w:tcPr>
                  <w:tcW w:w="2198" w:type="dxa"/>
                  <w:noWrap w:val="0"/>
                  <w:vAlign w:val="center"/>
                </w:tcPr>
                <w:p w14:paraId="4D633CD4">
                  <w:pPr>
                    <w:tabs>
                      <w:tab w:val="left" w:pos="276"/>
                    </w:tabs>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相符性分析</w:t>
                  </w:r>
                </w:p>
              </w:tc>
            </w:tr>
            <w:tr w14:paraId="01274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44" w:hRule="atLeast"/>
              </w:trPr>
              <w:tc>
                <w:tcPr>
                  <w:tcW w:w="534" w:type="dxa"/>
                  <w:vMerge w:val="restart"/>
                  <w:noWrap w:val="0"/>
                  <w:vAlign w:val="center"/>
                </w:tcPr>
                <w:p w14:paraId="5D375F6C">
                  <w:pPr>
                    <w:tabs>
                      <w:tab w:val="left" w:pos="276"/>
                    </w:tabs>
                    <w:autoSpaceDE w:val="0"/>
                    <w:autoSpaceDN w:val="0"/>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李口镇工业园</w:t>
                  </w:r>
                </w:p>
              </w:tc>
              <w:tc>
                <w:tcPr>
                  <w:tcW w:w="747" w:type="dxa"/>
                  <w:noWrap w:val="0"/>
                  <w:vAlign w:val="center"/>
                </w:tcPr>
                <w:p w14:paraId="2D9D5B6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bCs/>
                      <w:color w:val="auto"/>
                      <w:szCs w:val="21"/>
                    </w:rPr>
                    <w:t>空间约束布局</w:t>
                  </w:r>
                </w:p>
              </w:tc>
              <w:tc>
                <w:tcPr>
                  <w:tcW w:w="4326" w:type="dxa"/>
                  <w:noWrap w:val="0"/>
                  <w:vAlign w:val="center"/>
                </w:tcPr>
                <w:p w14:paraId="74AAEEC5">
                  <w:pPr>
                    <w:keepNext w:val="0"/>
                    <w:keepLines w:val="0"/>
                    <w:widowControl/>
                    <w:suppressLineNumbers w:val="0"/>
                    <w:spacing w:before="0" w:beforeAutospacing="0" w:after="0" w:afterAutospacing="0"/>
                    <w:ind w:left="0" w:right="0"/>
                    <w:rPr>
                      <w:rFonts w:hint="eastAsia"/>
                      <w:color w:val="auto"/>
                      <w:kern w:val="0"/>
                      <w:szCs w:val="21"/>
                      <w:lang w:bidi="ar"/>
                    </w:rPr>
                  </w:pPr>
                  <w:r>
                    <w:rPr>
                      <w:rFonts w:hint="eastAsia"/>
                      <w:color w:val="auto"/>
                      <w:kern w:val="0"/>
                      <w:szCs w:val="21"/>
                      <w:lang w:val="en-US" w:eastAsia="zh-CN" w:bidi="ar"/>
                    </w:rPr>
                    <w:t>一、主导产业：电子信息、机械加工、家居建材。</w:t>
                  </w:r>
                </w:p>
                <w:p w14:paraId="7BC210BC">
                  <w:pPr>
                    <w:keepNext w:val="0"/>
                    <w:keepLines w:val="0"/>
                    <w:widowControl/>
                    <w:suppressLineNumbers w:val="0"/>
                    <w:spacing w:before="0" w:beforeAutospacing="0" w:after="0" w:afterAutospacing="0"/>
                    <w:ind w:left="0" w:right="0"/>
                    <w:rPr>
                      <w:rFonts w:hint="eastAsia"/>
                      <w:color w:val="auto"/>
                      <w:kern w:val="0"/>
                      <w:szCs w:val="21"/>
                      <w:lang w:bidi="ar"/>
                    </w:rPr>
                  </w:pPr>
                  <w:r>
                    <w:rPr>
                      <w:rFonts w:hint="eastAsia"/>
                      <w:color w:val="auto"/>
                      <w:kern w:val="0"/>
                      <w:szCs w:val="21"/>
                      <w:lang w:val="en-US" w:eastAsia="zh-CN" w:bidi="ar"/>
                    </w:rPr>
                    <w:t>二、限制类：纺织服装、木材加工、橡胶与塑料制品。</w:t>
                  </w:r>
                </w:p>
                <w:p w14:paraId="22472C41">
                  <w:pPr>
                    <w:keepNext w:val="0"/>
                    <w:keepLines w:val="0"/>
                    <w:widowControl/>
                    <w:suppressLineNumbers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color w:val="auto"/>
                      <w:kern w:val="0"/>
                      <w:szCs w:val="21"/>
                      <w:lang w:val="en-US" w:eastAsia="zh-CN" w:bidi="ar"/>
                    </w:rPr>
                    <w:t>三、禁止类：化工、印染、印花、电镀、造纸、化肥、染料、农药、酿造、电石、冶炼、铁合金、焦炭、制革、电镀等重污染项目</w:t>
                  </w:r>
                  <w:r>
                    <w:rPr>
                      <w:rFonts w:hint="eastAsia"/>
                      <w:color w:val="auto"/>
                      <w:kern w:val="0"/>
                      <w:szCs w:val="21"/>
                      <w:lang w:bidi="ar"/>
                    </w:rPr>
                    <w:t>。</w:t>
                  </w:r>
                </w:p>
              </w:tc>
              <w:tc>
                <w:tcPr>
                  <w:tcW w:w="2198" w:type="dxa"/>
                  <w:noWrap w:val="0"/>
                  <w:vAlign w:val="center"/>
                </w:tcPr>
                <w:p w14:paraId="54BD3B0C">
                  <w:pPr>
                    <w:tabs>
                      <w:tab w:val="left" w:pos="276"/>
                    </w:tabs>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本项目不属于禁止引进行业，符合管控要求</w:t>
                  </w:r>
                </w:p>
              </w:tc>
            </w:tr>
            <w:tr w14:paraId="34219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534" w:type="dxa"/>
                  <w:vMerge w:val="continue"/>
                  <w:noWrap w:val="0"/>
                  <w:vAlign w:val="center"/>
                </w:tcPr>
                <w:p w14:paraId="24E2AE7D">
                  <w:pPr>
                    <w:tabs>
                      <w:tab w:val="left" w:pos="276"/>
                    </w:tabs>
                    <w:autoSpaceDE w:val="0"/>
                    <w:autoSpaceDN w:val="0"/>
                    <w:adjustRightInd w:val="0"/>
                    <w:snapToGrid w:val="0"/>
                    <w:jc w:val="center"/>
                    <w:rPr>
                      <w:rFonts w:hint="eastAsia" w:ascii="Times New Roman" w:hAnsi="Times New Roman" w:eastAsia="宋体" w:cs="Times New Roman"/>
                      <w:color w:val="auto"/>
                      <w:szCs w:val="21"/>
                      <w:highlight w:val="none"/>
                    </w:rPr>
                  </w:pPr>
                </w:p>
              </w:tc>
              <w:tc>
                <w:tcPr>
                  <w:tcW w:w="747" w:type="dxa"/>
                  <w:noWrap w:val="0"/>
                  <w:vAlign w:val="center"/>
                </w:tcPr>
                <w:p w14:paraId="70E5D27E">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污染物排放管控</w:t>
                  </w:r>
                </w:p>
              </w:tc>
              <w:tc>
                <w:tcPr>
                  <w:tcW w:w="4326" w:type="dxa"/>
                  <w:noWrap w:val="0"/>
                  <w:vAlign w:val="center"/>
                </w:tcPr>
                <w:p w14:paraId="7469F235">
                  <w:pPr>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auto"/>
                      <w:kern w:val="2"/>
                      <w:sz w:val="21"/>
                      <w:szCs w:val="21"/>
                      <w:lang w:val="en-US" w:eastAsia="zh-CN" w:bidi="ar-SA"/>
                    </w:rPr>
                  </w:pPr>
                  <w:r>
                    <w:rPr>
                      <w:rFonts w:hint="eastAsia"/>
                      <w:color w:val="auto"/>
                      <w:kern w:val="0"/>
                      <w:szCs w:val="21"/>
                      <w:lang w:val="en-US" w:eastAsia="zh-CN" w:bidi="ar"/>
                    </w:rPr>
                    <w:t>严守环境质量底线，污染物排放总量不得突破《报告书》提出的总量控制指标值，新增常规污染物排放总量指标纳入泗阳县总量指标内，非常规污染物排放总量控制指标可根据环境要求和入区企业实际情况由负责建设项目审批的生态环境主管部门核批</w:t>
                  </w:r>
                  <w:r>
                    <w:rPr>
                      <w:rFonts w:hint="eastAsia"/>
                      <w:color w:val="auto"/>
                      <w:kern w:val="0"/>
                      <w:szCs w:val="21"/>
                      <w:lang w:bidi="ar"/>
                    </w:rPr>
                    <w:t>。</w:t>
                  </w:r>
                </w:p>
              </w:tc>
              <w:tc>
                <w:tcPr>
                  <w:tcW w:w="2198" w:type="dxa"/>
                  <w:noWrap w:val="0"/>
                  <w:vAlign w:val="center"/>
                </w:tcPr>
                <w:p w14:paraId="2CB9A073">
                  <w:pPr>
                    <w:tabs>
                      <w:tab w:val="left" w:pos="276"/>
                    </w:tabs>
                    <w:autoSpaceDE w:val="0"/>
                    <w:autoSpaceDN w:val="0"/>
                    <w:adjustRightInd w:val="0"/>
                    <w:snapToGrid w:val="0"/>
                    <w:jc w:val="center"/>
                    <w:rPr>
                      <w:rFonts w:hint="eastAsia" w:ascii="Times New Roman" w:hAnsi="Times New Roman" w:eastAsia="宋体" w:cs="Times New Roman"/>
                      <w:color w:val="auto"/>
                      <w:szCs w:val="21"/>
                      <w:highlight w:val="none"/>
                    </w:rPr>
                  </w:pPr>
                  <w:r>
                    <w:rPr>
                      <w:rFonts w:hint="eastAsia" w:ascii="宋体" w:hAnsi="宋体" w:eastAsia="宋体" w:cs="宋体"/>
                      <w:color w:val="auto"/>
                      <w:kern w:val="0"/>
                      <w:sz w:val="21"/>
                      <w:szCs w:val="21"/>
                      <w:highlight w:val="none"/>
                      <w:lang w:val="en-US" w:eastAsia="zh-CN" w:bidi="ar-SA"/>
                    </w:rPr>
                    <w:t>项目污染物满足园区污染物排放管控要求</w:t>
                  </w:r>
                </w:p>
              </w:tc>
            </w:tr>
            <w:tr w14:paraId="0D00F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7" w:hRule="atLeast"/>
              </w:trPr>
              <w:tc>
                <w:tcPr>
                  <w:tcW w:w="534" w:type="dxa"/>
                  <w:vMerge w:val="continue"/>
                  <w:noWrap w:val="0"/>
                  <w:vAlign w:val="center"/>
                </w:tcPr>
                <w:p w14:paraId="4134D25B">
                  <w:pPr>
                    <w:tabs>
                      <w:tab w:val="left" w:pos="276"/>
                    </w:tabs>
                    <w:autoSpaceDE w:val="0"/>
                    <w:autoSpaceDN w:val="0"/>
                    <w:adjustRightInd w:val="0"/>
                    <w:snapToGrid w:val="0"/>
                    <w:jc w:val="center"/>
                    <w:rPr>
                      <w:rFonts w:hint="eastAsia" w:ascii="Times New Roman" w:hAnsi="Times New Roman" w:eastAsia="宋体" w:cs="Times New Roman"/>
                      <w:color w:val="auto"/>
                      <w:szCs w:val="21"/>
                      <w:highlight w:val="none"/>
                    </w:rPr>
                  </w:pPr>
                </w:p>
              </w:tc>
              <w:tc>
                <w:tcPr>
                  <w:tcW w:w="747" w:type="dxa"/>
                  <w:noWrap w:val="0"/>
                  <w:vAlign w:val="center"/>
                </w:tcPr>
                <w:p w14:paraId="382E23B6">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bCs/>
                      <w:color w:val="auto"/>
                      <w:szCs w:val="21"/>
                    </w:rPr>
                    <w:t>环境风险防控</w:t>
                  </w:r>
                </w:p>
              </w:tc>
              <w:tc>
                <w:tcPr>
                  <w:tcW w:w="4326" w:type="dxa"/>
                  <w:noWrap w:val="0"/>
                  <w:vAlign w:val="center"/>
                </w:tcPr>
                <w:p w14:paraId="26A46214">
                  <w:pPr>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kern w:val="0"/>
                      <w:szCs w:val="21"/>
                      <w:highlight w:val="none"/>
                      <w:lang w:val="en-US" w:eastAsia="zh-CN" w:bidi="ar"/>
                    </w:rPr>
                    <w:t>落实环境风险防范施和事故应急预案。必须高度重视并切实加强园区环境安全管理工作，园区及入区项目均应制定并落实各类事故风险防范措施乃应急预案。区内各企业须按规范要求建设贮存、使用易燃易爆危险品的生产装置，杜绝泄漏物料进入环境；储备必须的设备物并定期组织实战演练，最大限度地防止和减轻事故的危害，确保园区环境安全。排放工业废水的企业应设置足够容量的事故污水池，严禁污水超标排放。</w:t>
                  </w:r>
                </w:p>
              </w:tc>
              <w:tc>
                <w:tcPr>
                  <w:tcW w:w="2198" w:type="dxa"/>
                  <w:noWrap w:val="0"/>
                  <w:vAlign w:val="center"/>
                </w:tcPr>
                <w:p w14:paraId="7903377A">
                  <w:pPr>
                    <w:tabs>
                      <w:tab w:val="left" w:pos="276"/>
                    </w:tabs>
                    <w:autoSpaceDE w:val="0"/>
                    <w:autoSpaceDN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项目</w:t>
                  </w:r>
                  <w:r>
                    <w:rPr>
                      <w:rFonts w:ascii="Times New Roman" w:hAnsi="Times New Roman" w:eastAsia="宋体" w:cs="Times New Roman"/>
                      <w:color w:val="auto"/>
                      <w:szCs w:val="21"/>
                      <w:highlight w:val="none"/>
                    </w:rPr>
                    <w:t>制定并落实园区建设项目环境风险防范措施和事故应急预案，并定期演练，防止和减轻事故危害</w:t>
                  </w:r>
                  <w:r>
                    <w:rPr>
                      <w:rFonts w:hint="eastAsia" w:cs="Times New Roman"/>
                      <w:color w:val="auto"/>
                      <w:szCs w:val="21"/>
                      <w:highlight w:val="none"/>
                      <w:lang w:eastAsia="zh-CN"/>
                    </w:rPr>
                    <w:t>，</w:t>
                  </w:r>
                  <w:r>
                    <w:rPr>
                      <w:rFonts w:hint="eastAsia" w:cs="Times New Roman"/>
                      <w:color w:val="auto"/>
                      <w:szCs w:val="21"/>
                      <w:highlight w:val="none"/>
                      <w:lang w:val="en-US" w:eastAsia="zh-CN"/>
                    </w:rPr>
                    <w:t>企业事故应急池容积200m</w:t>
                  </w:r>
                  <w:r>
                    <w:rPr>
                      <w:rFonts w:hint="eastAsia" w:cs="Times New Roman"/>
                      <w:color w:val="auto"/>
                      <w:szCs w:val="21"/>
                      <w:highlight w:val="none"/>
                      <w:vertAlign w:val="superscript"/>
                      <w:lang w:val="en-US" w:eastAsia="zh-CN"/>
                    </w:rPr>
                    <w:t>3</w:t>
                  </w:r>
                </w:p>
              </w:tc>
            </w:tr>
            <w:tr w14:paraId="7B24E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04" w:hRule="atLeast"/>
              </w:trPr>
              <w:tc>
                <w:tcPr>
                  <w:tcW w:w="534" w:type="dxa"/>
                  <w:vMerge w:val="continue"/>
                  <w:noWrap w:val="0"/>
                  <w:vAlign w:val="center"/>
                </w:tcPr>
                <w:p w14:paraId="31F74C7F">
                  <w:pPr>
                    <w:tabs>
                      <w:tab w:val="left" w:pos="276"/>
                    </w:tabs>
                    <w:autoSpaceDE w:val="0"/>
                    <w:autoSpaceDN w:val="0"/>
                    <w:adjustRightInd w:val="0"/>
                    <w:snapToGrid w:val="0"/>
                    <w:jc w:val="center"/>
                    <w:rPr>
                      <w:rFonts w:ascii="Times New Roman" w:hAnsi="Times New Roman" w:eastAsia="宋体" w:cs="Times New Roman"/>
                      <w:color w:val="auto"/>
                      <w:szCs w:val="21"/>
                      <w:highlight w:val="none"/>
                    </w:rPr>
                  </w:pPr>
                </w:p>
              </w:tc>
              <w:tc>
                <w:tcPr>
                  <w:tcW w:w="747" w:type="dxa"/>
                  <w:noWrap w:val="0"/>
                  <w:vAlign w:val="center"/>
                </w:tcPr>
                <w:p w14:paraId="1C22B379">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bCs/>
                      <w:color w:val="auto"/>
                      <w:szCs w:val="21"/>
                    </w:rPr>
                    <w:t>资源开发效率要求</w:t>
                  </w:r>
                </w:p>
              </w:tc>
              <w:tc>
                <w:tcPr>
                  <w:tcW w:w="4326" w:type="dxa"/>
                  <w:noWrap w:val="0"/>
                  <w:vAlign w:val="center"/>
                </w:tcPr>
                <w:p w14:paraId="3804EAE9">
                  <w:pPr>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园区本次规划范围总土地面积为456.64ha，远期工业用地规模需严格控制在272.19ha内资源开发效率，不得突破该规模；园区规划不实行集中供要求热，由各企业自行使用清洁能源供热，不得新建燃煤锅炉</w:t>
                  </w:r>
                  <w:r>
                    <w:rPr>
                      <w:rFonts w:hint="eastAsia" w:cs="Times New Roman"/>
                      <w:bCs/>
                      <w:color w:val="auto"/>
                      <w:kern w:val="2"/>
                      <w:sz w:val="21"/>
                      <w:szCs w:val="21"/>
                      <w:lang w:val="en-US" w:eastAsia="zh-CN" w:bidi="ar-SA"/>
                    </w:rPr>
                    <w:t>。</w:t>
                  </w:r>
                </w:p>
              </w:tc>
              <w:tc>
                <w:tcPr>
                  <w:tcW w:w="2198" w:type="dxa"/>
                  <w:noWrap w:val="0"/>
                  <w:vAlign w:val="center"/>
                </w:tcPr>
                <w:p w14:paraId="0B72684A">
                  <w:pPr>
                    <w:tabs>
                      <w:tab w:val="left" w:pos="276"/>
                    </w:tabs>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项目</w:t>
                  </w:r>
                  <w:r>
                    <w:rPr>
                      <w:rFonts w:hint="eastAsia" w:ascii="Times New Roman" w:hAnsi="Times New Roman" w:eastAsia="宋体" w:cs="Times New Roman"/>
                      <w:color w:val="auto"/>
                      <w:szCs w:val="21"/>
                      <w:highlight w:val="none"/>
                    </w:rPr>
                    <w:t>使用能源为电能</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园区</w:t>
                  </w:r>
                  <w:r>
                    <w:rPr>
                      <w:rFonts w:hint="eastAsia" w:cs="Times New Roman"/>
                      <w:color w:val="auto"/>
                      <w:szCs w:val="21"/>
                      <w:highlight w:val="none"/>
                      <w:lang w:val="en-US" w:eastAsia="zh-CN"/>
                    </w:rPr>
                    <w:t>天然气，不涉及燃煤锅炉</w:t>
                  </w:r>
                </w:p>
              </w:tc>
            </w:tr>
          </w:tbl>
          <w:p w14:paraId="42E57CD5">
            <w:pPr>
              <w:keepNext w:val="0"/>
              <w:keepLines w:val="0"/>
              <w:pageBreakBefore w:val="0"/>
              <w:widowControl/>
              <w:kinsoku/>
              <w:wordWrap/>
              <w:overflowPunct/>
              <w:topLinePunct w:val="0"/>
              <w:autoSpaceDE/>
              <w:autoSpaceDN/>
              <w:bidi w:val="0"/>
              <w:adjustRightInd/>
              <w:snapToGrid w:val="0"/>
              <w:spacing w:before="157" w:beforeLines="50" w:after="0" w:line="360" w:lineRule="auto"/>
              <w:ind w:right="0" w:firstLine="420" w:firstLineChars="200"/>
              <w:jc w:val="both"/>
              <w:textAlignment w:val="auto"/>
              <w:rPr>
                <w:rFonts w:ascii="Times New Roman" w:hAnsi="Times New Roman" w:eastAsia="宋体" w:cs="Times New Roman"/>
                <w:color w:val="auto"/>
                <w:kern w:val="0"/>
                <w:sz w:val="18"/>
                <w:szCs w:val="20"/>
                <w:highlight w:val="none"/>
                <w:lang w:val="en-US" w:eastAsia="zh-CN" w:bidi="ar-SA"/>
              </w:rPr>
            </w:pPr>
            <w:r>
              <w:rPr>
                <w:rFonts w:hint="eastAsia" w:ascii="Times New Roman" w:hAnsi="Times New Roman" w:eastAsia="宋体" w:cs="Times New Roman"/>
                <w:color w:val="auto"/>
                <w:kern w:val="0"/>
                <w:sz w:val="21"/>
                <w:szCs w:val="22"/>
                <w:highlight w:val="none"/>
                <w:lang w:val="en-US" w:eastAsia="zh-CN" w:bidi="ar-SA"/>
              </w:rPr>
              <w:t>根据上述分析，项目的建设与李口镇工业园生态环境准入清单要求相符。</w:t>
            </w:r>
          </w:p>
          <w:p w14:paraId="4F4F96AD">
            <w:pPr>
              <w:pStyle w:val="72"/>
              <w:ind w:firstLine="420"/>
              <w:rPr>
                <w:b w:val="0"/>
                <w:bCs/>
                <w:color w:val="auto"/>
                <w:sz w:val="21"/>
                <w:szCs w:val="21"/>
                <w:highlight w:val="none"/>
              </w:rPr>
            </w:pPr>
            <w:r>
              <w:rPr>
                <w:b w:val="0"/>
                <w:bCs/>
                <w:color w:val="auto"/>
                <w:sz w:val="21"/>
                <w:szCs w:val="21"/>
                <w:highlight w:val="none"/>
              </w:rPr>
              <w:t>综上，本项目的建设符合</w:t>
            </w:r>
            <w:r>
              <w:rPr>
                <w:rFonts w:hint="eastAsia"/>
                <w:b w:val="0"/>
                <w:bCs/>
                <w:color w:val="auto"/>
                <w:sz w:val="21"/>
                <w:szCs w:val="21"/>
                <w:highlight w:val="none"/>
              </w:rPr>
              <w:t>“</w:t>
            </w:r>
            <w:r>
              <w:rPr>
                <w:b w:val="0"/>
                <w:bCs/>
                <w:color w:val="auto"/>
                <w:sz w:val="21"/>
                <w:szCs w:val="21"/>
                <w:highlight w:val="none"/>
              </w:rPr>
              <w:t>三线一单</w:t>
            </w:r>
            <w:r>
              <w:rPr>
                <w:rFonts w:hint="eastAsia"/>
                <w:b w:val="0"/>
                <w:bCs/>
                <w:color w:val="auto"/>
                <w:sz w:val="21"/>
                <w:szCs w:val="21"/>
                <w:highlight w:val="none"/>
              </w:rPr>
              <w:t>”</w:t>
            </w:r>
            <w:r>
              <w:rPr>
                <w:b w:val="0"/>
                <w:bCs/>
                <w:color w:val="auto"/>
                <w:sz w:val="21"/>
                <w:szCs w:val="21"/>
                <w:highlight w:val="none"/>
              </w:rPr>
              <w:t>的要求。</w:t>
            </w:r>
          </w:p>
          <w:p w14:paraId="18E2999B">
            <w:pPr>
              <w:autoSpaceDE w:val="0"/>
              <w:autoSpaceDN w:val="0"/>
              <w:adjustRightInd w:val="0"/>
              <w:snapToGrid w:val="0"/>
              <w:spacing w:line="360" w:lineRule="auto"/>
              <w:ind w:firstLine="422" w:firstLineChars="200"/>
              <w:rPr>
                <w:color w:val="auto"/>
                <w:highlight w:val="none"/>
              </w:rPr>
            </w:pPr>
            <w:r>
              <w:rPr>
                <w:rFonts w:hint="eastAsia"/>
                <w:b/>
                <w:bCs/>
                <w:color w:val="auto"/>
                <w:highlight w:val="none"/>
                <w:lang w:val="en-US" w:eastAsia="zh-CN"/>
              </w:rPr>
              <w:t>3</w:t>
            </w:r>
            <w:r>
              <w:rPr>
                <w:rFonts w:hint="eastAsia"/>
                <w:b/>
                <w:bCs/>
                <w:color w:val="auto"/>
                <w:highlight w:val="none"/>
              </w:rPr>
              <w:t>、</w:t>
            </w:r>
            <w:r>
              <w:rPr>
                <w:b/>
                <w:bCs/>
                <w:color w:val="auto"/>
                <w:highlight w:val="none"/>
              </w:rPr>
              <w:t>与</w:t>
            </w:r>
            <w:r>
              <w:rPr>
                <w:rFonts w:hint="eastAsia" w:ascii="宋体" w:hAnsi="宋体" w:cs="宋体"/>
                <w:b/>
                <w:bCs/>
                <w:color w:val="auto"/>
                <w:szCs w:val="21"/>
                <w:highlight w:val="none"/>
              </w:rPr>
              <w:t>《江苏省重点行业挥发性有机物污染控制指南》</w:t>
            </w:r>
            <w:r>
              <w:rPr>
                <w:rFonts w:hint="default" w:ascii="Times New Roman" w:hAnsi="Times New Roman" w:cs="Times New Roman"/>
                <w:b/>
                <w:bCs/>
                <w:color w:val="auto"/>
                <w:szCs w:val="21"/>
                <w:highlight w:val="none"/>
                <w:lang w:eastAsia="zh-CN"/>
              </w:rPr>
              <w:t>（苏环办〔2014〕128号）</w:t>
            </w:r>
            <w:r>
              <w:rPr>
                <w:b/>
                <w:bCs/>
                <w:color w:val="auto"/>
                <w:highlight w:val="none"/>
              </w:rPr>
              <w:t>的相符性</w:t>
            </w:r>
          </w:p>
          <w:p w14:paraId="7162963B">
            <w:pPr>
              <w:autoSpaceDE w:val="0"/>
              <w:autoSpaceDN w:val="0"/>
              <w:adjustRightInd w:val="0"/>
              <w:snapToGrid w:val="0"/>
              <w:spacing w:line="360" w:lineRule="auto"/>
              <w:ind w:firstLine="420" w:firstLineChars="200"/>
              <w:rPr>
                <w:color w:val="auto"/>
                <w:szCs w:val="21"/>
                <w:highlight w:val="none"/>
              </w:rPr>
            </w:pPr>
            <w:r>
              <w:rPr>
                <w:color w:val="auto"/>
                <w:szCs w:val="21"/>
                <w:highlight w:val="none"/>
              </w:rPr>
              <w:t>《江苏省重点行业挥发性有机物污染控制指南》</w:t>
            </w:r>
            <w:r>
              <w:rPr>
                <w:rFonts w:hint="default"/>
                <w:color w:val="auto"/>
                <w:szCs w:val="21"/>
                <w:highlight w:val="none"/>
                <w:lang w:eastAsia="zh-CN"/>
              </w:rPr>
              <w:t>（苏环办〔2014〕128号）</w:t>
            </w:r>
            <w:r>
              <w:rPr>
                <w:color w:val="auto"/>
                <w:szCs w:val="21"/>
                <w:highlight w:val="none"/>
              </w:rPr>
              <w:t>中要求所有产生有机废气污染的企业，应优先采用环保型原辅料、生产工艺和装备，对相应生产单元或设施进行密闭，从源头控制VOCs的产生，减少废气污染物排放：有机化工、医药化工、橡胶和塑料制品(有溶剂浸胶工艺)、溶剂型涂料表面涂装、包装印刷业的VOCs总收集、净化处理率均不低于90%，其他行业原则上不低于75%。</w:t>
            </w:r>
          </w:p>
          <w:p w14:paraId="7892767B">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color w:val="auto"/>
                <w:szCs w:val="21"/>
                <w:highlight w:val="none"/>
              </w:rPr>
            </w:pPr>
            <w:r>
              <w:rPr>
                <w:color w:val="auto"/>
                <w:szCs w:val="21"/>
                <w:highlight w:val="none"/>
              </w:rPr>
              <w:t>本项目</w:t>
            </w:r>
            <w:r>
              <w:rPr>
                <w:rFonts w:hint="eastAsia"/>
                <w:color w:val="auto"/>
                <w:szCs w:val="21"/>
                <w:highlight w:val="none"/>
                <w:lang w:val="en-US" w:eastAsia="zh-CN"/>
              </w:rPr>
              <w:t>固化产生的非甲烷总烃</w:t>
            </w:r>
            <w:r>
              <w:rPr>
                <w:color w:val="auto"/>
                <w:szCs w:val="21"/>
                <w:highlight w:val="none"/>
              </w:rPr>
              <w:t>经</w:t>
            </w:r>
            <w:r>
              <w:rPr>
                <w:rFonts w:hint="eastAsia"/>
                <w:color w:val="auto"/>
                <w:szCs w:val="21"/>
                <w:highlight w:val="none"/>
                <w:lang w:val="en-US" w:eastAsia="zh-CN"/>
              </w:rPr>
              <w:t>车间密闭负压</w:t>
            </w:r>
            <w:r>
              <w:rPr>
                <w:rFonts w:hint="eastAsia"/>
                <w:color w:val="auto"/>
                <w:szCs w:val="21"/>
                <w:highlight w:val="none"/>
                <w:shd w:val="clear" w:color="auto" w:fill="FFFFFF"/>
              </w:rPr>
              <w:t>收集后经</w:t>
            </w:r>
            <w:r>
              <w:rPr>
                <w:rFonts w:hint="eastAsia"/>
                <w:color w:val="auto"/>
                <w:szCs w:val="21"/>
                <w:highlight w:val="none"/>
                <w:shd w:val="clear" w:color="auto" w:fill="FFFFFF"/>
                <w:lang w:val="en-US" w:eastAsia="zh-CN"/>
              </w:rPr>
              <w:t>风冷装置+</w:t>
            </w:r>
            <w:r>
              <w:rPr>
                <w:rFonts w:hint="eastAsia"/>
                <w:color w:val="auto"/>
                <w:szCs w:val="21"/>
                <w:highlight w:val="none"/>
              </w:rPr>
              <w:t>二级活性炭吸附</w:t>
            </w:r>
            <w:r>
              <w:rPr>
                <w:color w:val="auto"/>
                <w:szCs w:val="21"/>
                <w:highlight w:val="none"/>
              </w:rPr>
              <w:t>装置处理后达标排放，有机废气</w:t>
            </w:r>
            <w:r>
              <w:rPr>
                <w:rFonts w:hint="eastAsia"/>
                <w:color w:val="auto"/>
                <w:szCs w:val="21"/>
                <w:highlight w:val="none"/>
                <w:lang w:val="en-US" w:eastAsia="zh-CN"/>
              </w:rPr>
              <w:t>收集效率95%，</w:t>
            </w:r>
            <w:r>
              <w:rPr>
                <w:color w:val="auto"/>
                <w:szCs w:val="21"/>
                <w:highlight w:val="none"/>
              </w:rPr>
              <w:t>处理效率达到9</w:t>
            </w:r>
            <w:r>
              <w:rPr>
                <w:rFonts w:hint="eastAsia"/>
                <w:color w:val="auto"/>
                <w:szCs w:val="21"/>
                <w:highlight w:val="none"/>
              </w:rPr>
              <w:t>0</w:t>
            </w:r>
            <w:r>
              <w:rPr>
                <w:color w:val="auto"/>
                <w:szCs w:val="21"/>
                <w:highlight w:val="none"/>
              </w:rPr>
              <w:t>%，与挥发性有机物污染控制要求相符。</w:t>
            </w:r>
          </w:p>
          <w:p w14:paraId="0C452EBA">
            <w:pPr>
              <w:autoSpaceDE w:val="0"/>
              <w:autoSpaceDN w:val="0"/>
              <w:adjustRightInd w:val="0"/>
              <w:snapToGrid w:val="0"/>
              <w:spacing w:line="360" w:lineRule="auto"/>
              <w:ind w:firstLine="422" w:firstLineChars="200"/>
              <w:rPr>
                <w:color w:val="auto"/>
                <w:highlight w:val="none"/>
              </w:rPr>
            </w:pPr>
            <w:r>
              <w:rPr>
                <w:rFonts w:hint="eastAsia"/>
                <w:b/>
                <w:bCs/>
                <w:color w:val="auto"/>
                <w:highlight w:val="none"/>
                <w:lang w:val="en-US" w:eastAsia="zh-CN"/>
              </w:rPr>
              <w:t>4</w:t>
            </w:r>
            <w:r>
              <w:rPr>
                <w:rFonts w:hint="eastAsia"/>
                <w:b/>
                <w:bCs/>
                <w:color w:val="auto"/>
                <w:highlight w:val="none"/>
              </w:rPr>
              <w:t>、</w:t>
            </w:r>
            <w:r>
              <w:rPr>
                <w:b/>
                <w:bCs/>
                <w:color w:val="auto"/>
                <w:highlight w:val="none"/>
              </w:rPr>
              <w:t>与《</w:t>
            </w:r>
            <w:r>
              <w:rPr>
                <w:b/>
                <w:bCs/>
                <w:color w:val="auto"/>
                <w:szCs w:val="22"/>
                <w:highlight w:val="none"/>
              </w:rPr>
              <w:t>重点行业挥发性有机物综合治理方案</w:t>
            </w:r>
            <w:r>
              <w:rPr>
                <w:b/>
                <w:bCs/>
                <w:color w:val="auto"/>
                <w:highlight w:val="none"/>
              </w:rPr>
              <w:t>》(</w:t>
            </w:r>
            <w:r>
              <w:rPr>
                <w:b/>
                <w:bCs/>
                <w:color w:val="auto"/>
                <w:szCs w:val="22"/>
                <w:highlight w:val="none"/>
              </w:rPr>
              <w:t>环大气</w:t>
            </w:r>
            <w:r>
              <w:rPr>
                <w:rFonts w:hint="eastAsia" w:ascii="宋体" w:hAnsi="宋体" w:cs="宋体"/>
                <w:b/>
                <w:bCs/>
                <w:color w:val="auto"/>
                <w:highlight w:val="none"/>
              </w:rPr>
              <w:t>﹝</w:t>
            </w:r>
            <w:r>
              <w:rPr>
                <w:b/>
                <w:bCs/>
                <w:color w:val="auto"/>
                <w:highlight w:val="none"/>
              </w:rPr>
              <w:t>201</w:t>
            </w:r>
            <w:r>
              <w:rPr>
                <w:rFonts w:hint="eastAsia"/>
                <w:b/>
                <w:bCs/>
                <w:color w:val="auto"/>
                <w:highlight w:val="none"/>
              </w:rPr>
              <w:t>9</w:t>
            </w:r>
            <w:r>
              <w:rPr>
                <w:rFonts w:hint="eastAsia" w:ascii="宋体" w:hAnsi="宋体" w:cs="宋体"/>
                <w:b/>
                <w:bCs/>
                <w:color w:val="auto"/>
                <w:highlight w:val="none"/>
              </w:rPr>
              <w:t>﹞</w:t>
            </w:r>
            <w:r>
              <w:rPr>
                <w:b/>
                <w:bCs/>
                <w:color w:val="auto"/>
                <w:highlight w:val="none"/>
              </w:rPr>
              <w:t>53号)的相符性</w:t>
            </w:r>
          </w:p>
          <w:p w14:paraId="5C2C8EEB">
            <w:pPr>
              <w:keepNext w:val="0"/>
              <w:keepLines w:val="0"/>
              <w:pageBreakBefore w:val="0"/>
              <w:widowControl/>
              <w:kinsoku/>
              <w:wordWrap/>
              <w:overflowPunct/>
              <w:topLinePunct w:val="0"/>
              <w:autoSpaceDE/>
              <w:autoSpaceDN/>
              <w:bidi w:val="0"/>
              <w:adjustRightInd/>
              <w:snapToGrid w:val="0"/>
              <w:spacing w:before="157" w:beforeLines="50" w:line="240" w:lineRule="auto"/>
              <w:ind w:right="113"/>
              <w:jc w:val="center"/>
              <w:textAlignment w:val="auto"/>
              <w:rPr>
                <w:rFonts w:eastAsia="仿宋_GB2312"/>
                <w:color w:val="auto"/>
                <w:kern w:val="0"/>
                <w:szCs w:val="21"/>
                <w:highlight w:val="none"/>
              </w:rPr>
            </w:pPr>
            <w:r>
              <w:rPr>
                <w:b/>
                <w:bCs/>
                <w:color w:val="auto"/>
                <w:kern w:val="0"/>
                <w:szCs w:val="21"/>
                <w:highlight w:val="none"/>
              </w:rPr>
              <w:t>表1-</w:t>
            </w:r>
            <w:r>
              <w:rPr>
                <w:rFonts w:hint="eastAsia"/>
                <w:b/>
                <w:bCs/>
                <w:color w:val="auto"/>
                <w:kern w:val="0"/>
                <w:szCs w:val="21"/>
                <w:highlight w:val="none"/>
                <w:lang w:val="en-US" w:eastAsia="zh-CN"/>
              </w:rPr>
              <w:t>5</w:t>
            </w:r>
            <w:r>
              <w:rPr>
                <w:rFonts w:hint="eastAsia"/>
                <w:b/>
                <w:bCs/>
                <w:color w:val="auto"/>
                <w:kern w:val="0"/>
                <w:szCs w:val="21"/>
                <w:highlight w:val="none"/>
              </w:rPr>
              <w:t xml:space="preserve"> </w:t>
            </w:r>
            <w:r>
              <w:rPr>
                <w:b/>
                <w:bCs/>
                <w:color w:val="auto"/>
                <w:kern w:val="0"/>
                <w:szCs w:val="21"/>
                <w:highlight w:val="none"/>
              </w:rPr>
              <w:t>与《重点行业挥发性有机物综合治理方案》相符性分析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88"/>
              <w:gridCol w:w="4740"/>
              <w:gridCol w:w="1922"/>
              <w:gridCol w:w="655"/>
            </w:tblGrid>
            <w:tr w14:paraId="79AE7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8" w:type="dxa"/>
                  <w:vAlign w:val="center"/>
                </w:tcPr>
                <w:p w14:paraId="4A141A04">
                  <w:pPr>
                    <w:widowControl/>
                    <w:snapToGrid w:val="0"/>
                    <w:jc w:val="center"/>
                    <w:rPr>
                      <w:color w:val="auto"/>
                      <w:kern w:val="0"/>
                      <w:szCs w:val="22"/>
                      <w:highlight w:val="none"/>
                    </w:rPr>
                  </w:pPr>
                  <w:r>
                    <w:rPr>
                      <w:rFonts w:hint="eastAsia"/>
                      <w:color w:val="auto"/>
                      <w:kern w:val="0"/>
                      <w:szCs w:val="22"/>
                      <w:highlight w:val="none"/>
                    </w:rPr>
                    <w:t>序号</w:t>
                  </w:r>
                </w:p>
              </w:tc>
              <w:tc>
                <w:tcPr>
                  <w:tcW w:w="4740" w:type="dxa"/>
                  <w:vAlign w:val="center"/>
                </w:tcPr>
                <w:p w14:paraId="5C1BD3E6">
                  <w:pPr>
                    <w:widowControl/>
                    <w:snapToGrid w:val="0"/>
                    <w:jc w:val="center"/>
                    <w:rPr>
                      <w:color w:val="auto"/>
                      <w:kern w:val="0"/>
                      <w:szCs w:val="22"/>
                      <w:highlight w:val="none"/>
                    </w:rPr>
                  </w:pPr>
                  <w:r>
                    <w:rPr>
                      <w:rFonts w:hint="eastAsia"/>
                      <w:color w:val="auto"/>
                      <w:kern w:val="0"/>
                      <w:szCs w:val="22"/>
                      <w:highlight w:val="none"/>
                    </w:rPr>
                    <w:t>治理要求</w:t>
                  </w:r>
                </w:p>
              </w:tc>
              <w:tc>
                <w:tcPr>
                  <w:tcW w:w="1922" w:type="dxa"/>
                  <w:vAlign w:val="center"/>
                </w:tcPr>
                <w:p w14:paraId="198690A8">
                  <w:pPr>
                    <w:widowControl/>
                    <w:snapToGrid w:val="0"/>
                    <w:jc w:val="center"/>
                    <w:rPr>
                      <w:color w:val="auto"/>
                      <w:kern w:val="0"/>
                      <w:szCs w:val="22"/>
                      <w:highlight w:val="none"/>
                    </w:rPr>
                  </w:pPr>
                  <w:r>
                    <w:rPr>
                      <w:rFonts w:hint="eastAsia"/>
                      <w:color w:val="auto"/>
                      <w:kern w:val="0"/>
                      <w:szCs w:val="22"/>
                      <w:highlight w:val="none"/>
                    </w:rPr>
                    <w:t>本项目采取的措施</w:t>
                  </w:r>
                </w:p>
              </w:tc>
              <w:tc>
                <w:tcPr>
                  <w:tcW w:w="655" w:type="dxa"/>
                  <w:vAlign w:val="center"/>
                </w:tcPr>
                <w:p w14:paraId="5EE8209C">
                  <w:pPr>
                    <w:widowControl/>
                    <w:snapToGrid w:val="0"/>
                    <w:jc w:val="center"/>
                    <w:rPr>
                      <w:color w:val="auto"/>
                      <w:kern w:val="0"/>
                      <w:szCs w:val="22"/>
                      <w:highlight w:val="none"/>
                    </w:rPr>
                  </w:pPr>
                  <w:r>
                    <w:rPr>
                      <w:rFonts w:hint="eastAsia"/>
                      <w:color w:val="auto"/>
                      <w:kern w:val="0"/>
                      <w:szCs w:val="22"/>
                      <w:highlight w:val="none"/>
                    </w:rPr>
                    <w:t>符合性</w:t>
                  </w:r>
                </w:p>
              </w:tc>
            </w:tr>
            <w:tr w14:paraId="58947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8" w:type="dxa"/>
                  <w:vAlign w:val="center"/>
                </w:tcPr>
                <w:p w14:paraId="7EC1979C">
                  <w:pPr>
                    <w:widowControl/>
                    <w:snapToGrid w:val="0"/>
                    <w:jc w:val="center"/>
                    <w:rPr>
                      <w:color w:val="auto"/>
                      <w:kern w:val="0"/>
                      <w:szCs w:val="22"/>
                      <w:highlight w:val="none"/>
                    </w:rPr>
                  </w:pPr>
                  <w:r>
                    <w:rPr>
                      <w:rFonts w:hint="eastAsia"/>
                      <w:color w:val="auto"/>
                      <w:kern w:val="0"/>
                      <w:szCs w:val="22"/>
                      <w:highlight w:val="none"/>
                    </w:rPr>
                    <w:t>1</w:t>
                  </w:r>
                </w:p>
              </w:tc>
              <w:tc>
                <w:tcPr>
                  <w:tcW w:w="4740" w:type="dxa"/>
                  <w:vAlign w:val="center"/>
                </w:tcPr>
                <w:p w14:paraId="08F3A68E">
                  <w:pPr>
                    <w:pStyle w:val="25"/>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shd w:val="clear" w:color="auto" w:fill="FFFFFF"/>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272CE0DC">
                  <w:pPr>
                    <w:pStyle w:val="25"/>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shd w:val="clear" w:color="auto" w:fill="FFFFFF"/>
                    </w:rPr>
                    <w:t>加强设备与场所密闭管理。含VOCs物料应储存于密闭容器、包装袋，高效密封储罐，封闭式储库、料仓等。</w:t>
                  </w:r>
                </w:p>
                <w:p w14:paraId="0A733DB3">
                  <w:pPr>
                    <w:pStyle w:val="25"/>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shd w:val="clear" w:color="auto" w:fill="FFFFFF"/>
                    </w:rPr>
                    <w:t>推进使用先进生产工艺。通过采用全密闭、连续化、自动化等生产技术，以及高效工艺与设备等，减少工艺过程无组织排放。工业涂装行业重点推进使用紧凑式涂装工艺，推广采用辊涂、静电喷涂、高压无气喷涂、空气辅助无气喷涂、热喷涂等涂装技术，鼓励企业采用自动化、智能化喷涂设备替代人工喷涂，减少使用空气喷涂技术。</w:t>
                  </w:r>
                </w:p>
                <w:p w14:paraId="3B9407EF">
                  <w:pPr>
                    <w:pStyle w:val="25"/>
                    <w:spacing w:before="0" w:beforeAutospacing="0" w:after="0" w:afterAutospacing="0"/>
                    <w:rPr>
                      <w:rFonts w:ascii="Times New Roman" w:hAnsi="Times New Roman"/>
                      <w:color w:val="auto"/>
                      <w:sz w:val="21"/>
                      <w:szCs w:val="22"/>
                      <w:highlight w:val="none"/>
                    </w:rPr>
                  </w:pPr>
                  <w:r>
                    <w:rPr>
                      <w:rFonts w:ascii="Times New Roman" w:hAnsi="Times New Roman"/>
                      <w:color w:val="auto"/>
                      <w:sz w:val="21"/>
                      <w:szCs w:val="21"/>
                      <w:highlight w:val="none"/>
                      <w:shd w:val="clear" w:color="auto" w:fill="FFFFFF"/>
                    </w:rPr>
                    <w:t>提高废气收集率。遵循“应收尽收、分质收集”的原则，科学设计废气收集系统，将无组织排放转变为有组织排放进行控制。采用全密闭集气罩或密闭空间的，除行业有特殊要求外，应保持微负压状态。采用局部集气罩的，距集气罩开口面最远处的VOCs无组织排放位置，控制风速应不低于0.3米/秒，有行业要求的按相关规定执行。</w:t>
                  </w:r>
                </w:p>
              </w:tc>
              <w:tc>
                <w:tcPr>
                  <w:tcW w:w="1922" w:type="dxa"/>
                  <w:vAlign w:val="center"/>
                </w:tcPr>
                <w:p w14:paraId="699B5162">
                  <w:pPr>
                    <w:pStyle w:val="10"/>
                    <w:rPr>
                      <w:color w:val="auto"/>
                      <w:sz w:val="21"/>
                      <w:szCs w:val="22"/>
                      <w:highlight w:val="none"/>
                    </w:rPr>
                  </w:pPr>
                  <w:r>
                    <w:rPr>
                      <w:rFonts w:hint="eastAsia"/>
                      <w:color w:val="auto"/>
                      <w:sz w:val="21"/>
                      <w:szCs w:val="21"/>
                      <w:highlight w:val="none"/>
                      <w:shd w:val="clear" w:color="auto" w:fill="FFFFFF"/>
                    </w:rPr>
                    <w:t>本项目</w:t>
                  </w:r>
                  <w:r>
                    <w:rPr>
                      <w:rFonts w:hint="eastAsia"/>
                      <w:color w:val="auto"/>
                      <w:sz w:val="21"/>
                      <w:szCs w:val="21"/>
                      <w:highlight w:val="none"/>
                      <w:shd w:val="clear" w:color="auto" w:fill="FFFFFF"/>
                      <w:lang w:val="en-US" w:eastAsia="zh-CN"/>
                    </w:rPr>
                    <w:t>涉VOCs物料为塑粉，常温下不会产生VOCs气体，项目喷塑固化在密闭</w:t>
                  </w:r>
                  <w:r>
                    <w:rPr>
                      <w:rFonts w:hint="eastAsia"/>
                      <w:color w:val="auto"/>
                      <w:sz w:val="21"/>
                      <w:szCs w:val="21"/>
                      <w:highlight w:val="none"/>
                      <w:shd w:val="clear" w:color="auto" w:fill="FFFFFF"/>
                    </w:rPr>
                    <w:t>车间进行</w:t>
                  </w:r>
                </w:p>
              </w:tc>
              <w:tc>
                <w:tcPr>
                  <w:tcW w:w="655" w:type="dxa"/>
                  <w:vAlign w:val="center"/>
                </w:tcPr>
                <w:p w14:paraId="12A97497">
                  <w:pPr>
                    <w:spacing w:line="280" w:lineRule="exact"/>
                    <w:jc w:val="center"/>
                    <w:rPr>
                      <w:color w:val="auto"/>
                      <w:kern w:val="0"/>
                      <w:szCs w:val="22"/>
                      <w:highlight w:val="none"/>
                    </w:rPr>
                  </w:pPr>
                  <w:r>
                    <w:rPr>
                      <w:color w:val="auto"/>
                      <w:szCs w:val="21"/>
                      <w:highlight w:val="none"/>
                    </w:rPr>
                    <w:t>相符</w:t>
                  </w:r>
                </w:p>
              </w:tc>
            </w:tr>
            <w:tr w14:paraId="7AB7B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8" w:type="dxa"/>
                  <w:vAlign w:val="center"/>
                </w:tcPr>
                <w:p w14:paraId="4534D46E">
                  <w:pPr>
                    <w:widowControl/>
                    <w:snapToGrid w:val="0"/>
                    <w:jc w:val="center"/>
                    <w:rPr>
                      <w:color w:val="auto"/>
                      <w:kern w:val="0"/>
                      <w:szCs w:val="22"/>
                      <w:highlight w:val="none"/>
                    </w:rPr>
                  </w:pPr>
                  <w:r>
                    <w:rPr>
                      <w:rFonts w:hint="eastAsia"/>
                      <w:color w:val="auto"/>
                      <w:kern w:val="0"/>
                      <w:szCs w:val="22"/>
                      <w:highlight w:val="none"/>
                    </w:rPr>
                    <w:t>2</w:t>
                  </w:r>
                </w:p>
              </w:tc>
              <w:tc>
                <w:tcPr>
                  <w:tcW w:w="4740" w:type="dxa"/>
                  <w:vAlign w:val="center"/>
                </w:tcPr>
                <w:p w14:paraId="7F497B22">
                  <w:pPr>
                    <w:pStyle w:val="25"/>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shd w:val="clear" w:color="auto" w:fill="FFFFFF"/>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173F1307">
                  <w:pPr>
                    <w:rPr>
                      <w:color w:val="auto"/>
                      <w:kern w:val="0"/>
                      <w:szCs w:val="22"/>
                      <w:highlight w:val="none"/>
                    </w:rPr>
                  </w:pPr>
                </w:p>
              </w:tc>
              <w:tc>
                <w:tcPr>
                  <w:tcW w:w="1922" w:type="dxa"/>
                  <w:vAlign w:val="center"/>
                </w:tcPr>
                <w:p w14:paraId="63759EA1">
                  <w:pPr>
                    <w:spacing w:line="280" w:lineRule="exact"/>
                    <w:rPr>
                      <w:rFonts w:hint="eastAsia" w:eastAsia="宋体"/>
                      <w:color w:val="auto"/>
                      <w:kern w:val="0"/>
                      <w:szCs w:val="22"/>
                      <w:highlight w:val="none"/>
                      <w:lang w:eastAsia="zh-CN"/>
                    </w:rPr>
                  </w:pPr>
                  <w:r>
                    <w:rPr>
                      <w:color w:val="auto"/>
                      <w:szCs w:val="21"/>
                      <w:highlight w:val="none"/>
                    </w:rPr>
                    <w:t>本项目</w:t>
                  </w:r>
                  <w:r>
                    <w:rPr>
                      <w:rFonts w:hint="eastAsia"/>
                      <w:color w:val="auto"/>
                      <w:szCs w:val="21"/>
                      <w:highlight w:val="none"/>
                      <w:lang w:val="en-US" w:eastAsia="zh-CN"/>
                    </w:rPr>
                    <w:t>塑粉固化产生的</w:t>
                  </w:r>
                  <w:r>
                    <w:rPr>
                      <w:color w:val="auto"/>
                      <w:szCs w:val="21"/>
                      <w:highlight w:val="none"/>
                    </w:rPr>
                    <w:t>有机废气经</w:t>
                  </w:r>
                  <w:r>
                    <w:rPr>
                      <w:rFonts w:hint="eastAsia"/>
                      <w:color w:val="auto"/>
                      <w:szCs w:val="21"/>
                      <w:highlight w:val="none"/>
                      <w:lang w:val="en-US" w:eastAsia="zh-CN"/>
                    </w:rPr>
                    <w:t>车间密闭负压</w:t>
                  </w:r>
                  <w:r>
                    <w:rPr>
                      <w:rFonts w:hint="eastAsia"/>
                      <w:color w:val="auto"/>
                      <w:szCs w:val="21"/>
                      <w:highlight w:val="none"/>
                      <w:shd w:val="clear" w:color="auto" w:fill="FFFFFF"/>
                    </w:rPr>
                    <w:t>收集</w:t>
                  </w:r>
                  <w:r>
                    <w:rPr>
                      <w:rFonts w:hint="eastAsia"/>
                      <w:color w:val="auto"/>
                      <w:szCs w:val="21"/>
                      <w:highlight w:val="none"/>
                      <w:shd w:val="clear" w:color="auto" w:fill="FFFFFF"/>
                      <w:lang w:val="en-US" w:eastAsia="zh-CN"/>
                    </w:rPr>
                    <w:t>经</w:t>
                  </w:r>
                  <w:r>
                    <w:rPr>
                      <w:rFonts w:hint="eastAsia"/>
                      <w:color w:val="auto"/>
                      <w:szCs w:val="21"/>
                      <w:highlight w:val="none"/>
                    </w:rPr>
                    <w:t>二级活性炭吸附</w:t>
                  </w:r>
                  <w:r>
                    <w:rPr>
                      <w:rFonts w:hint="eastAsia"/>
                      <w:color w:val="auto"/>
                      <w:szCs w:val="21"/>
                      <w:highlight w:val="none"/>
                      <w:shd w:val="clear" w:color="auto" w:fill="FFFFFF"/>
                    </w:rPr>
                    <w:t>装置处理后通过15m高</w:t>
                  </w:r>
                  <w:r>
                    <w:rPr>
                      <w:rFonts w:hint="eastAsia"/>
                      <w:color w:val="auto"/>
                      <w:szCs w:val="21"/>
                      <w:highlight w:val="none"/>
                      <w:shd w:val="clear" w:color="auto" w:fill="FFFFFF"/>
                      <w:lang w:val="en-US" w:eastAsia="zh-CN"/>
                    </w:rPr>
                    <w:t>DA006</w:t>
                  </w:r>
                  <w:r>
                    <w:rPr>
                      <w:rFonts w:hint="eastAsia"/>
                      <w:color w:val="auto"/>
                      <w:szCs w:val="21"/>
                      <w:highlight w:val="none"/>
                      <w:shd w:val="clear" w:color="auto" w:fill="FFFFFF"/>
                    </w:rPr>
                    <w:t>排气筒排放处理</w:t>
                  </w:r>
                </w:p>
              </w:tc>
              <w:tc>
                <w:tcPr>
                  <w:tcW w:w="655" w:type="dxa"/>
                  <w:vAlign w:val="center"/>
                </w:tcPr>
                <w:p w14:paraId="3AD81072">
                  <w:pPr>
                    <w:spacing w:line="280" w:lineRule="exact"/>
                    <w:jc w:val="center"/>
                    <w:rPr>
                      <w:color w:val="auto"/>
                      <w:kern w:val="0"/>
                      <w:szCs w:val="22"/>
                      <w:highlight w:val="none"/>
                    </w:rPr>
                  </w:pPr>
                  <w:r>
                    <w:rPr>
                      <w:color w:val="auto"/>
                      <w:szCs w:val="21"/>
                      <w:highlight w:val="none"/>
                    </w:rPr>
                    <w:t>相符</w:t>
                  </w:r>
                </w:p>
              </w:tc>
            </w:tr>
          </w:tbl>
          <w:p w14:paraId="0B8E6766">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22" w:firstLineChars="200"/>
              <w:textAlignment w:val="auto"/>
              <w:rPr>
                <w:rFonts w:ascii="宋体" w:hAnsi="宋体" w:cs="宋体"/>
                <w:b/>
                <w:bCs/>
                <w:color w:val="auto"/>
                <w:kern w:val="0"/>
                <w:szCs w:val="21"/>
                <w:highlight w:val="none"/>
              </w:rPr>
            </w:pPr>
            <w:r>
              <w:rPr>
                <w:b/>
                <w:bCs/>
                <w:color w:val="auto"/>
                <w:kern w:val="0"/>
                <w:szCs w:val="21"/>
                <w:highlight w:val="none"/>
              </w:rPr>
              <w:t>6、与《挥</w:t>
            </w:r>
            <w:r>
              <w:rPr>
                <w:rFonts w:ascii="宋体" w:hAnsi="宋体" w:cs="宋体"/>
                <w:b/>
                <w:bCs/>
                <w:color w:val="auto"/>
                <w:kern w:val="0"/>
                <w:szCs w:val="21"/>
                <w:highlight w:val="none"/>
              </w:rPr>
              <w:t>发性有机物无组织排放控制标准》（</w:t>
            </w:r>
            <w:r>
              <w:rPr>
                <w:b/>
                <w:bCs/>
                <w:color w:val="auto"/>
                <w:kern w:val="0"/>
                <w:szCs w:val="21"/>
                <w:highlight w:val="none"/>
              </w:rPr>
              <w:t>GB37822-2019</w:t>
            </w:r>
            <w:r>
              <w:rPr>
                <w:rFonts w:ascii="宋体" w:hAnsi="宋体" w:cs="宋体"/>
                <w:b/>
                <w:bCs/>
                <w:color w:val="auto"/>
                <w:kern w:val="0"/>
                <w:szCs w:val="21"/>
                <w:highlight w:val="none"/>
              </w:rPr>
              <w:t>）和《挥发性有机物无组织排放控制标准》（</w:t>
            </w:r>
            <w:r>
              <w:rPr>
                <w:b/>
                <w:bCs/>
                <w:color w:val="auto"/>
                <w:kern w:val="0"/>
                <w:szCs w:val="21"/>
                <w:highlight w:val="none"/>
              </w:rPr>
              <w:t>GB37822-2019</w:t>
            </w:r>
            <w:r>
              <w:rPr>
                <w:rFonts w:ascii="宋体" w:hAnsi="宋体" w:cs="宋体"/>
                <w:b/>
                <w:bCs/>
                <w:color w:val="auto"/>
                <w:kern w:val="0"/>
                <w:szCs w:val="21"/>
                <w:highlight w:val="none"/>
              </w:rPr>
              <w:t>）的通知（宿污防指办</w:t>
            </w:r>
            <w:r>
              <w:rPr>
                <w:rFonts w:hint="eastAsia" w:ascii="宋体" w:hAnsi="宋体" w:cs="宋体"/>
                <w:b/>
                <w:bCs/>
                <w:color w:val="auto"/>
                <w:kern w:val="0"/>
                <w:szCs w:val="21"/>
                <w:highlight w:val="none"/>
              </w:rPr>
              <w:t>﹝</w:t>
            </w:r>
            <w:r>
              <w:rPr>
                <w:b/>
                <w:bCs/>
                <w:color w:val="auto"/>
                <w:kern w:val="0"/>
                <w:szCs w:val="21"/>
                <w:highlight w:val="none"/>
              </w:rPr>
              <w:t>2019</w:t>
            </w:r>
            <w:r>
              <w:rPr>
                <w:rFonts w:hint="eastAsia" w:ascii="宋体" w:hAnsi="宋体" w:cs="宋体"/>
                <w:b/>
                <w:bCs/>
                <w:color w:val="auto"/>
                <w:kern w:val="0"/>
                <w:szCs w:val="21"/>
                <w:highlight w:val="none"/>
              </w:rPr>
              <w:t>﹞</w:t>
            </w:r>
            <w:r>
              <w:rPr>
                <w:b/>
                <w:bCs/>
                <w:color w:val="auto"/>
                <w:kern w:val="0"/>
                <w:szCs w:val="21"/>
                <w:highlight w:val="none"/>
              </w:rPr>
              <w:t>55</w:t>
            </w:r>
            <w:r>
              <w:rPr>
                <w:rFonts w:ascii="宋体" w:hAnsi="宋体" w:cs="宋体"/>
                <w:b/>
                <w:bCs/>
                <w:color w:val="auto"/>
                <w:kern w:val="0"/>
                <w:szCs w:val="21"/>
                <w:highlight w:val="none"/>
              </w:rPr>
              <w:t>号）相符性分析</w:t>
            </w:r>
          </w:p>
          <w:p w14:paraId="4E5E54EF">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ascii="宋体" w:hAnsi="宋体" w:cs="宋体"/>
                <w:b/>
                <w:bCs/>
                <w:color w:val="auto"/>
                <w:kern w:val="0"/>
                <w:szCs w:val="21"/>
                <w:highlight w:val="none"/>
              </w:rPr>
            </w:pPr>
            <w:r>
              <w:rPr>
                <w:rFonts w:ascii="宋体" w:hAnsi="宋体" w:cs="宋体"/>
                <w:b/>
                <w:bCs/>
                <w:color w:val="auto"/>
                <w:kern w:val="0"/>
                <w:szCs w:val="21"/>
                <w:highlight w:val="none"/>
              </w:rPr>
              <w:t>表</w:t>
            </w:r>
            <w:r>
              <w:rPr>
                <w:b/>
                <w:bCs/>
                <w:color w:val="auto"/>
                <w:kern w:val="0"/>
                <w:szCs w:val="21"/>
                <w:highlight w:val="none"/>
              </w:rPr>
              <w:t>1-</w:t>
            </w:r>
            <w:r>
              <w:rPr>
                <w:rFonts w:hint="eastAsia"/>
                <w:b/>
                <w:bCs/>
                <w:color w:val="auto"/>
                <w:kern w:val="0"/>
                <w:szCs w:val="21"/>
                <w:highlight w:val="none"/>
                <w:lang w:val="en-US" w:eastAsia="zh-CN"/>
              </w:rPr>
              <w:t xml:space="preserve">6 </w:t>
            </w:r>
            <w:r>
              <w:rPr>
                <w:rFonts w:ascii="宋体" w:hAnsi="宋体" w:cs="宋体"/>
                <w:b/>
                <w:bCs/>
                <w:color w:val="auto"/>
                <w:kern w:val="0"/>
                <w:szCs w:val="21"/>
                <w:highlight w:val="none"/>
              </w:rPr>
              <w:t>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4331"/>
              <w:gridCol w:w="2857"/>
              <w:gridCol w:w="617"/>
            </w:tblGrid>
            <w:tr w14:paraId="5E40A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250" w:type="dxa"/>
                  <w:vAlign w:val="center"/>
                </w:tcPr>
                <w:p w14:paraId="2FCAFB40">
                  <w:pPr>
                    <w:spacing w:line="280" w:lineRule="exact"/>
                    <w:jc w:val="center"/>
                    <w:rPr>
                      <w:b/>
                      <w:color w:val="auto"/>
                      <w:szCs w:val="21"/>
                      <w:highlight w:val="none"/>
                    </w:rPr>
                  </w:pPr>
                  <w:r>
                    <w:rPr>
                      <w:rFonts w:hint="eastAsia"/>
                      <w:b/>
                      <w:color w:val="auto"/>
                      <w:szCs w:val="21"/>
                      <w:highlight w:val="none"/>
                    </w:rPr>
                    <w:t>标准</w:t>
                  </w:r>
                  <w:r>
                    <w:rPr>
                      <w:b/>
                      <w:color w:val="auto"/>
                      <w:szCs w:val="21"/>
                      <w:highlight w:val="none"/>
                    </w:rPr>
                    <w:t>要求</w:t>
                  </w:r>
                </w:p>
              </w:tc>
              <w:tc>
                <w:tcPr>
                  <w:tcW w:w="3459" w:type="dxa"/>
                  <w:vAlign w:val="center"/>
                </w:tcPr>
                <w:p w14:paraId="3F02E4DF">
                  <w:pPr>
                    <w:spacing w:line="280" w:lineRule="exact"/>
                    <w:jc w:val="center"/>
                    <w:rPr>
                      <w:b/>
                      <w:color w:val="auto"/>
                      <w:szCs w:val="21"/>
                      <w:highlight w:val="none"/>
                    </w:rPr>
                  </w:pPr>
                  <w:r>
                    <w:rPr>
                      <w:b/>
                      <w:color w:val="auto"/>
                      <w:szCs w:val="21"/>
                      <w:highlight w:val="none"/>
                    </w:rPr>
                    <w:t>项目情况</w:t>
                  </w:r>
                </w:p>
              </w:tc>
              <w:tc>
                <w:tcPr>
                  <w:tcW w:w="736" w:type="dxa"/>
                  <w:vAlign w:val="center"/>
                </w:tcPr>
                <w:p w14:paraId="3B95DCB2">
                  <w:pPr>
                    <w:spacing w:line="280" w:lineRule="exact"/>
                    <w:jc w:val="center"/>
                    <w:rPr>
                      <w:b/>
                      <w:color w:val="auto"/>
                      <w:szCs w:val="21"/>
                      <w:highlight w:val="none"/>
                    </w:rPr>
                  </w:pPr>
                  <w:r>
                    <w:rPr>
                      <w:b/>
                      <w:color w:val="auto"/>
                      <w:szCs w:val="21"/>
                      <w:highlight w:val="none"/>
                    </w:rPr>
                    <w:t>相符性</w:t>
                  </w:r>
                </w:p>
              </w:tc>
            </w:tr>
            <w:tr w14:paraId="4E6D7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45" w:type="dxa"/>
                  <w:gridSpan w:val="3"/>
                  <w:vAlign w:val="center"/>
                </w:tcPr>
                <w:p w14:paraId="285BA51C">
                  <w:pPr>
                    <w:spacing w:line="280" w:lineRule="exact"/>
                    <w:jc w:val="center"/>
                    <w:rPr>
                      <w:b/>
                      <w:color w:val="auto"/>
                      <w:szCs w:val="21"/>
                      <w:highlight w:val="none"/>
                    </w:rPr>
                  </w:pPr>
                  <w:r>
                    <w:rPr>
                      <w:b/>
                      <w:bCs/>
                      <w:color w:val="auto"/>
                      <w:szCs w:val="21"/>
                      <w:highlight w:val="none"/>
                    </w:rPr>
                    <w:t>《挥发性有机物无组织排放控制标准》（GB37822-2019）</w:t>
                  </w:r>
                </w:p>
              </w:tc>
            </w:tr>
            <w:tr w14:paraId="4AB5D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250" w:type="dxa"/>
                  <w:vAlign w:val="center"/>
                </w:tcPr>
                <w:p w14:paraId="20BE6D29">
                  <w:pPr>
                    <w:spacing w:line="280" w:lineRule="exact"/>
                    <w:rPr>
                      <w:color w:val="auto"/>
                      <w:szCs w:val="21"/>
                      <w:highlight w:val="none"/>
                    </w:rPr>
                  </w:pPr>
                  <w:r>
                    <w:rPr>
                      <w:color w:val="auto"/>
                      <w:szCs w:val="21"/>
                      <w:highlight w:val="none"/>
                    </w:rPr>
                    <w:t>企业应建立台账，记录含VOCs原辅材料和含VOCs产品的名称、使用量、回收量、废弃量、去向以及VOCs含量等信息。台账保存期限不少于3年</w:t>
                  </w:r>
                </w:p>
              </w:tc>
              <w:tc>
                <w:tcPr>
                  <w:tcW w:w="3459" w:type="dxa"/>
                  <w:vAlign w:val="center"/>
                </w:tcPr>
                <w:p w14:paraId="3B2BA9EB">
                  <w:pPr>
                    <w:keepNext w:val="0"/>
                    <w:keepLines w:val="0"/>
                    <w:suppressLineNumbers w:val="0"/>
                    <w:spacing w:before="0" w:beforeAutospacing="0" w:after="0" w:afterAutospacing="0" w:line="280" w:lineRule="exact"/>
                    <w:ind w:left="0" w:leftChars="0" w:right="0" w:rightChars="0"/>
                    <w:rPr>
                      <w:b/>
                      <w:color w:val="auto"/>
                      <w:szCs w:val="21"/>
                      <w:highlight w:val="none"/>
                    </w:rPr>
                  </w:pPr>
                  <w:r>
                    <w:rPr>
                      <w:color w:val="auto"/>
                      <w:szCs w:val="21"/>
                      <w:highlight w:val="none"/>
                    </w:rPr>
                    <w:t>本次环评要求企业按要求建立进货台账，使用量、废弃量等均有记录</w:t>
                  </w:r>
                  <w:r>
                    <w:rPr>
                      <w:rFonts w:hint="eastAsia"/>
                      <w:color w:val="auto"/>
                      <w:szCs w:val="21"/>
                      <w:highlight w:val="none"/>
                      <w:lang w:eastAsia="zh-CN"/>
                    </w:rPr>
                    <w:t>，</w:t>
                  </w:r>
                  <w:r>
                    <w:rPr>
                      <w:color w:val="auto"/>
                      <w:szCs w:val="21"/>
                      <w:highlight w:val="none"/>
                    </w:rPr>
                    <w:t>台账保存期限不少于3年</w:t>
                  </w:r>
                </w:p>
              </w:tc>
              <w:tc>
                <w:tcPr>
                  <w:tcW w:w="736" w:type="dxa"/>
                  <w:vAlign w:val="center"/>
                </w:tcPr>
                <w:p w14:paraId="1D31005B">
                  <w:pPr>
                    <w:spacing w:line="280" w:lineRule="exact"/>
                    <w:jc w:val="center"/>
                    <w:rPr>
                      <w:color w:val="auto"/>
                      <w:szCs w:val="21"/>
                      <w:highlight w:val="none"/>
                    </w:rPr>
                  </w:pPr>
                  <w:r>
                    <w:rPr>
                      <w:color w:val="auto"/>
                      <w:szCs w:val="21"/>
                      <w:highlight w:val="none"/>
                    </w:rPr>
                    <w:t>相符</w:t>
                  </w:r>
                </w:p>
              </w:tc>
            </w:tr>
            <w:tr w14:paraId="6C177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250" w:type="dxa"/>
                  <w:vAlign w:val="center"/>
                </w:tcPr>
                <w:p w14:paraId="25FE023C">
                  <w:pPr>
                    <w:rPr>
                      <w:color w:val="auto"/>
                      <w:szCs w:val="21"/>
                      <w:highlight w:val="none"/>
                    </w:rPr>
                  </w:pPr>
                  <w:r>
                    <w:rPr>
                      <w:rFonts w:ascii="宋体" w:hAnsi="宋体" w:cs="宋体"/>
                      <w:color w:val="auto"/>
                      <w:szCs w:val="21"/>
                      <w:highlight w:val="none"/>
                    </w:rPr>
                    <w:t>通风生产设备、操作工位、车间厂房等应在符合安全生产、职业卫生相关规定的前提下，根据行业作业规程与标准、工业建筑及洁净厂房通风设计规范等的要求，采用合理的通风量。</w:t>
                  </w:r>
                </w:p>
              </w:tc>
              <w:tc>
                <w:tcPr>
                  <w:tcW w:w="3459" w:type="dxa"/>
                  <w:vAlign w:val="center"/>
                </w:tcPr>
                <w:p w14:paraId="79020F52">
                  <w:pPr>
                    <w:keepNext w:val="0"/>
                    <w:keepLines w:val="0"/>
                    <w:suppressLineNumbers w:val="0"/>
                    <w:spacing w:before="0" w:beforeAutospacing="0" w:after="0" w:afterAutospacing="0" w:line="280" w:lineRule="exact"/>
                    <w:ind w:left="0" w:leftChars="0" w:right="0" w:rightChars="0"/>
                    <w:rPr>
                      <w:color w:val="auto"/>
                      <w:szCs w:val="21"/>
                      <w:highlight w:val="none"/>
                    </w:rPr>
                  </w:pPr>
                  <w:r>
                    <w:rPr>
                      <w:rFonts w:ascii="宋体" w:hAnsi="宋体" w:cs="宋体"/>
                      <w:color w:val="auto"/>
                      <w:szCs w:val="21"/>
                      <w:highlight w:val="none"/>
                    </w:rPr>
                    <w:t>厂房、仓库等均符合设计要求，厂房、仓库均设有换气扇等，保持车间通风</w:t>
                  </w:r>
                </w:p>
              </w:tc>
              <w:tc>
                <w:tcPr>
                  <w:tcW w:w="736" w:type="dxa"/>
                  <w:vAlign w:val="center"/>
                </w:tcPr>
                <w:p w14:paraId="652A8AE6">
                  <w:pPr>
                    <w:spacing w:line="280" w:lineRule="exact"/>
                    <w:jc w:val="center"/>
                    <w:rPr>
                      <w:color w:val="auto"/>
                      <w:szCs w:val="21"/>
                      <w:highlight w:val="none"/>
                    </w:rPr>
                  </w:pPr>
                  <w:r>
                    <w:rPr>
                      <w:color w:val="auto"/>
                      <w:szCs w:val="21"/>
                      <w:highlight w:val="none"/>
                    </w:rPr>
                    <w:t>相符</w:t>
                  </w:r>
                </w:p>
              </w:tc>
            </w:tr>
            <w:tr w14:paraId="253C3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250" w:type="dxa"/>
                  <w:vAlign w:val="center"/>
                </w:tcPr>
                <w:p w14:paraId="3853BD50">
                  <w:pPr>
                    <w:rPr>
                      <w:rFonts w:ascii="宋体" w:hAnsi="宋体" w:cs="宋体"/>
                      <w:color w:val="auto"/>
                      <w:szCs w:val="21"/>
                      <w:highlight w:val="none"/>
                    </w:rPr>
                  </w:pPr>
                  <w:r>
                    <w:rPr>
                      <w:color w:val="auto"/>
                      <w:szCs w:val="21"/>
                      <w:highlight w:val="none"/>
                    </w:rPr>
                    <w:t>废气收集系统排风罩（集气罩）的设置应符合GB/T16758的规定。采用外部排风罩的，应按GB/T16758、AQ/T4274-2016规定的方法测量控制风速，测量点应选择在距排风罩开口面最远处的VOCs无组织排放位置，控制风速不应低于0.3m/s（行业相关规范有具体规定的，按相关规定执行）。</w:t>
                  </w:r>
                </w:p>
              </w:tc>
              <w:tc>
                <w:tcPr>
                  <w:tcW w:w="3459" w:type="dxa"/>
                  <w:vAlign w:val="center"/>
                </w:tcPr>
                <w:p w14:paraId="4552FE32">
                  <w:pPr>
                    <w:keepNext w:val="0"/>
                    <w:keepLines w:val="0"/>
                    <w:suppressLineNumbers w:val="0"/>
                    <w:spacing w:before="0" w:beforeAutospacing="0" w:after="0" w:afterAutospacing="0" w:line="280" w:lineRule="exact"/>
                    <w:ind w:left="0" w:leftChars="0" w:right="0" w:rightChars="0"/>
                    <w:rPr>
                      <w:rFonts w:ascii="宋体" w:hAnsi="宋体" w:cs="宋体"/>
                      <w:color w:val="auto"/>
                      <w:szCs w:val="21"/>
                      <w:highlight w:val="none"/>
                    </w:rPr>
                  </w:pPr>
                  <w:r>
                    <w:rPr>
                      <w:rFonts w:hint="eastAsia" w:ascii="宋体" w:hAnsi="宋体" w:cs="宋体"/>
                      <w:color w:val="auto"/>
                      <w:szCs w:val="21"/>
                      <w:highlight w:val="none"/>
                    </w:rPr>
                    <w:t>本项目</w:t>
                  </w:r>
                  <w:r>
                    <w:rPr>
                      <w:rFonts w:hint="default" w:ascii="Times New Roman" w:hAnsi="Times New Roman" w:cs="Times New Roman"/>
                      <w:color w:val="auto"/>
                      <w:szCs w:val="21"/>
                      <w:highlight w:val="none"/>
                      <w:lang w:val="en-US" w:eastAsia="zh-CN"/>
                    </w:rPr>
                    <w:t>VOCs采用</w:t>
                  </w:r>
                  <w:r>
                    <w:rPr>
                      <w:rFonts w:hint="eastAsia" w:ascii="宋体" w:hAnsi="宋体" w:cs="宋体"/>
                      <w:color w:val="auto"/>
                      <w:szCs w:val="21"/>
                      <w:highlight w:val="none"/>
                      <w:lang w:val="en-US" w:eastAsia="zh-CN"/>
                    </w:rPr>
                    <w:t>密闭收集</w:t>
                  </w:r>
                </w:p>
              </w:tc>
              <w:tc>
                <w:tcPr>
                  <w:tcW w:w="736" w:type="dxa"/>
                  <w:vAlign w:val="center"/>
                </w:tcPr>
                <w:p w14:paraId="0C6746F0">
                  <w:pPr>
                    <w:spacing w:line="280" w:lineRule="exact"/>
                    <w:jc w:val="center"/>
                    <w:rPr>
                      <w:color w:val="auto"/>
                      <w:szCs w:val="21"/>
                      <w:highlight w:val="none"/>
                    </w:rPr>
                  </w:pPr>
                  <w:r>
                    <w:rPr>
                      <w:color w:val="auto"/>
                      <w:szCs w:val="21"/>
                      <w:highlight w:val="none"/>
                    </w:rPr>
                    <w:t>相符</w:t>
                  </w:r>
                </w:p>
              </w:tc>
            </w:tr>
            <w:tr w14:paraId="412F7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250" w:type="dxa"/>
                  <w:vAlign w:val="center"/>
                </w:tcPr>
                <w:p w14:paraId="7ABAEC74">
                  <w:pPr>
                    <w:rPr>
                      <w:rFonts w:ascii="宋体" w:hAnsi="宋体" w:cs="宋体"/>
                      <w:color w:val="auto"/>
                      <w:szCs w:val="21"/>
                      <w:highlight w:val="none"/>
                    </w:rPr>
                  </w:pPr>
                  <w:r>
                    <w:rPr>
                      <w:color w:val="auto"/>
                      <w:szCs w:val="21"/>
                      <w:highlight w:val="none"/>
                    </w:rPr>
                    <w:t>VOCs废气收集处理系统污染物排放应符合GB16297或相关行业排放标准的规定。</w:t>
                  </w:r>
                </w:p>
              </w:tc>
              <w:tc>
                <w:tcPr>
                  <w:tcW w:w="3459" w:type="dxa"/>
                  <w:vAlign w:val="center"/>
                </w:tcPr>
                <w:p w14:paraId="5937B7FC">
                  <w:pPr>
                    <w:spacing w:line="280" w:lineRule="exact"/>
                    <w:rPr>
                      <w:rFonts w:ascii="宋体" w:hAnsi="宋体" w:cs="宋体"/>
                      <w:color w:val="auto"/>
                      <w:szCs w:val="21"/>
                      <w:highlight w:val="none"/>
                    </w:rPr>
                  </w:pPr>
                  <w:r>
                    <w:rPr>
                      <w:rFonts w:hint="eastAsia" w:ascii="宋体" w:hAnsi="宋体" w:cs="宋体"/>
                      <w:color w:val="auto"/>
                      <w:szCs w:val="21"/>
                      <w:highlight w:val="none"/>
                    </w:rPr>
                    <w:t>本项目</w:t>
                  </w:r>
                  <w:r>
                    <w:rPr>
                      <w:rFonts w:ascii="宋体" w:hAnsi="宋体" w:cs="宋体"/>
                      <w:color w:val="auto"/>
                      <w:szCs w:val="21"/>
                      <w:highlight w:val="none"/>
                    </w:rPr>
                    <w:t>有机废气达标排放</w:t>
                  </w:r>
                </w:p>
              </w:tc>
              <w:tc>
                <w:tcPr>
                  <w:tcW w:w="736" w:type="dxa"/>
                  <w:vAlign w:val="center"/>
                </w:tcPr>
                <w:p w14:paraId="6BA2D8BC">
                  <w:pPr>
                    <w:spacing w:line="280" w:lineRule="exact"/>
                    <w:jc w:val="center"/>
                    <w:rPr>
                      <w:color w:val="auto"/>
                      <w:szCs w:val="21"/>
                      <w:highlight w:val="none"/>
                    </w:rPr>
                  </w:pPr>
                  <w:r>
                    <w:rPr>
                      <w:color w:val="auto"/>
                      <w:szCs w:val="21"/>
                      <w:highlight w:val="none"/>
                    </w:rPr>
                    <w:t>相符</w:t>
                  </w:r>
                </w:p>
              </w:tc>
            </w:tr>
            <w:tr w14:paraId="4D1AA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250" w:type="dxa"/>
                  <w:vAlign w:val="center"/>
                </w:tcPr>
                <w:p w14:paraId="3CF016BD">
                  <w:pPr>
                    <w:rPr>
                      <w:color w:val="auto"/>
                      <w:szCs w:val="21"/>
                      <w:highlight w:val="none"/>
                    </w:rPr>
                  </w:pPr>
                  <w:r>
                    <w:rPr>
                      <w:color w:val="auto"/>
                      <w:szCs w:val="21"/>
                      <w:highlight w:val="none"/>
                    </w:rPr>
                    <w:t>收集的废气中NMHC初始排放速率≥3kg/h时，应配置VOCs处理设施，处理效率不应低于80%；对于重点地区，收集的废气中NMHC初始排放速率≥2kg/h时，应配置VOCs处理设施，处理效率不应低于80%；</w:t>
                  </w:r>
                </w:p>
              </w:tc>
              <w:tc>
                <w:tcPr>
                  <w:tcW w:w="3459" w:type="dxa"/>
                  <w:vAlign w:val="center"/>
                </w:tcPr>
                <w:p w14:paraId="6B0FF601">
                  <w:pPr>
                    <w:spacing w:line="280" w:lineRule="exact"/>
                    <w:rPr>
                      <w:rFonts w:ascii="宋体" w:hAnsi="宋体" w:cs="宋体"/>
                      <w:color w:val="auto"/>
                      <w:szCs w:val="21"/>
                      <w:highlight w:val="none"/>
                    </w:rPr>
                  </w:pPr>
                  <w:r>
                    <w:rPr>
                      <w:rFonts w:hint="default" w:ascii="Times New Roman" w:hAnsi="Times New Roman" w:cs="Times New Roman"/>
                      <w:color w:val="auto"/>
                      <w:szCs w:val="21"/>
                      <w:highlight w:val="none"/>
                    </w:rPr>
                    <w:t>本项目VOCs的初始排放速率</w:t>
                  </w:r>
                  <w:r>
                    <w:rPr>
                      <w:rFonts w:hint="default" w:ascii="Times New Roman" w:hAnsi="Times New Roman" w:cs="Times New Roman"/>
                      <w:color w:val="auto"/>
                      <w:szCs w:val="21"/>
                      <w:highlight w:val="none"/>
                      <w:lang w:val="en-US" w:eastAsia="zh-CN"/>
                    </w:rPr>
                    <w:t>均</w:t>
                  </w:r>
                  <w:r>
                    <w:rPr>
                      <w:rFonts w:hint="default" w:ascii="Times New Roman" w:hAnsi="Times New Roman" w:cs="Times New Roman"/>
                      <w:color w:val="auto"/>
                      <w:szCs w:val="21"/>
                      <w:highlight w:val="none"/>
                    </w:rPr>
                    <w:t>小于</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kg/h，</w:t>
                  </w:r>
                  <w:r>
                    <w:rPr>
                      <w:color w:val="auto"/>
                      <w:szCs w:val="21"/>
                      <w:highlight w:val="none"/>
                    </w:rPr>
                    <w:t>本项目</w:t>
                  </w:r>
                  <w:r>
                    <w:rPr>
                      <w:rFonts w:hint="eastAsia"/>
                      <w:color w:val="auto"/>
                      <w:szCs w:val="21"/>
                      <w:highlight w:val="none"/>
                      <w:lang w:val="en-US" w:eastAsia="zh-CN"/>
                    </w:rPr>
                    <w:t>塑粉固化产生的</w:t>
                  </w:r>
                  <w:r>
                    <w:rPr>
                      <w:color w:val="auto"/>
                      <w:szCs w:val="21"/>
                      <w:highlight w:val="none"/>
                    </w:rPr>
                    <w:t>有机废气经</w:t>
                  </w:r>
                  <w:r>
                    <w:rPr>
                      <w:rFonts w:hint="eastAsia"/>
                      <w:color w:val="auto"/>
                      <w:szCs w:val="21"/>
                      <w:highlight w:val="none"/>
                      <w:lang w:val="en-US" w:eastAsia="zh-CN"/>
                    </w:rPr>
                    <w:t>车间密闭负压</w:t>
                  </w:r>
                  <w:r>
                    <w:rPr>
                      <w:rFonts w:hint="eastAsia"/>
                      <w:color w:val="auto"/>
                      <w:szCs w:val="21"/>
                      <w:highlight w:val="none"/>
                      <w:shd w:val="clear" w:color="auto" w:fill="FFFFFF"/>
                    </w:rPr>
                    <w:t>收集后</w:t>
                  </w:r>
                  <w:r>
                    <w:rPr>
                      <w:rFonts w:hint="eastAsia"/>
                      <w:color w:val="auto"/>
                      <w:szCs w:val="21"/>
                      <w:highlight w:val="none"/>
                      <w:lang w:val="en-US" w:eastAsia="zh-CN"/>
                    </w:rPr>
                    <w:t>经</w:t>
                  </w:r>
                  <w:r>
                    <w:rPr>
                      <w:rFonts w:hint="eastAsia"/>
                      <w:color w:val="auto"/>
                      <w:szCs w:val="21"/>
                      <w:highlight w:val="none"/>
                    </w:rPr>
                    <w:t>二级活性炭吸附</w:t>
                  </w:r>
                  <w:r>
                    <w:rPr>
                      <w:rFonts w:hint="eastAsia"/>
                      <w:color w:val="auto"/>
                      <w:szCs w:val="21"/>
                      <w:highlight w:val="none"/>
                      <w:shd w:val="clear" w:color="auto" w:fill="FFFFFF"/>
                    </w:rPr>
                    <w:t>装置处理后通过15m高</w:t>
                  </w:r>
                  <w:r>
                    <w:rPr>
                      <w:rFonts w:hint="eastAsia"/>
                      <w:color w:val="auto"/>
                      <w:szCs w:val="21"/>
                      <w:highlight w:val="none"/>
                      <w:shd w:val="clear" w:color="auto" w:fill="FFFFFF"/>
                      <w:lang w:val="en-US" w:eastAsia="zh-CN"/>
                    </w:rPr>
                    <w:t>DA006</w:t>
                  </w:r>
                  <w:r>
                    <w:rPr>
                      <w:rFonts w:hint="eastAsia"/>
                      <w:color w:val="auto"/>
                      <w:szCs w:val="21"/>
                      <w:highlight w:val="none"/>
                      <w:shd w:val="clear" w:color="auto" w:fill="FFFFFF"/>
                    </w:rPr>
                    <w:t>排气筒排放处理</w:t>
                  </w:r>
                  <w:r>
                    <w:rPr>
                      <w:rFonts w:hint="eastAsia"/>
                      <w:color w:val="auto"/>
                      <w:szCs w:val="21"/>
                      <w:highlight w:val="none"/>
                    </w:rPr>
                    <w:t>，其处理效率可以稳定达到90%</w:t>
                  </w:r>
                </w:p>
              </w:tc>
              <w:tc>
                <w:tcPr>
                  <w:tcW w:w="736" w:type="dxa"/>
                  <w:vAlign w:val="center"/>
                </w:tcPr>
                <w:p w14:paraId="0ADEAECB">
                  <w:pPr>
                    <w:spacing w:line="280" w:lineRule="exact"/>
                    <w:jc w:val="center"/>
                    <w:rPr>
                      <w:color w:val="auto"/>
                      <w:szCs w:val="21"/>
                      <w:highlight w:val="none"/>
                    </w:rPr>
                  </w:pPr>
                  <w:r>
                    <w:rPr>
                      <w:color w:val="auto"/>
                      <w:szCs w:val="21"/>
                      <w:highlight w:val="none"/>
                    </w:rPr>
                    <w:t>相符</w:t>
                  </w:r>
                </w:p>
              </w:tc>
            </w:tr>
            <w:tr w14:paraId="023CC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250" w:type="dxa"/>
                  <w:vAlign w:val="center"/>
                </w:tcPr>
                <w:p w14:paraId="5459DED6">
                  <w:pPr>
                    <w:rPr>
                      <w:color w:val="auto"/>
                      <w:szCs w:val="21"/>
                      <w:highlight w:val="none"/>
                    </w:rPr>
                  </w:pPr>
                  <w:r>
                    <w:rPr>
                      <w:color w:val="auto"/>
                      <w:szCs w:val="21"/>
                      <w:highlight w:val="none"/>
                    </w:rPr>
                    <w:t>排气筒高度不低于15m，具体高度以及与周围建筑的相对高度关系应根据环境影响评价文件确定。</w:t>
                  </w:r>
                </w:p>
              </w:tc>
              <w:tc>
                <w:tcPr>
                  <w:tcW w:w="3459" w:type="dxa"/>
                  <w:vAlign w:val="center"/>
                </w:tcPr>
                <w:p w14:paraId="75EDC2AD">
                  <w:pPr>
                    <w:spacing w:line="280" w:lineRule="exact"/>
                    <w:rPr>
                      <w:rFonts w:ascii="宋体" w:hAnsi="宋体" w:cs="宋体"/>
                      <w:color w:val="auto"/>
                      <w:szCs w:val="21"/>
                      <w:highlight w:val="none"/>
                    </w:rPr>
                  </w:pPr>
                  <w:r>
                    <w:rPr>
                      <w:rFonts w:hint="eastAsia"/>
                      <w:color w:val="auto"/>
                      <w:szCs w:val="21"/>
                      <w:highlight w:val="none"/>
                    </w:rPr>
                    <w:t>本项目</w:t>
                  </w:r>
                  <w:r>
                    <w:rPr>
                      <w:color w:val="auto"/>
                      <w:szCs w:val="21"/>
                      <w:highlight w:val="none"/>
                    </w:rPr>
                    <w:t>排放VOCs废气的排气筒高度为</w:t>
                  </w:r>
                  <w:r>
                    <w:rPr>
                      <w:rFonts w:hint="eastAsia"/>
                      <w:color w:val="auto"/>
                      <w:szCs w:val="21"/>
                      <w:highlight w:val="none"/>
                      <w:lang w:val="en-US" w:eastAsia="zh-CN"/>
                    </w:rPr>
                    <w:t>15</w:t>
                  </w:r>
                  <w:r>
                    <w:rPr>
                      <w:color w:val="auto"/>
                      <w:szCs w:val="21"/>
                      <w:highlight w:val="none"/>
                    </w:rPr>
                    <w:t>米</w:t>
                  </w:r>
                </w:p>
              </w:tc>
              <w:tc>
                <w:tcPr>
                  <w:tcW w:w="736" w:type="dxa"/>
                  <w:vAlign w:val="center"/>
                </w:tcPr>
                <w:p w14:paraId="6D45D924">
                  <w:pPr>
                    <w:spacing w:line="280" w:lineRule="exact"/>
                    <w:jc w:val="center"/>
                    <w:rPr>
                      <w:color w:val="auto"/>
                      <w:szCs w:val="21"/>
                      <w:highlight w:val="none"/>
                    </w:rPr>
                  </w:pPr>
                  <w:r>
                    <w:rPr>
                      <w:color w:val="auto"/>
                      <w:szCs w:val="21"/>
                      <w:highlight w:val="none"/>
                    </w:rPr>
                    <w:t>相符</w:t>
                  </w:r>
                </w:p>
              </w:tc>
            </w:tr>
            <w:tr w14:paraId="6805E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250" w:type="dxa"/>
                  <w:vAlign w:val="center"/>
                </w:tcPr>
                <w:p w14:paraId="0AE77E8B">
                  <w:pPr>
                    <w:rPr>
                      <w:color w:val="auto"/>
                      <w:szCs w:val="21"/>
                      <w:highlight w:val="none"/>
                    </w:rPr>
                  </w:pPr>
                  <w:r>
                    <w:rPr>
                      <w:color w:val="auto"/>
                      <w:szCs w:val="21"/>
                      <w:highlight w:val="none"/>
                    </w:rPr>
                    <w:t>记录要求：企业应建立台账，记录废气收集系统、VOCs处理设施的主要运行和维护信息，如运行时 间、废气处理量、操作温度、停留时间、吸附剂再生/更换周期和更换量、催化剂更换周期和更换量、吸收液pH值等关键运行参数。台账保存期不少于3年。</w:t>
                  </w:r>
                </w:p>
              </w:tc>
              <w:tc>
                <w:tcPr>
                  <w:tcW w:w="3459" w:type="dxa"/>
                  <w:vAlign w:val="center"/>
                </w:tcPr>
                <w:p w14:paraId="20DB9551">
                  <w:pPr>
                    <w:spacing w:line="280" w:lineRule="exact"/>
                    <w:rPr>
                      <w:rFonts w:ascii="宋体" w:hAnsi="宋体" w:cs="宋体"/>
                      <w:color w:val="auto"/>
                      <w:szCs w:val="21"/>
                      <w:highlight w:val="none"/>
                    </w:rPr>
                  </w:pPr>
                  <w:r>
                    <w:rPr>
                      <w:color w:val="auto"/>
                      <w:szCs w:val="21"/>
                      <w:highlight w:val="none"/>
                    </w:rPr>
                    <w:t>本次环评要求企业按要求对废气收集系统、VOCs处理设施的主要运行和维护信息进行记录</w:t>
                  </w:r>
                  <w:r>
                    <w:rPr>
                      <w:rFonts w:hint="eastAsia"/>
                      <w:color w:val="auto"/>
                      <w:szCs w:val="21"/>
                      <w:highlight w:val="none"/>
                      <w:lang w:eastAsia="zh-CN"/>
                    </w:rPr>
                    <w:t>，</w:t>
                  </w:r>
                  <w:r>
                    <w:rPr>
                      <w:color w:val="auto"/>
                      <w:szCs w:val="21"/>
                      <w:highlight w:val="none"/>
                    </w:rPr>
                    <w:t>台账保存期不少于3年</w:t>
                  </w:r>
                </w:p>
              </w:tc>
              <w:tc>
                <w:tcPr>
                  <w:tcW w:w="736" w:type="dxa"/>
                  <w:vAlign w:val="center"/>
                </w:tcPr>
                <w:p w14:paraId="05B5CA46">
                  <w:pPr>
                    <w:spacing w:line="280" w:lineRule="exact"/>
                    <w:jc w:val="center"/>
                    <w:rPr>
                      <w:color w:val="auto"/>
                      <w:szCs w:val="21"/>
                      <w:highlight w:val="none"/>
                    </w:rPr>
                  </w:pPr>
                  <w:r>
                    <w:rPr>
                      <w:color w:val="auto"/>
                      <w:szCs w:val="21"/>
                      <w:highlight w:val="none"/>
                    </w:rPr>
                    <w:t>相符</w:t>
                  </w:r>
                </w:p>
              </w:tc>
            </w:tr>
            <w:tr w14:paraId="469FB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45" w:type="dxa"/>
                  <w:gridSpan w:val="3"/>
                  <w:vAlign w:val="center"/>
                </w:tcPr>
                <w:p w14:paraId="0B01B514">
                  <w:pPr>
                    <w:spacing w:line="280" w:lineRule="exact"/>
                    <w:jc w:val="center"/>
                    <w:rPr>
                      <w:color w:val="auto"/>
                      <w:szCs w:val="21"/>
                      <w:highlight w:val="none"/>
                    </w:rPr>
                  </w:pPr>
                  <w:r>
                    <w:rPr>
                      <w:b/>
                      <w:bCs/>
                      <w:color w:val="auto"/>
                      <w:szCs w:val="21"/>
                      <w:highlight w:val="none"/>
                    </w:rPr>
                    <w:t>《挥发性有机物无组织排放控制标准》（GB37822-2019）的通知（宿污防指办[2019]55号）</w:t>
                  </w:r>
                </w:p>
              </w:tc>
            </w:tr>
            <w:tr w14:paraId="7A2CC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250" w:type="dxa"/>
                  <w:vAlign w:val="center"/>
                </w:tcPr>
                <w:p w14:paraId="076D636C">
                  <w:pPr>
                    <w:spacing w:line="280" w:lineRule="exact"/>
                    <w:jc w:val="center"/>
                    <w:rPr>
                      <w:b/>
                      <w:bCs/>
                      <w:color w:val="auto"/>
                      <w:szCs w:val="21"/>
                      <w:highlight w:val="none"/>
                    </w:rPr>
                  </w:pPr>
                  <w:r>
                    <w:rPr>
                      <w:color w:val="auto"/>
                      <w:szCs w:val="21"/>
                      <w:highlight w:val="none"/>
                    </w:rPr>
                    <w:t>收集的废气中非甲烷总烃（NMHC）初始排放速率≥2kg/h的各相关企业，按照“分类收集、集中处理” 的原则，强化VOCs无组织废气收集处理，配套VOCs高效治理设施，原则上应采用催化燃烧（RCO）、蓄热式热氧化炉（RTO）等处理技术。其中，高浓度有机废气（VOCs初始浓度≥5000ppm）的废气应优先进行溶剂回收，低浓度有机废气（VOCs初始浓度≤1000ppm），宜采用减风增浓技术提高 VOCs浓度后在处理。</w:t>
                  </w:r>
                </w:p>
              </w:tc>
              <w:tc>
                <w:tcPr>
                  <w:tcW w:w="3459" w:type="dxa"/>
                  <w:vAlign w:val="center"/>
                </w:tcPr>
                <w:p w14:paraId="4EC19582">
                  <w:pPr>
                    <w:spacing w:line="280" w:lineRule="exact"/>
                    <w:jc w:val="center"/>
                    <w:rPr>
                      <w:b/>
                      <w:bCs/>
                      <w:color w:val="auto"/>
                      <w:szCs w:val="21"/>
                      <w:highlight w:val="none"/>
                    </w:rPr>
                  </w:pPr>
                  <w:r>
                    <w:rPr>
                      <w:rFonts w:hint="eastAsia" w:ascii="宋体" w:hAnsi="宋体" w:cs="宋体"/>
                      <w:color w:val="auto"/>
                      <w:szCs w:val="21"/>
                      <w:highlight w:val="none"/>
                    </w:rPr>
                    <w:t>本项目</w:t>
                  </w:r>
                  <w:r>
                    <w:rPr>
                      <w:color w:val="auto"/>
                      <w:szCs w:val="21"/>
                      <w:highlight w:val="none"/>
                    </w:rPr>
                    <w:t>VOCs</w:t>
                  </w:r>
                  <w:r>
                    <w:rPr>
                      <w:rFonts w:hint="eastAsia"/>
                      <w:color w:val="auto"/>
                      <w:szCs w:val="21"/>
                      <w:highlight w:val="none"/>
                    </w:rPr>
                    <w:t>的初始排放速率小于</w:t>
                  </w:r>
                  <w:r>
                    <w:rPr>
                      <w:color w:val="auto"/>
                      <w:szCs w:val="21"/>
                      <w:highlight w:val="none"/>
                    </w:rPr>
                    <w:t>2kg/h</w:t>
                  </w:r>
                  <w:r>
                    <w:rPr>
                      <w:rFonts w:hint="eastAsia"/>
                      <w:color w:val="auto"/>
                      <w:szCs w:val="21"/>
                      <w:highlight w:val="none"/>
                    </w:rPr>
                    <w:t>，</w:t>
                  </w:r>
                  <w:r>
                    <w:rPr>
                      <w:color w:val="auto"/>
                      <w:szCs w:val="21"/>
                      <w:highlight w:val="none"/>
                    </w:rPr>
                    <w:t>采用</w:t>
                  </w:r>
                  <w:r>
                    <w:rPr>
                      <w:rFonts w:hint="eastAsia"/>
                      <w:color w:val="auto"/>
                      <w:szCs w:val="21"/>
                      <w:highlight w:val="none"/>
                    </w:rPr>
                    <w:t>二级活性炭吸附</w:t>
                  </w:r>
                  <w:r>
                    <w:rPr>
                      <w:rFonts w:hint="eastAsia"/>
                      <w:color w:val="auto"/>
                      <w:szCs w:val="21"/>
                      <w:highlight w:val="none"/>
                      <w:shd w:val="clear" w:color="auto" w:fill="FFFFFF"/>
                    </w:rPr>
                    <w:t>装置处理</w:t>
                  </w:r>
                </w:p>
              </w:tc>
              <w:tc>
                <w:tcPr>
                  <w:tcW w:w="736" w:type="dxa"/>
                  <w:vAlign w:val="center"/>
                </w:tcPr>
                <w:p w14:paraId="07C14351">
                  <w:pPr>
                    <w:spacing w:line="280" w:lineRule="exact"/>
                    <w:jc w:val="center"/>
                    <w:rPr>
                      <w:b/>
                      <w:bCs/>
                      <w:color w:val="auto"/>
                      <w:szCs w:val="21"/>
                      <w:highlight w:val="none"/>
                    </w:rPr>
                  </w:pPr>
                  <w:r>
                    <w:rPr>
                      <w:rFonts w:hint="eastAsia"/>
                      <w:color w:val="auto"/>
                      <w:szCs w:val="21"/>
                      <w:highlight w:val="none"/>
                    </w:rPr>
                    <w:t>相符</w:t>
                  </w:r>
                </w:p>
              </w:tc>
            </w:tr>
          </w:tbl>
          <w:p w14:paraId="7641C2F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22" w:firstLineChars="200"/>
              <w:textAlignment w:val="auto"/>
              <w:rPr>
                <w:rFonts w:ascii="Times New Roman" w:hAnsi="Times New Roman" w:eastAsia="宋体" w:cs="Times New Roman"/>
                <w:color w:val="auto"/>
                <w:highlight w:val="none"/>
              </w:rPr>
            </w:pPr>
            <w:r>
              <w:rPr>
                <w:rFonts w:hint="eastAsia" w:cs="Times New Roman"/>
                <w:b/>
                <w:bCs/>
                <w:color w:val="auto"/>
                <w:highlight w:val="none"/>
                <w:lang w:val="en-US" w:eastAsia="zh-CN"/>
              </w:rPr>
              <w:t>7</w:t>
            </w:r>
            <w:r>
              <w:rPr>
                <w:rFonts w:hint="eastAsia" w:ascii="Times New Roman" w:hAnsi="Times New Roman" w:eastAsia="宋体" w:cs="Times New Roman"/>
                <w:b/>
                <w:bCs/>
                <w:color w:val="auto"/>
                <w:highlight w:val="none"/>
                <w:lang w:val="en-US" w:eastAsia="zh-CN"/>
              </w:rPr>
              <w:t>、</w:t>
            </w:r>
            <w:r>
              <w:rPr>
                <w:rFonts w:hint="eastAsia" w:ascii="Times New Roman" w:hAnsi="Times New Roman" w:eastAsia="宋体" w:cs="Times New Roman"/>
                <w:b/>
                <w:bCs/>
                <w:color w:val="auto"/>
                <w:highlight w:val="none"/>
              </w:rPr>
              <w:t>与《关于关于深入开展涉VOCs治理重点工作核查的通知》（苏环办〔2022〕21</w:t>
            </w:r>
            <w:r>
              <w:rPr>
                <w:rFonts w:hint="eastAsia" w:ascii="Times New Roman" w:hAnsi="Times New Roman" w:eastAsia="宋体" w:cs="Times New Roman"/>
                <w:b/>
                <w:bCs/>
                <w:color w:val="auto"/>
                <w:highlight w:val="none"/>
                <w:lang w:eastAsia="zh-CN"/>
              </w:rPr>
              <w:t>8</w:t>
            </w:r>
            <w:r>
              <w:rPr>
                <w:rFonts w:hint="eastAsia" w:ascii="Times New Roman" w:hAnsi="Times New Roman" w:eastAsia="宋体" w:cs="Times New Roman"/>
                <w:b/>
                <w:bCs/>
                <w:color w:val="auto"/>
                <w:highlight w:val="none"/>
              </w:rPr>
              <w:t>）相符性分析</w:t>
            </w:r>
          </w:p>
          <w:p w14:paraId="319766C4">
            <w:pPr>
              <w:keepNext w:val="0"/>
              <w:keepLines w:val="0"/>
              <w:pageBreakBefore w:val="0"/>
              <w:widowControl/>
              <w:suppressLineNumbers w:val="0"/>
              <w:kinsoku/>
              <w:wordWrap/>
              <w:overflowPunct/>
              <w:topLinePunct w:val="0"/>
              <w:autoSpaceDE/>
              <w:autoSpaceDN/>
              <w:bidi w:val="0"/>
              <w:adjustRightInd/>
              <w:snapToGrid w:val="0"/>
              <w:spacing w:before="157" w:beforeLines="50" w:beforeAutospacing="0" w:after="0" w:afterAutospacing="0" w:line="240" w:lineRule="auto"/>
              <w:ind w:left="0" w:right="113" w:firstLine="0" w:firstLineChars="0"/>
              <w:jc w:val="center"/>
              <w:textAlignment w:val="auto"/>
              <w:rPr>
                <w:rFonts w:ascii="Times New Roman" w:hAnsi="Times New Roman" w:eastAsia="宋体" w:cs="Times New Roman"/>
                <w:b/>
                <w:bCs/>
                <w:color w:val="auto"/>
                <w:kern w:val="0"/>
                <w:sz w:val="21"/>
                <w:szCs w:val="21"/>
                <w:highlight w:val="none"/>
                <w:lang w:val="en-US" w:eastAsia="zh-CN" w:bidi="ar-SA"/>
              </w:rPr>
            </w:pPr>
            <w:r>
              <w:rPr>
                <w:rFonts w:ascii="Times New Roman" w:hAnsi="Times New Roman" w:eastAsia="宋体" w:cs="Times New Roman"/>
                <w:b/>
                <w:bCs/>
                <w:color w:val="auto"/>
                <w:kern w:val="0"/>
                <w:sz w:val="21"/>
                <w:szCs w:val="21"/>
                <w:highlight w:val="none"/>
                <w:lang w:val="en-US" w:eastAsia="zh-CN" w:bidi="ar-SA"/>
              </w:rPr>
              <w:t>表1-</w:t>
            </w:r>
            <w:r>
              <w:rPr>
                <w:rFonts w:hint="eastAsia" w:cs="Times New Roman"/>
                <w:b/>
                <w:bCs/>
                <w:color w:val="auto"/>
                <w:kern w:val="0"/>
                <w:sz w:val="21"/>
                <w:szCs w:val="21"/>
                <w:highlight w:val="none"/>
                <w:lang w:val="en-US" w:eastAsia="zh-CN" w:bidi="ar-SA"/>
              </w:rPr>
              <w:t>7</w:t>
            </w:r>
            <w:r>
              <w:rPr>
                <w:rFonts w:hint="eastAsia" w:ascii="Times New Roman" w:hAnsi="Times New Roman" w:eastAsia="宋体" w:cs="Times New Roman"/>
                <w:b/>
                <w:bCs/>
                <w:color w:val="auto"/>
                <w:kern w:val="0"/>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4"/>
                <w:highlight w:val="none"/>
                <w:lang w:val="en-US" w:eastAsia="zh-CN" w:bidi="ar-SA"/>
              </w:rPr>
              <w:t>与《关于关于深入开展涉VOCs治理重点工作核查的通知》相符</w:t>
            </w:r>
            <w:r>
              <w:rPr>
                <w:rFonts w:ascii="Times New Roman" w:hAnsi="Times New Roman" w:eastAsia="宋体" w:cs="Times New Roman"/>
                <w:b/>
                <w:bCs/>
                <w:color w:val="auto"/>
                <w:kern w:val="0"/>
                <w:sz w:val="21"/>
                <w:szCs w:val="21"/>
                <w:highlight w:val="none"/>
                <w:lang w:val="en-US" w:eastAsia="zh-CN" w:bidi="ar-SA"/>
              </w:rPr>
              <w:t>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95"/>
              <w:gridCol w:w="2053"/>
              <w:gridCol w:w="657"/>
            </w:tblGrid>
            <w:tr w14:paraId="4CD73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92" w:type="dxa"/>
                  <w:tcBorders>
                    <w:tl2br w:val="nil"/>
                    <w:tr2bl w:val="nil"/>
                  </w:tcBorders>
                  <w:noWrap w:val="0"/>
                  <w:vAlign w:val="center"/>
                </w:tcPr>
                <w:p w14:paraId="7C5904D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Cs w:val="21"/>
                      <w:highlight w:val="none"/>
                      <w:vertAlign w:val="baseline"/>
                      <w:lang w:val="en-US" w:eastAsia="zh-CN"/>
                    </w:rPr>
                  </w:pPr>
                  <w:r>
                    <w:rPr>
                      <w:rFonts w:hint="eastAsia" w:ascii="宋体" w:hAnsi="宋体" w:eastAsia="宋体" w:cs="宋体"/>
                      <w:b w:val="0"/>
                      <w:bCs w:val="0"/>
                      <w:color w:val="auto"/>
                      <w:kern w:val="0"/>
                      <w:szCs w:val="21"/>
                      <w:highlight w:val="none"/>
                      <w:vertAlign w:val="baseline"/>
                      <w:lang w:val="en-US" w:eastAsia="zh-CN"/>
                    </w:rPr>
                    <w:t>文件要求</w:t>
                  </w:r>
                </w:p>
              </w:tc>
              <w:tc>
                <w:tcPr>
                  <w:tcW w:w="2132" w:type="dxa"/>
                  <w:tcBorders>
                    <w:tl2br w:val="nil"/>
                    <w:tr2bl w:val="nil"/>
                  </w:tcBorders>
                  <w:noWrap w:val="0"/>
                  <w:vAlign w:val="center"/>
                </w:tcPr>
                <w:p w14:paraId="1874C80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宋体" w:hAnsi="宋体" w:eastAsia="宋体" w:cs="宋体"/>
                      <w:b w:val="0"/>
                      <w:bCs w:val="0"/>
                      <w:color w:val="auto"/>
                      <w:kern w:val="0"/>
                      <w:szCs w:val="21"/>
                      <w:highlight w:val="none"/>
                      <w:vertAlign w:val="baseline"/>
                      <w:lang w:val="en-US" w:eastAsia="zh-CN"/>
                    </w:rPr>
                  </w:pPr>
                  <w:r>
                    <w:rPr>
                      <w:rFonts w:hint="eastAsia" w:ascii="宋体" w:hAnsi="宋体" w:eastAsia="宋体" w:cs="宋体"/>
                      <w:b w:val="0"/>
                      <w:bCs w:val="0"/>
                      <w:color w:val="auto"/>
                      <w:kern w:val="0"/>
                      <w:szCs w:val="21"/>
                      <w:highlight w:val="none"/>
                      <w:vertAlign w:val="baseline"/>
                      <w:lang w:val="en-US" w:eastAsia="zh-CN"/>
                    </w:rPr>
                    <w:t>本项目情况</w:t>
                  </w:r>
                </w:p>
              </w:tc>
              <w:tc>
                <w:tcPr>
                  <w:tcW w:w="681" w:type="dxa"/>
                  <w:tcBorders>
                    <w:tl2br w:val="nil"/>
                    <w:tr2bl w:val="nil"/>
                  </w:tcBorders>
                  <w:noWrap w:val="0"/>
                  <w:vAlign w:val="center"/>
                </w:tcPr>
                <w:p w14:paraId="119711C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Cs w:val="21"/>
                      <w:highlight w:val="none"/>
                      <w:vertAlign w:val="baseline"/>
                      <w:lang w:val="en-US" w:eastAsia="zh-CN"/>
                    </w:rPr>
                  </w:pPr>
                  <w:r>
                    <w:rPr>
                      <w:rFonts w:hint="eastAsia" w:ascii="宋体" w:hAnsi="宋体" w:eastAsia="宋体" w:cs="宋体"/>
                      <w:b w:val="0"/>
                      <w:bCs w:val="0"/>
                      <w:color w:val="auto"/>
                      <w:kern w:val="0"/>
                      <w:szCs w:val="21"/>
                      <w:highlight w:val="none"/>
                      <w:vertAlign w:val="baseline"/>
                      <w:lang w:val="en-US" w:eastAsia="zh-CN"/>
                    </w:rPr>
                    <w:t>相符性</w:t>
                  </w:r>
                </w:p>
              </w:tc>
            </w:tr>
            <w:tr w14:paraId="66C15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92" w:type="dxa"/>
                  <w:tcBorders>
                    <w:tl2br w:val="nil"/>
                    <w:tr2bl w:val="nil"/>
                  </w:tcBorders>
                  <w:noWrap w:val="0"/>
                  <w:vAlign w:val="center"/>
                </w:tcPr>
                <w:p w14:paraId="1E301FCD">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b w:val="0"/>
                      <w:bCs w:val="0"/>
                      <w:color w:val="auto"/>
                      <w:kern w:val="0"/>
                      <w:szCs w:val="21"/>
                      <w:highlight w:val="none"/>
                      <w:vertAlign w:val="baseline"/>
                    </w:rPr>
                  </w:pPr>
                  <w:r>
                    <w:rPr>
                      <w:rFonts w:hint="default" w:ascii="Times New Roman" w:hAnsi="Times New Roman" w:eastAsia="宋体" w:cs="Times New Roman"/>
                      <w:color w:val="auto"/>
                      <w:kern w:val="0"/>
                      <w:szCs w:val="21"/>
                      <w:highlight w:val="none"/>
                      <w:lang w:val="en-US" w:eastAsia="zh-CN"/>
                    </w:rPr>
                    <w:t>1、</w:t>
                  </w:r>
                  <w:r>
                    <w:rPr>
                      <w:rFonts w:hint="default" w:ascii="Times New Roman" w:hAnsi="Times New Roman" w:eastAsia="宋体" w:cs="Times New Roman"/>
                      <w:color w:val="auto"/>
                      <w:kern w:val="0"/>
                      <w:szCs w:val="21"/>
                      <w:highlight w:val="none"/>
                    </w:rPr>
                    <w:t>设计风量、设备质量、气体流速、活性炭质量及填充量等六个方面进行现场核查。对于其中有一项或多项指标不达标的</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要求企业按照相关标准规范逐项整改</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并给出整改期限。有条件的城市可以对第三方治理单位开展评估</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对问题企业予以曝光；对发现涉及活性炭产品质量问题线索</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及时移交同级市场监管部门。</w:t>
                  </w:r>
                </w:p>
              </w:tc>
              <w:tc>
                <w:tcPr>
                  <w:tcW w:w="2132" w:type="dxa"/>
                  <w:tcBorders>
                    <w:tl2br w:val="nil"/>
                    <w:tr2bl w:val="nil"/>
                  </w:tcBorders>
                  <w:noWrap w:val="0"/>
                  <w:vAlign w:val="center"/>
                </w:tcPr>
                <w:p w14:paraId="3242CDE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Cs w:val="21"/>
                      <w:highlight w:val="none"/>
                      <w:vertAlign w:val="baseline"/>
                    </w:rPr>
                  </w:pPr>
                  <w:r>
                    <w:rPr>
                      <w:rFonts w:hint="eastAsia" w:ascii="宋体" w:hAnsi="宋体" w:eastAsia="宋体" w:cs="宋体"/>
                      <w:b w:val="0"/>
                      <w:bCs w:val="0"/>
                      <w:color w:val="auto"/>
                      <w:kern w:val="0"/>
                      <w:szCs w:val="21"/>
                      <w:highlight w:val="none"/>
                      <w:vertAlign w:val="baseline"/>
                    </w:rPr>
                    <w:t>本项目严格服从设计风量、设备质量、气体流速、活性炭质量及填充量等六个方面的问题</w:t>
                  </w:r>
                </w:p>
              </w:tc>
              <w:tc>
                <w:tcPr>
                  <w:tcW w:w="681" w:type="dxa"/>
                  <w:tcBorders>
                    <w:tl2br w:val="nil"/>
                    <w:tr2bl w:val="nil"/>
                  </w:tcBorders>
                  <w:noWrap w:val="0"/>
                  <w:vAlign w:val="center"/>
                </w:tcPr>
                <w:p w14:paraId="32ED490B">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Cs w:val="21"/>
                      <w:highlight w:val="none"/>
                      <w:vertAlign w:val="baseline"/>
                      <w:lang w:val="en-US" w:eastAsia="zh-CN"/>
                    </w:rPr>
                  </w:pPr>
                  <w:r>
                    <w:rPr>
                      <w:rFonts w:hint="eastAsia" w:ascii="宋体" w:hAnsi="宋体" w:eastAsia="宋体" w:cs="宋体"/>
                      <w:b w:val="0"/>
                      <w:bCs w:val="0"/>
                      <w:color w:val="auto"/>
                      <w:kern w:val="0"/>
                      <w:szCs w:val="21"/>
                      <w:highlight w:val="none"/>
                      <w:vertAlign w:val="baseline"/>
                      <w:lang w:val="en-US" w:eastAsia="zh-CN"/>
                    </w:rPr>
                    <w:t>相符</w:t>
                  </w:r>
                </w:p>
              </w:tc>
            </w:tr>
            <w:tr w14:paraId="29C13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92" w:type="dxa"/>
                  <w:tcBorders>
                    <w:tl2br w:val="nil"/>
                    <w:tr2bl w:val="nil"/>
                  </w:tcBorders>
                  <w:noWrap w:val="0"/>
                  <w:vAlign w:val="center"/>
                </w:tcPr>
                <w:p w14:paraId="2698A7BF">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b w:val="0"/>
                      <w:bCs w:val="0"/>
                      <w:color w:val="auto"/>
                      <w:kern w:val="0"/>
                      <w:szCs w:val="21"/>
                      <w:highlight w:val="none"/>
                      <w:vertAlign w:val="baseline"/>
                    </w:rPr>
                  </w:pPr>
                  <w:r>
                    <w:rPr>
                      <w:rFonts w:hint="eastAsia" w:ascii="Times New Roman" w:hAnsi="Times New Roman" w:eastAsia="宋体" w:cs="Times New Roman"/>
                      <w:color w:val="auto"/>
                      <w:kern w:val="0"/>
                      <w:szCs w:val="21"/>
                      <w:highlight w:val="none"/>
                      <w:lang w:val="en-US" w:eastAsia="zh-CN"/>
                    </w:rPr>
                    <w:t>2、</w:t>
                  </w:r>
                  <w:r>
                    <w:rPr>
                      <w:rFonts w:hint="default" w:ascii="Times New Roman" w:hAnsi="Times New Roman" w:eastAsia="宋体" w:cs="Times New Roman"/>
                      <w:color w:val="auto"/>
                      <w:kern w:val="0"/>
                      <w:szCs w:val="21"/>
                      <w:highlight w:val="none"/>
                    </w:rPr>
                    <w:t>活性炭吸附处理装置应先于产生废气的生产工艺设备开启、晚于生产工艺设备停机</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鼓励有条件的实现与生产装置的连锁控制。所有活性炭吸附装置应设置铭牌并张贴在装置醒目位置</w:t>
                  </w:r>
                  <w:r>
                    <w:rPr>
                      <w:rFonts w:hint="eastAsia" w:ascii="宋体" w:hAnsi="宋体" w:eastAsia="宋体" w:cs="宋体"/>
                      <w:color w:val="auto"/>
                      <w:kern w:val="0"/>
                      <w:szCs w:val="21"/>
                      <w:highlight w:val="none"/>
                    </w:rPr>
                    <w:t>(可参照排污口设置规范)</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包含环保产品名称、型号、风量、活性炭名称、装填量、装填方式、活性炭碘值、比表面积等内容。企业应做好活性炭吸附日常运行维护台账记录</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主要包括设备运行启停时间、设备运行参数、耗材消耗</w:t>
                  </w:r>
                  <w:r>
                    <w:rPr>
                      <w:rFonts w:hint="eastAsia" w:ascii="宋体" w:hAnsi="宋体" w:eastAsia="宋体" w:cs="宋体"/>
                      <w:color w:val="auto"/>
                      <w:kern w:val="0"/>
                      <w:szCs w:val="21"/>
                      <w:highlight w:val="none"/>
                    </w:rPr>
                    <w:t>(采购量、使用量、装填量、更换量和更换时间、处置记录等)</w:t>
                  </w:r>
                  <w:r>
                    <w:rPr>
                      <w:rFonts w:hint="default" w:ascii="Times New Roman" w:hAnsi="Times New Roman" w:eastAsia="宋体" w:cs="Times New Roman"/>
                      <w:color w:val="auto"/>
                      <w:kern w:val="0"/>
                      <w:szCs w:val="21"/>
                      <w:highlight w:val="none"/>
                    </w:rPr>
                    <w:t>及能源消耗</w:t>
                  </w:r>
                  <w:r>
                    <w:rPr>
                      <w:rFonts w:hint="eastAsia" w:ascii="宋体" w:hAnsi="宋体" w:eastAsia="宋体" w:cs="宋体"/>
                      <w:color w:val="auto"/>
                      <w:kern w:val="0"/>
                      <w:szCs w:val="21"/>
                      <w:highlight w:val="none"/>
                    </w:rPr>
                    <w:t>(电耗)</w:t>
                  </w:r>
                  <w:r>
                    <w:rPr>
                      <w:rFonts w:hint="default" w:ascii="Times New Roman" w:hAnsi="Times New Roman" w:eastAsia="宋体" w:cs="Times New Roman"/>
                      <w:color w:val="auto"/>
                      <w:kern w:val="0"/>
                      <w:szCs w:val="21"/>
                      <w:highlight w:val="none"/>
                    </w:rPr>
                    <w:t>等</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台账记录保存期限不得少于</w:t>
                  </w:r>
                  <w:r>
                    <w:rPr>
                      <w:rFonts w:hint="default" w:ascii="Times New Roman" w:hAnsi="Times New Roman" w:eastAsia="宋体" w:cs="Times New Roman"/>
                      <w:color w:val="auto"/>
                      <w:kern w:val="0"/>
                      <w:szCs w:val="21"/>
                      <w:highlight w:val="none"/>
                      <w:lang w:eastAsia="zh-CN"/>
                    </w:rPr>
                    <w:t>5</w:t>
                  </w:r>
                  <w:r>
                    <w:rPr>
                      <w:rFonts w:hint="default" w:ascii="Times New Roman" w:hAnsi="Times New Roman" w:eastAsia="宋体" w:cs="Times New Roman"/>
                      <w:color w:val="auto"/>
                      <w:kern w:val="0"/>
                      <w:szCs w:val="21"/>
                      <w:highlight w:val="none"/>
                    </w:rPr>
                    <w:t>年。</w:t>
                  </w:r>
                </w:p>
              </w:tc>
              <w:tc>
                <w:tcPr>
                  <w:tcW w:w="2132" w:type="dxa"/>
                  <w:tcBorders>
                    <w:tl2br w:val="nil"/>
                    <w:tr2bl w:val="nil"/>
                  </w:tcBorders>
                  <w:noWrap w:val="0"/>
                  <w:vAlign w:val="center"/>
                </w:tcPr>
                <w:p w14:paraId="07A425D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Cs w:val="21"/>
                      <w:highlight w:val="none"/>
                      <w:vertAlign w:val="baseline"/>
                    </w:rPr>
                  </w:pPr>
                  <w:r>
                    <w:rPr>
                      <w:rFonts w:hint="eastAsia" w:ascii="宋体" w:hAnsi="宋体" w:eastAsia="宋体" w:cs="宋体"/>
                      <w:b w:val="0"/>
                      <w:bCs w:val="0"/>
                      <w:color w:val="auto"/>
                      <w:kern w:val="0"/>
                      <w:szCs w:val="21"/>
                      <w:highlight w:val="none"/>
                      <w:vertAlign w:val="baseline"/>
                    </w:rPr>
                    <w:t>本项目满足活性炭吸附处理装置先于产生废气的生产工艺设备开启、晚于生产工艺设备停机，并对所有活性炭吸附装置应设置铭牌并张贴在装置醒目位置，对于活性炭吸附日常运行维护台账做好记录</w:t>
                  </w:r>
                </w:p>
              </w:tc>
              <w:tc>
                <w:tcPr>
                  <w:tcW w:w="681" w:type="dxa"/>
                  <w:tcBorders>
                    <w:tl2br w:val="nil"/>
                    <w:tr2bl w:val="nil"/>
                  </w:tcBorders>
                  <w:noWrap w:val="0"/>
                  <w:vAlign w:val="center"/>
                </w:tcPr>
                <w:p w14:paraId="764A5C2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Cs w:val="21"/>
                      <w:highlight w:val="none"/>
                      <w:vertAlign w:val="baseline"/>
                    </w:rPr>
                  </w:pPr>
                  <w:r>
                    <w:rPr>
                      <w:rFonts w:hint="eastAsia" w:ascii="宋体" w:hAnsi="宋体" w:eastAsia="宋体" w:cs="宋体"/>
                      <w:b w:val="0"/>
                      <w:bCs w:val="0"/>
                      <w:color w:val="auto"/>
                      <w:kern w:val="0"/>
                      <w:szCs w:val="21"/>
                      <w:highlight w:val="none"/>
                      <w:vertAlign w:val="baseline"/>
                      <w:lang w:val="en-US" w:eastAsia="zh-CN"/>
                    </w:rPr>
                    <w:t>相符</w:t>
                  </w:r>
                </w:p>
              </w:tc>
            </w:tr>
            <w:tr w14:paraId="4D5C2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92" w:type="dxa"/>
                  <w:tcBorders>
                    <w:tl2br w:val="nil"/>
                    <w:tr2bl w:val="nil"/>
                  </w:tcBorders>
                  <w:noWrap w:val="0"/>
                  <w:vAlign w:val="center"/>
                </w:tcPr>
                <w:p w14:paraId="5F06057C">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eastAsia" w:ascii="宋体" w:hAnsi="宋体" w:eastAsia="宋体" w:cs="宋体"/>
                      <w:b w:val="0"/>
                      <w:bCs w:val="0"/>
                      <w:color w:val="auto"/>
                      <w:kern w:val="0"/>
                      <w:szCs w:val="21"/>
                      <w:highlight w:val="none"/>
                      <w:vertAlign w:val="baseline"/>
                    </w:rPr>
                  </w:pPr>
                  <w:r>
                    <w:rPr>
                      <w:rFonts w:hint="default" w:ascii="Times New Roman" w:hAnsi="Times New Roman" w:eastAsia="宋体" w:cs="Times New Roman"/>
                      <w:b w:val="0"/>
                      <w:bCs w:val="0"/>
                      <w:color w:val="auto"/>
                      <w:kern w:val="0"/>
                      <w:szCs w:val="21"/>
                      <w:highlight w:val="none"/>
                      <w:vertAlign w:val="baseline"/>
                      <w:lang w:val="en-US" w:eastAsia="zh-CN"/>
                    </w:rPr>
                    <w:t>3</w:t>
                  </w:r>
                  <w:r>
                    <w:rPr>
                      <w:rFonts w:hint="eastAsia" w:ascii="宋体" w:hAnsi="宋体" w:eastAsia="宋体" w:cs="宋体"/>
                      <w:b w:val="0"/>
                      <w:bCs w:val="0"/>
                      <w:color w:val="auto"/>
                      <w:kern w:val="0"/>
                      <w:szCs w:val="21"/>
                      <w:highlight w:val="none"/>
                      <w:vertAlign w:val="baseline"/>
                      <w:lang w:val="en-US" w:eastAsia="zh-CN"/>
                    </w:rPr>
                    <w:t>、</w:t>
                  </w:r>
                  <w:r>
                    <w:rPr>
                      <w:rFonts w:hint="eastAsia" w:ascii="宋体" w:hAnsi="宋体" w:eastAsia="宋体" w:cs="宋体"/>
                      <w:b w:val="0"/>
                      <w:bCs w:val="0"/>
                      <w:color w:val="auto"/>
                      <w:kern w:val="0"/>
                      <w:szCs w:val="21"/>
                      <w:highlight w:val="none"/>
                      <w:vertAlign w:val="baseline"/>
                    </w:rPr>
                    <w:t>各地要组织企业登录江苏省污染源“一企一档”管理系统(企业“环保险谱”)录入活性炭吸附设施相关信息、定期上传设施运行维护记录、签收活性炭状态预警及超期信息</w:t>
                  </w:r>
                  <w:r>
                    <w:rPr>
                      <w:rFonts w:hint="eastAsia" w:ascii="宋体" w:hAnsi="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录入时间另行通知。各级生态环境工作人员要及时在省厅云桌面电脑端(政府“环保脸谱”管理端)内查看活性炭状态预警及超期信息</w:t>
                  </w:r>
                  <w:r>
                    <w:rPr>
                      <w:rFonts w:hint="eastAsia" w:ascii="宋体" w:hAnsi="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督促企业定期、规范更换优质活性炭。一旦发现企业不及时整改,或整改后预警信息仍然存在等情况</w:t>
                  </w:r>
                  <w:r>
                    <w:rPr>
                      <w:rFonts w:hint="eastAsia" w:ascii="宋体" w:hAnsi="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应及时组织执法人员开展现场检查。</w:t>
                  </w:r>
                </w:p>
              </w:tc>
              <w:tc>
                <w:tcPr>
                  <w:tcW w:w="2132" w:type="dxa"/>
                  <w:tcBorders>
                    <w:tl2br w:val="nil"/>
                    <w:tr2bl w:val="nil"/>
                  </w:tcBorders>
                  <w:noWrap w:val="0"/>
                  <w:vAlign w:val="center"/>
                </w:tcPr>
                <w:p w14:paraId="291E8F1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Cs w:val="21"/>
                      <w:highlight w:val="none"/>
                      <w:vertAlign w:val="baseline"/>
                      <w:lang w:eastAsia="zh-CN"/>
                    </w:rPr>
                  </w:pPr>
                  <w:r>
                    <w:rPr>
                      <w:rFonts w:hint="eastAsia" w:ascii="宋体" w:hAnsi="宋体" w:eastAsia="宋体" w:cs="宋体"/>
                      <w:b w:val="0"/>
                      <w:bCs w:val="0"/>
                      <w:color w:val="auto"/>
                      <w:kern w:val="0"/>
                      <w:szCs w:val="21"/>
                      <w:highlight w:val="none"/>
                      <w:vertAlign w:val="baseline"/>
                    </w:rPr>
                    <w:t>企业将按要求在江苏省污染源“一企一档”管理系统(企业“环保</w:t>
                  </w:r>
                  <w:r>
                    <w:rPr>
                      <w:rFonts w:hint="eastAsia" w:ascii="宋体" w:hAnsi="宋体" w:cs="宋体"/>
                      <w:b w:val="0"/>
                      <w:bCs w:val="0"/>
                      <w:color w:val="auto"/>
                      <w:kern w:val="0"/>
                      <w:szCs w:val="21"/>
                      <w:highlight w:val="none"/>
                      <w:vertAlign w:val="baseline"/>
                      <w:lang w:val="en-US" w:eastAsia="zh-CN"/>
                    </w:rPr>
                    <w:t>脸</w:t>
                  </w:r>
                  <w:r>
                    <w:rPr>
                      <w:rFonts w:hint="eastAsia" w:ascii="宋体" w:hAnsi="宋体" w:eastAsia="宋体" w:cs="宋体"/>
                      <w:b w:val="0"/>
                      <w:bCs w:val="0"/>
                      <w:color w:val="auto"/>
                      <w:kern w:val="0"/>
                      <w:szCs w:val="21"/>
                      <w:highlight w:val="none"/>
                      <w:vertAlign w:val="baseline"/>
                    </w:rPr>
                    <w:t>谱”)录入活性炭吸附设施相关信息并且定期上传设施运行维护记录、签收活性炭状态预警及超期信息</w:t>
                  </w:r>
                </w:p>
              </w:tc>
              <w:tc>
                <w:tcPr>
                  <w:tcW w:w="681" w:type="dxa"/>
                  <w:tcBorders>
                    <w:tl2br w:val="nil"/>
                    <w:tr2bl w:val="nil"/>
                  </w:tcBorders>
                  <w:noWrap w:val="0"/>
                  <w:vAlign w:val="center"/>
                </w:tcPr>
                <w:p w14:paraId="483BAEF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Cs w:val="21"/>
                      <w:highlight w:val="none"/>
                      <w:vertAlign w:val="baseline"/>
                    </w:rPr>
                  </w:pPr>
                  <w:r>
                    <w:rPr>
                      <w:rFonts w:hint="eastAsia" w:ascii="宋体" w:hAnsi="宋体" w:eastAsia="宋体" w:cs="宋体"/>
                      <w:b w:val="0"/>
                      <w:bCs w:val="0"/>
                      <w:color w:val="auto"/>
                      <w:kern w:val="0"/>
                      <w:szCs w:val="21"/>
                      <w:highlight w:val="none"/>
                      <w:vertAlign w:val="baseline"/>
                      <w:lang w:val="en-US" w:eastAsia="zh-CN"/>
                    </w:rPr>
                    <w:t>相符</w:t>
                  </w:r>
                </w:p>
              </w:tc>
            </w:tr>
            <w:tr w14:paraId="18781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92" w:type="dxa"/>
                  <w:tcBorders>
                    <w:tl2br w:val="nil"/>
                    <w:tr2bl w:val="nil"/>
                  </w:tcBorders>
                  <w:noWrap w:val="0"/>
                  <w:vAlign w:val="center"/>
                </w:tcPr>
                <w:p w14:paraId="56DC5465">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eastAsia" w:ascii="宋体" w:hAnsi="宋体" w:eastAsia="宋体" w:cs="宋体"/>
                      <w:b w:val="0"/>
                      <w:bCs w:val="0"/>
                      <w:color w:val="auto"/>
                      <w:kern w:val="0"/>
                      <w:szCs w:val="21"/>
                      <w:highlight w:val="none"/>
                      <w:vertAlign w:val="baseline"/>
                    </w:rPr>
                  </w:pPr>
                  <w:r>
                    <w:rPr>
                      <w:rFonts w:hint="default" w:ascii="Times New Roman" w:hAnsi="Times New Roman" w:eastAsia="宋体" w:cs="Times New Roman"/>
                      <w:b w:val="0"/>
                      <w:bCs w:val="0"/>
                      <w:color w:val="auto"/>
                      <w:kern w:val="0"/>
                      <w:szCs w:val="21"/>
                      <w:highlight w:val="none"/>
                      <w:vertAlign w:val="baseline"/>
                      <w:lang w:val="en-US" w:eastAsia="zh-CN"/>
                    </w:rPr>
                    <w:t>4</w:t>
                  </w:r>
                  <w:r>
                    <w:rPr>
                      <w:rFonts w:hint="eastAsia" w:ascii="宋体" w:hAnsi="宋体" w:eastAsia="宋体" w:cs="宋体"/>
                      <w:b w:val="0"/>
                      <w:bCs w:val="0"/>
                      <w:color w:val="auto"/>
                      <w:kern w:val="0"/>
                      <w:szCs w:val="21"/>
                      <w:highlight w:val="none"/>
                      <w:vertAlign w:val="baseline"/>
                    </w:rPr>
                    <w:t>、各地在对活性炭吸附装置开展入户核查的同时</w:t>
                  </w:r>
                  <w:r>
                    <w:rPr>
                      <w:rFonts w:hint="eastAsia" w:ascii="宋体" w:hAnsi="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同步对辖区涉</w:t>
                  </w:r>
                  <w:r>
                    <w:rPr>
                      <w:rFonts w:hint="default" w:ascii="Times New Roman" w:hAnsi="Times New Roman" w:eastAsia="宋体" w:cs="Times New Roman"/>
                      <w:b w:val="0"/>
                      <w:bCs w:val="0"/>
                      <w:color w:val="auto"/>
                      <w:kern w:val="0"/>
                      <w:szCs w:val="21"/>
                      <w:highlight w:val="none"/>
                      <w:vertAlign w:val="baseline"/>
                      <w:lang w:val="en-US" w:eastAsia="zh-CN"/>
                    </w:rPr>
                    <w:t>V</w:t>
                  </w:r>
                  <w:r>
                    <w:rPr>
                      <w:rFonts w:hint="default" w:ascii="Times New Roman" w:hAnsi="Times New Roman" w:eastAsia="宋体" w:cs="Times New Roman"/>
                      <w:b w:val="0"/>
                      <w:bCs w:val="0"/>
                      <w:color w:val="auto"/>
                      <w:kern w:val="0"/>
                      <w:szCs w:val="21"/>
                      <w:highlight w:val="none"/>
                      <w:vertAlign w:val="baseline"/>
                    </w:rPr>
                    <w:t>OCs</w:t>
                  </w:r>
                  <w:r>
                    <w:rPr>
                      <w:rFonts w:hint="eastAsia" w:ascii="宋体" w:hAnsi="宋体" w:eastAsia="宋体" w:cs="宋体"/>
                      <w:b w:val="0"/>
                      <w:bCs w:val="0"/>
                      <w:color w:val="auto"/>
                      <w:kern w:val="0"/>
                      <w:szCs w:val="21"/>
                      <w:highlight w:val="none"/>
                      <w:vertAlign w:val="baseline"/>
                    </w:rPr>
                    <w:t>企业末端治理设施开展入户摸底排查。对未配套建设废气治理设施的企业依法责令停产</w:t>
                  </w:r>
                  <w:r>
                    <w:rPr>
                      <w:rFonts w:hint="eastAsia" w:ascii="宋体" w:hAnsi="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限期整改</w:t>
                  </w:r>
                  <w:r>
                    <w:rPr>
                      <w:rFonts w:hint="eastAsia" w:ascii="宋体" w:hAnsi="宋体" w:eastAsia="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除恶臭异味治理外</w:t>
                  </w:r>
                  <w:r>
                    <w:rPr>
                      <w:rFonts w:hint="eastAsia" w:ascii="宋体" w:hAnsi="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新建企业一律不得采用单一低温等离子、光催化、光氧化、水喷</w:t>
                  </w:r>
                  <w:r>
                    <w:rPr>
                      <w:rFonts w:hint="eastAsia" w:ascii="宋体" w:hAnsi="宋体" w:cs="宋体"/>
                      <w:b w:val="0"/>
                      <w:bCs w:val="0"/>
                      <w:color w:val="auto"/>
                      <w:kern w:val="0"/>
                      <w:szCs w:val="21"/>
                      <w:highlight w:val="none"/>
                      <w:vertAlign w:val="baseline"/>
                      <w:lang w:val="en-US" w:eastAsia="zh-CN"/>
                    </w:rPr>
                    <w:t>淋</w:t>
                  </w:r>
                  <w:r>
                    <w:rPr>
                      <w:rFonts w:hint="eastAsia" w:ascii="宋体" w:hAnsi="宋体" w:eastAsia="宋体" w:cs="宋体"/>
                      <w:b w:val="0"/>
                      <w:bCs w:val="0"/>
                      <w:color w:val="auto"/>
                      <w:kern w:val="0"/>
                      <w:szCs w:val="21"/>
                      <w:highlight w:val="none"/>
                      <w:vertAlign w:val="baseline"/>
                    </w:rPr>
                    <w:t>等低效末端治理技术</w:t>
                  </w:r>
                  <w:r>
                    <w:rPr>
                      <w:rFonts w:hint="eastAsia" w:ascii="宋体" w:hAnsi="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对于已建企业应采用组合式或其他高效治理工艺进行改造</w:t>
                  </w:r>
                  <w:r>
                    <w:rPr>
                      <w:rFonts w:hint="eastAsia" w:ascii="宋体" w:hAnsi="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各地根据实际情况确定各企业改造时间</w:t>
                  </w:r>
                  <w:r>
                    <w:rPr>
                      <w:rFonts w:hint="eastAsia" w:ascii="宋体" w:hAnsi="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rPr>
                    <w:t>最长不超过</w:t>
                  </w:r>
                  <w:r>
                    <w:rPr>
                      <w:rFonts w:hint="default" w:ascii="Times New Roman" w:hAnsi="Times New Roman" w:eastAsia="宋体" w:cs="Times New Roman"/>
                      <w:b w:val="0"/>
                      <w:bCs w:val="0"/>
                      <w:color w:val="auto"/>
                      <w:kern w:val="0"/>
                      <w:szCs w:val="21"/>
                      <w:highlight w:val="none"/>
                      <w:vertAlign w:val="baseline"/>
                      <w:lang w:val="en-US" w:eastAsia="zh-CN"/>
                    </w:rPr>
                    <w:t>3</w:t>
                  </w:r>
                  <w:r>
                    <w:rPr>
                      <w:rFonts w:hint="eastAsia" w:ascii="宋体" w:hAnsi="宋体" w:eastAsia="宋体" w:cs="宋体"/>
                      <w:b w:val="0"/>
                      <w:bCs w:val="0"/>
                      <w:color w:val="auto"/>
                      <w:kern w:val="0"/>
                      <w:szCs w:val="21"/>
                      <w:highlight w:val="none"/>
                      <w:vertAlign w:val="baseline"/>
                    </w:rPr>
                    <w:t>个月。</w:t>
                  </w:r>
                </w:p>
              </w:tc>
              <w:tc>
                <w:tcPr>
                  <w:tcW w:w="2132" w:type="dxa"/>
                  <w:tcBorders>
                    <w:tl2br w:val="nil"/>
                    <w:tr2bl w:val="nil"/>
                  </w:tcBorders>
                  <w:noWrap w:val="0"/>
                  <w:vAlign w:val="center"/>
                </w:tcPr>
                <w:p w14:paraId="52A716D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Cs w:val="21"/>
                      <w:highlight w:val="none"/>
                      <w:vertAlign w:val="baseline"/>
                    </w:rPr>
                  </w:pPr>
                  <w:r>
                    <w:rPr>
                      <w:rFonts w:hint="default" w:ascii="Times New Roman" w:hAnsi="Times New Roman" w:eastAsia="宋体" w:cs="Times New Roman"/>
                      <w:b w:val="0"/>
                      <w:bCs w:val="0"/>
                      <w:color w:val="auto"/>
                      <w:kern w:val="0"/>
                      <w:szCs w:val="21"/>
                      <w:highlight w:val="none"/>
                      <w:vertAlign w:val="baseline"/>
                    </w:rPr>
                    <w:t>本项目采用</w:t>
                  </w:r>
                  <w:r>
                    <w:rPr>
                      <w:rFonts w:hint="eastAsia" w:ascii="宋体" w:hAnsi="宋体" w:eastAsia="宋体" w:cs="宋体"/>
                      <w:b w:val="0"/>
                      <w:bCs w:val="0"/>
                      <w:color w:val="auto"/>
                      <w:kern w:val="0"/>
                      <w:szCs w:val="21"/>
                      <w:highlight w:val="none"/>
                      <w:vertAlign w:val="baseline"/>
                    </w:rPr>
                    <w:t>“</w:t>
                  </w:r>
                  <w:r>
                    <w:rPr>
                      <w:rFonts w:hint="eastAsia" w:cs="Times New Roman"/>
                      <w:bCs/>
                      <w:color w:val="auto"/>
                      <w:sz w:val="21"/>
                      <w:szCs w:val="21"/>
                      <w:highlight w:val="none"/>
                      <w:lang w:val="en-US" w:eastAsia="zh-CN"/>
                    </w:rPr>
                    <w:t>二级</w:t>
                  </w:r>
                  <w:r>
                    <w:rPr>
                      <w:rFonts w:hint="default" w:ascii="Times New Roman" w:hAnsi="Times New Roman" w:eastAsia="宋体" w:cs="Times New Roman"/>
                      <w:bCs/>
                      <w:color w:val="auto"/>
                      <w:sz w:val="21"/>
                      <w:szCs w:val="21"/>
                      <w:highlight w:val="none"/>
                    </w:rPr>
                    <w:t>活性炭吸附</w:t>
                  </w:r>
                  <w:r>
                    <w:rPr>
                      <w:rFonts w:hint="eastAsia" w:cs="Times New Roman"/>
                      <w:bCs/>
                      <w:color w:val="auto"/>
                      <w:sz w:val="21"/>
                      <w:szCs w:val="21"/>
                      <w:highlight w:val="none"/>
                      <w:lang w:val="en-US" w:eastAsia="zh-CN"/>
                    </w:rPr>
                    <w:t>装置</w:t>
                  </w:r>
                  <w:r>
                    <w:rPr>
                      <w:rFonts w:hint="eastAsia" w:ascii="宋体" w:hAnsi="宋体" w:eastAsia="宋体" w:cs="宋体"/>
                      <w:b w:val="0"/>
                      <w:bCs w:val="0"/>
                      <w:color w:val="auto"/>
                      <w:kern w:val="0"/>
                      <w:szCs w:val="21"/>
                      <w:highlight w:val="none"/>
                      <w:vertAlign w:val="baseline"/>
                    </w:rPr>
                    <w:t>”</w:t>
                  </w:r>
                  <w:r>
                    <w:rPr>
                      <w:rFonts w:hint="default" w:ascii="Times New Roman" w:hAnsi="Times New Roman" w:eastAsia="宋体" w:cs="Times New Roman"/>
                      <w:b w:val="0"/>
                      <w:bCs w:val="0"/>
                      <w:color w:val="auto"/>
                      <w:kern w:val="0"/>
                      <w:szCs w:val="21"/>
                      <w:highlight w:val="none"/>
                      <w:vertAlign w:val="baseline"/>
                    </w:rPr>
                    <w:t>处理有机废气，不涉及单一低温等离子、光催化、光氧化、水喷</w:t>
                  </w:r>
                  <w:r>
                    <w:rPr>
                      <w:rFonts w:hint="eastAsia" w:cs="Times New Roman"/>
                      <w:b w:val="0"/>
                      <w:bCs w:val="0"/>
                      <w:color w:val="auto"/>
                      <w:kern w:val="0"/>
                      <w:szCs w:val="21"/>
                      <w:highlight w:val="none"/>
                      <w:vertAlign w:val="baseline"/>
                      <w:lang w:val="en-US" w:eastAsia="zh-CN"/>
                    </w:rPr>
                    <w:t>淋</w:t>
                  </w:r>
                  <w:r>
                    <w:rPr>
                      <w:rFonts w:hint="default" w:ascii="Times New Roman" w:hAnsi="Times New Roman" w:eastAsia="宋体" w:cs="Times New Roman"/>
                      <w:b w:val="0"/>
                      <w:bCs w:val="0"/>
                      <w:color w:val="auto"/>
                      <w:kern w:val="0"/>
                      <w:szCs w:val="21"/>
                      <w:highlight w:val="none"/>
                      <w:vertAlign w:val="baseline"/>
                    </w:rPr>
                    <w:t>等低效末端治理技术</w:t>
                  </w:r>
                </w:p>
              </w:tc>
              <w:tc>
                <w:tcPr>
                  <w:tcW w:w="681" w:type="dxa"/>
                  <w:tcBorders>
                    <w:tl2br w:val="nil"/>
                    <w:tr2bl w:val="nil"/>
                  </w:tcBorders>
                  <w:noWrap w:val="0"/>
                  <w:vAlign w:val="center"/>
                </w:tcPr>
                <w:p w14:paraId="651BFAF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Cs w:val="21"/>
                      <w:highlight w:val="none"/>
                      <w:vertAlign w:val="baseline"/>
                    </w:rPr>
                  </w:pPr>
                  <w:r>
                    <w:rPr>
                      <w:rFonts w:hint="eastAsia" w:ascii="宋体" w:hAnsi="宋体" w:eastAsia="宋体" w:cs="宋体"/>
                      <w:b w:val="0"/>
                      <w:bCs w:val="0"/>
                      <w:color w:val="auto"/>
                      <w:kern w:val="0"/>
                      <w:szCs w:val="21"/>
                      <w:highlight w:val="none"/>
                      <w:vertAlign w:val="baseline"/>
                      <w:lang w:val="en-US" w:eastAsia="zh-CN"/>
                    </w:rPr>
                    <w:t>相符</w:t>
                  </w:r>
                </w:p>
              </w:tc>
            </w:tr>
          </w:tbl>
          <w:p w14:paraId="225EA0A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firstLineChars="199"/>
              <w:textAlignment w:val="auto"/>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8</w:t>
            </w:r>
            <w:r>
              <w:rPr>
                <w:rFonts w:hint="default"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rPr>
              <w:t>与《江苏省挥发性有机物清洁原料替代工作方案》（苏大气办〔2021〕2 号）相符性</w:t>
            </w:r>
          </w:p>
          <w:p w14:paraId="6BFEEDD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 1-</w:t>
            </w:r>
            <w:r>
              <w:rPr>
                <w:rFonts w:hint="eastAsia" w:cs="Times New Roman"/>
                <w:b/>
                <w:bCs/>
                <w:color w:val="auto"/>
                <w:sz w:val="21"/>
                <w:szCs w:val="21"/>
                <w:lang w:val="en-US" w:eastAsia="zh-CN"/>
              </w:rPr>
              <w:t>8</w:t>
            </w:r>
            <w:r>
              <w:rPr>
                <w:rFonts w:hint="default" w:ascii="Times New Roman" w:hAnsi="Times New Roman" w:cs="Times New Roman"/>
                <w:b/>
                <w:bCs/>
                <w:color w:val="auto"/>
                <w:sz w:val="21"/>
                <w:szCs w:val="21"/>
              </w:rPr>
              <w:t xml:space="preserve"> 与《江苏省挥发性有机物清洁原料替代工作方案》相符性分析</w:t>
            </w:r>
          </w:p>
          <w:tbl>
            <w:tblPr>
              <w:tblStyle w:val="31"/>
              <w:tblW w:w="780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8"/>
              <w:gridCol w:w="3748"/>
              <w:gridCol w:w="2762"/>
              <w:gridCol w:w="747"/>
            </w:tblGrid>
            <w:tr w14:paraId="118B6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8" w:type="dxa"/>
                  <w:tcBorders>
                    <w:tl2br w:val="nil"/>
                    <w:tr2bl w:val="nil"/>
                  </w:tcBorders>
                  <w:noWrap w:val="0"/>
                  <w:vAlign w:val="center"/>
                </w:tcPr>
                <w:p w14:paraId="1DF18E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3748" w:type="dxa"/>
                  <w:tcBorders>
                    <w:tl2br w:val="nil"/>
                    <w:tr2bl w:val="nil"/>
                  </w:tcBorders>
                  <w:noWrap w:val="0"/>
                  <w:vAlign w:val="center"/>
                </w:tcPr>
                <w:p w14:paraId="16304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文件要求</w:t>
                  </w:r>
                </w:p>
              </w:tc>
              <w:tc>
                <w:tcPr>
                  <w:tcW w:w="2762" w:type="dxa"/>
                  <w:tcBorders>
                    <w:tl2br w:val="nil"/>
                    <w:tr2bl w:val="nil"/>
                  </w:tcBorders>
                  <w:noWrap w:val="0"/>
                  <w:vAlign w:val="center"/>
                </w:tcPr>
                <w:p w14:paraId="39BCBE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w:t>
                  </w:r>
                </w:p>
              </w:tc>
              <w:tc>
                <w:tcPr>
                  <w:tcW w:w="747" w:type="dxa"/>
                  <w:tcBorders>
                    <w:tl2br w:val="nil"/>
                    <w:tr2bl w:val="nil"/>
                  </w:tcBorders>
                  <w:noWrap w:val="0"/>
                  <w:vAlign w:val="center"/>
                </w:tcPr>
                <w:p w14:paraId="41188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相符性</w:t>
                  </w:r>
                </w:p>
              </w:tc>
            </w:tr>
            <w:tr w14:paraId="47818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48" w:type="dxa"/>
                  <w:tcBorders>
                    <w:tl2br w:val="nil"/>
                    <w:tr2bl w:val="nil"/>
                  </w:tcBorders>
                  <w:noWrap w:val="0"/>
                  <w:vAlign w:val="center"/>
                </w:tcPr>
                <w:p w14:paraId="339A75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748" w:type="dxa"/>
                  <w:tcBorders>
                    <w:tl2br w:val="nil"/>
                    <w:tr2bl w:val="nil"/>
                  </w:tcBorders>
                  <w:noWrap w:val="0"/>
                  <w:vAlign w:val="center"/>
                </w:tcPr>
                <w:p w14:paraId="57689A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以工业涂装、包装印刷、木材加工纺织(附件1)等行业为重点，分阶段推进3130家企业(附件2)清洁原料替代工作。实施替代的企业要使用符合《低挥发性有机化合物含量涂料产品技术要求》(GB/T38597-2020)规定的粉末、水性、无溶剂、辐射固化涂料产品</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符合《油墨中可挥发性机化合物(VOCs)量的限值》(GB38507-2020)规定的水性油墨和能量固化油墨产品</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符合《清洗剂挥发性有机化合物含量限值》(GB38508-2020)规定的水基、半水基清洗剂产品</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符合《胶粘剂挥发性有机化合物限量》(G</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33372-2020)现定的水基型、本体型胶粘剂产品。</w:t>
                  </w:r>
                </w:p>
              </w:tc>
              <w:tc>
                <w:tcPr>
                  <w:tcW w:w="2762" w:type="dxa"/>
                  <w:tcBorders>
                    <w:tl2br w:val="nil"/>
                    <w:tr2bl w:val="nil"/>
                  </w:tcBorders>
                  <w:noWrap w:val="0"/>
                  <w:vAlign w:val="center"/>
                </w:tcPr>
                <w:p w14:paraId="0101F8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本项目使用涂料为粉末涂料，根据</w:t>
                  </w:r>
                  <w:r>
                    <w:rPr>
                      <w:rFonts w:hint="default" w:ascii="Times New Roman" w:hAnsi="Times New Roman" w:cs="Times New Roman"/>
                      <w:color w:val="auto"/>
                      <w:sz w:val="21"/>
                      <w:szCs w:val="21"/>
                      <w:highlight w:val="none"/>
                    </w:rPr>
                    <w:t>《低挥发性有机化合物含量涂料产品技术要求》(GB/T38597-2020)</w:t>
                  </w:r>
                  <w:r>
                    <w:rPr>
                      <w:rFonts w:hint="eastAsia" w:cs="Times New Roman"/>
                      <w:color w:val="auto"/>
                      <w:sz w:val="21"/>
                      <w:szCs w:val="21"/>
                      <w:highlight w:val="none"/>
                      <w:lang w:val="en-US" w:eastAsia="zh-CN"/>
                    </w:rPr>
                    <w:t>，粉末涂料属于低挥发性有机化合物含量涂料产品；</w:t>
                  </w:r>
                  <w:r>
                    <w:rPr>
                      <w:rFonts w:hint="default"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lang w:val="en-US" w:eastAsia="zh-CN"/>
                    </w:rPr>
                    <w:t>不涉及油墨和清洗剂使用</w:t>
                  </w:r>
                </w:p>
              </w:tc>
              <w:tc>
                <w:tcPr>
                  <w:tcW w:w="747" w:type="dxa"/>
                  <w:tcBorders>
                    <w:tl2br w:val="nil"/>
                    <w:tr2bl w:val="nil"/>
                  </w:tcBorders>
                  <w:noWrap w:val="0"/>
                  <w:vAlign w:val="center"/>
                </w:tcPr>
                <w:p w14:paraId="2DCB26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1E47D41A">
            <w:pPr>
              <w:pStyle w:val="28"/>
              <w:keepNext w:val="0"/>
              <w:keepLines w:val="0"/>
              <w:pageBreakBefore w:val="0"/>
              <w:widowControl/>
              <w:suppressLineNumbers w:val="0"/>
              <w:shd w:val="clear"/>
              <w:kinsoku/>
              <w:wordWrap/>
              <w:overflowPunct/>
              <w:topLinePunct w:val="0"/>
              <w:autoSpaceDE/>
              <w:autoSpaceDN/>
              <w:bidi w:val="0"/>
              <w:adjustRightInd/>
              <w:snapToGrid w:val="0"/>
              <w:spacing w:before="157" w:beforeLines="50" w:beforeAutospacing="0" w:after="0" w:afterAutospacing="0" w:line="360" w:lineRule="auto"/>
              <w:ind w:left="0" w:right="0" w:firstLine="422" w:firstLineChars="200"/>
              <w:textAlignment w:val="auto"/>
              <w:rPr>
                <w:rFonts w:hint="default" w:ascii="Times New Roman" w:hAnsi="Times New Roman" w:eastAsia="宋体" w:cs="Times New Roman"/>
                <w:b/>
                <w:bCs/>
                <w:color w:val="auto"/>
                <w:sz w:val="21"/>
                <w:szCs w:val="21"/>
                <w:highlight w:val="none"/>
                <w:lang w:eastAsia="zh-CN"/>
              </w:rPr>
            </w:pPr>
            <w:r>
              <w:rPr>
                <w:rFonts w:hint="eastAsia" w:eastAsia="宋体"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 xml:space="preserve">项目与《关于进一步明确涉VOCs建设项目环境影响评价文件审批工作要求的通知》（宿环办〔2020〕11号）相符性分析 </w:t>
            </w:r>
          </w:p>
          <w:p w14:paraId="13AE0ADB">
            <w:pPr>
              <w:pStyle w:val="28"/>
              <w:keepNext w:val="0"/>
              <w:keepLines w:val="0"/>
              <w:pageBreakBefore w:val="0"/>
              <w:widowControl/>
              <w:suppressLineNumbers w:val="0"/>
              <w:shd w:val="clear"/>
              <w:kinsoku/>
              <w:wordWrap/>
              <w:overflowPunct/>
              <w:topLinePunct w:val="0"/>
              <w:autoSpaceDE/>
              <w:autoSpaceDN/>
              <w:bidi w:val="0"/>
              <w:adjustRightInd/>
              <w:snapToGrid w:val="0"/>
              <w:spacing w:before="157" w:beforeLines="5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项目与《关于进一步明确涉VOCs建设项目环境影响评价文件审批工作要求的通知》（宿环办〔2020〕11号）相符性分析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87"/>
              <w:gridCol w:w="4166"/>
              <w:gridCol w:w="2456"/>
              <w:gridCol w:w="496"/>
            </w:tblGrid>
            <w:tr w14:paraId="364E6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71" w:type="dxa"/>
                  <w:gridSpan w:val="2"/>
                  <w:tcBorders>
                    <w:tl2br w:val="nil"/>
                    <w:tr2bl w:val="nil"/>
                  </w:tcBorders>
                  <w:noWrap w:val="0"/>
                  <w:vAlign w:val="center"/>
                </w:tcPr>
                <w:p w14:paraId="634FFA40">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指导意见要求</w:t>
                  </w:r>
                </w:p>
              </w:tc>
              <w:tc>
                <w:tcPr>
                  <w:tcW w:w="2465" w:type="dxa"/>
                  <w:tcBorders>
                    <w:tl2br w:val="nil"/>
                    <w:tr2bl w:val="nil"/>
                  </w:tcBorders>
                  <w:noWrap w:val="0"/>
                  <w:vAlign w:val="center"/>
                </w:tcPr>
                <w:p w14:paraId="16E5529F">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项目情况</w:t>
                  </w:r>
                </w:p>
              </w:tc>
              <w:tc>
                <w:tcPr>
                  <w:tcW w:w="498" w:type="dxa"/>
                  <w:tcBorders>
                    <w:tl2br w:val="nil"/>
                    <w:tr2bl w:val="nil"/>
                  </w:tcBorders>
                  <w:noWrap w:val="0"/>
                  <w:vAlign w:val="center"/>
                </w:tcPr>
                <w:p w14:paraId="078AFD0B">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相符性</w:t>
                  </w:r>
                </w:p>
              </w:tc>
            </w:tr>
            <w:tr w14:paraId="7CEBF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tcBorders>
                    <w:tl2br w:val="nil"/>
                    <w:tr2bl w:val="nil"/>
                  </w:tcBorders>
                  <w:noWrap w:val="0"/>
                  <w:vAlign w:val="center"/>
                </w:tcPr>
                <w:p w14:paraId="2F96D78E">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严格项目排放标准审查</w:t>
                  </w:r>
                </w:p>
              </w:tc>
              <w:tc>
                <w:tcPr>
                  <w:tcW w:w="4181" w:type="dxa"/>
                  <w:tcBorders>
                    <w:tl2br w:val="nil"/>
                    <w:tr2bl w:val="nil"/>
                  </w:tcBorders>
                  <w:noWrap w:val="0"/>
                  <w:vAlign w:val="center"/>
                </w:tcPr>
                <w:p w14:paraId="7C266932">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凡涉VOCs排放的建设项目，有行业标准应优先执行行业标准，无行业标准应执行国家、江苏省相关排放标准和参照执行《天津市工业企业挥发性有机物排放控制标准》（DB12/524-2014）等标准中最严格的标准。厂区内无组织排放应执行《挥发性有机物无组织排放控制标准》（GB37822-2019）VOCs特别排放限值。</w:t>
                  </w:r>
                </w:p>
              </w:tc>
              <w:tc>
                <w:tcPr>
                  <w:tcW w:w="2465" w:type="dxa"/>
                  <w:tcBorders>
                    <w:tl2br w:val="nil"/>
                    <w:tr2bl w:val="nil"/>
                  </w:tcBorders>
                  <w:noWrap w:val="0"/>
                  <w:vAlign w:val="center"/>
                </w:tcPr>
                <w:p w14:paraId="64BBCCD5">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本项目</w:t>
                  </w:r>
                  <w:r>
                    <w:rPr>
                      <w:rFonts w:hint="eastAsia" w:ascii="Times New Roman" w:hAnsi="Times New Roman" w:eastAsia="宋体" w:cs="Times New Roman"/>
                      <w:color w:val="auto"/>
                      <w:sz w:val="21"/>
                      <w:szCs w:val="21"/>
                      <w:highlight w:val="none"/>
                      <w:lang w:val="en-US" w:eastAsia="zh-CN"/>
                    </w:rPr>
                    <w:t>固化</w:t>
                  </w:r>
                  <w:r>
                    <w:rPr>
                      <w:rFonts w:hint="default" w:ascii="Times New Roman" w:hAnsi="Times New Roman" w:eastAsia="宋体" w:cs="Times New Roman"/>
                      <w:color w:val="auto"/>
                      <w:sz w:val="21"/>
                      <w:szCs w:val="21"/>
                      <w:highlight w:val="none"/>
                      <w:lang w:val="en-US"/>
                    </w:rPr>
                    <w:t>工序生产过程产生的非甲烷总烃排放参照执行《工业涂装工序大气污染物排放标准》（DB32/4439-2022）表1中相关标准。厂区内无组织非甲烷总烃排放执行执行《工业涂装工序大气污染物排放标准》（DB32/4439-2022）表</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rPr>
                    <w:t>中非甲烷总烃特别限值</w:t>
                  </w:r>
                </w:p>
              </w:tc>
              <w:tc>
                <w:tcPr>
                  <w:tcW w:w="498" w:type="dxa"/>
                  <w:tcBorders>
                    <w:tl2br w:val="nil"/>
                    <w:tr2bl w:val="nil"/>
                  </w:tcBorders>
                  <w:noWrap w:val="0"/>
                  <w:vAlign w:val="center"/>
                </w:tcPr>
                <w:p w14:paraId="5F83C048">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A2CF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tcBorders>
                    <w:tl2br w:val="nil"/>
                    <w:tr2bl w:val="nil"/>
                  </w:tcBorders>
                  <w:noWrap w:val="0"/>
                  <w:vAlign w:val="center"/>
                </w:tcPr>
                <w:p w14:paraId="6840D39C">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规范项目原辅料源头替代审查</w:t>
                  </w:r>
                </w:p>
              </w:tc>
              <w:tc>
                <w:tcPr>
                  <w:tcW w:w="4181" w:type="dxa"/>
                  <w:tcBorders>
                    <w:tl2br w:val="nil"/>
                    <w:tr2bl w:val="nil"/>
                  </w:tcBorders>
                  <w:noWrap w:val="0"/>
                  <w:vAlign w:val="center"/>
                </w:tcPr>
                <w:p w14:paraId="5788F379">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审批生产和使用高VOCs含量的溶剂型涂料、油墨、胶粘剂等建设项目环境影响评价文件。新报批环境影响评价文件的建设项目应使用水性、粉末、高固体分、无溶剂、辐射固化等低VOCs含量的涂料，VOCs含量应满足《涂料中挥发性有机物限量》（DB32/T3500一2019）限值要求。建设项目应通过使用水性、辐射固化、植物基等低VOCs含量的油墨，水基、热熔、无溶剂、辐射固化、改性、生物降解等低VOCs含量的胶粘剂，以及低VOCs含量、低反应活性的清洗剂等替代溶剂型涂料、油墨、胶粘剂清洗剂等，从源头控制VOCs产生量。环境影响评价文件审查环节应要求建设单位对主要原辅料的理化性质、特性等进行详细分析，明确涉VOCs的主要原辅材料的类型、组分、含量等，明确是否属于危险化学品。</w:t>
                  </w:r>
                </w:p>
              </w:tc>
              <w:tc>
                <w:tcPr>
                  <w:tcW w:w="2465" w:type="dxa"/>
                  <w:tcBorders>
                    <w:tl2br w:val="nil"/>
                    <w:tr2bl w:val="nil"/>
                  </w:tcBorders>
                  <w:noWrap w:val="0"/>
                  <w:vAlign w:val="center"/>
                </w:tcPr>
                <w:p w14:paraId="57098B6F">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喷塑</w:t>
                  </w:r>
                  <w:r>
                    <w:rPr>
                      <w:rFonts w:hint="default" w:ascii="Times New Roman" w:hAnsi="Times New Roman" w:eastAsia="宋体" w:cs="Times New Roman"/>
                      <w:color w:val="auto"/>
                      <w:sz w:val="21"/>
                      <w:szCs w:val="21"/>
                      <w:highlight w:val="none"/>
                      <w:lang w:val="en-US" w:eastAsia="zh-CN"/>
                    </w:rPr>
                    <w:t>工序的涂料为</w:t>
                  </w:r>
                  <w:r>
                    <w:rPr>
                      <w:rFonts w:hint="eastAsia" w:ascii="Times New Roman" w:hAnsi="Times New Roman" w:eastAsia="宋体" w:cs="Times New Roman"/>
                      <w:color w:val="auto"/>
                      <w:sz w:val="21"/>
                      <w:szCs w:val="21"/>
                      <w:highlight w:val="none"/>
                      <w:lang w:val="en-US" w:eastAsia="zh-CN"/>
                    </w:rPr>
                    <w:t>粉末涂料</w:t>
                  </w:r>
                </w:p>
              </w:tc>
              <w:tc>
                <w:tcPr>
                  <w:tcW w:w="498" w:type="dxa"/>
                  <w:tcBorders>
                    <w:tl2br w:val="nil"/>
                    <w:tr2bl w:val="nil"/>
                  </w:tcBorders>
                  <w:noWrap w:val="0"/>
                  <w:vAlign w:val="center"/>
                </w:tcPr>
                <w:p w14:paraId="14A75B5E">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7C34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tcBorders>
                    <w:tl2br w:val="nil"/>
                    <w:tr2bl w:val="nil"/>
                  </w:tcBorders>
                  <w:noWrap w:val="0"/>
                  <w:vAlign w:val="center"/>
                </w:tcPr>
                <w:p w14:paraId="7269D76E">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全面加强无组织排放控制审查</w:t>
                  </w:r>
                </w:p>
              </w:tc>
              <w:tc>
                <w:tcPr>
                  <w:tcW w:w="4181" w:type="dxa"/>
                  <w:tcBorders>
                    <w:tl2br w:val="nil"/>
                    <w:tr2bl w:val="nil"/>
                  </w:tcBorders>
                  <w:noWrap w:val="0"/>
                  <w:vAlign w:val="center"/>
                </w:tcPr>
                <w:p w14:paraId="4A9A8DC2">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照《挥发性有机物无组织排放标准》（GB37822-2019），重点加强含VOCs物料储存、转移和输送、设备与管线组件泄漏、敞开液面逸散以及工艺过程等五类排放源VOCs管控评价审查。家具制造、包装、印刷、工业涂装、人造板制造、化工等重点行业的相关企业，涉VOCs物料全部采取密闭储存，物料转移、输送、配料、使用等作业环节应采取密闭设备或在密闭空间内操作，环境影响评价文件中应详细描述物料配料、转移、储存、使用、收集等环节所采用的工艺技术或措施，不得采用密闭收集、密闭储存等简单、笼统性文字进行描述，并分析采用的工艺技术的可行性和可靠性。凡涉VOCs无组织排放的建设项目，应严格按照《挥发性有机物无组织排放标准》（GB37822-2019）有关要求，在环境影响评价文件中应充分论证采取的VOCs无组织控制措施，VOCs收集效率和处理效率应达到规定的要求。凡载有气态、液态VOCs物料的设备与管线组件，密封点数量大于等于2000个的建设项目，环境影响评价文件中应明确要求开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泄漏检测与修复（LDAR）工作。</w:t>
                  </w:r>
                </w:p>
              </w:tc>
              <w:tc>
                <w:tcPr>
                  <w:tcW w:w="2465" w:type="dxa"/>
                  <w:tcBorders>
                    <w:tl2br w:val="nil"/>
                    <w:tr2bl w:val="nil"/>
                  </w:tcBorders>
                  <w:noWrap w:val="0"/>
                  <w:vAlign w:val="center"/>
                </w:tcPr>
                <w:p w14:paraId="40AFBC59">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塑粉常温下为固态粉末不产生VOCs气体</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塑粉</w:t>
                  </w:r>
                  <w:r>
                    <w:rPr>
                      <w:rFonts w:hint="eastAsia" w:ascii="Times New Roman" w:hAnsi="Times New Roman" w:eastAsia="宋体" w:cs="Times New Roman"/>
                      <w:color w:val="auto"/>
                      <w:sz w:val="21"/>
                      <w:szCs w:val="21"/>
                      <w:highlight w:val="none"/>
                      <w:lang w:val="en-US" w:eastAsia="zh-CN"/>
                    </w:rPr>
                    <w:t>固化</w:t>
                  </w:r>
                  <w:r>
                    <w:rPr>
                      <w:rFonts w:hint="default" w:ascii="Times New Roman" w:hAnsi="Times New Roman" w:eastAsia="宋体" w:cs="Times New Roman"/>
                      <w:color w:val="auto"/>
                      <w:sz w:val="21"/>
                      <w:szCs w:val="21"/>
                      <w:highlight w:val="none"/>
                      <w:lang w:val="en-US" w:eastAsia="zh-CN"/>
                    </w:rPr>
                    <w:t>工序均在密闭车间进行。</w:t>
                  </w:r>
                  <w:r>
                    <w:rPr>
                      <w:rFonts w:hint="default" w:ascii="Times New Roman" w:hAnsi="Times New Roman" w:eastAsia="宋体" w:cs="Times New Roman"/>
                      <w:color w:val="auto"/>
                      <w:sz w:val="21"/>
                      <w:szCs w:val="21"/>
                      <w:highlight w:val="none"/>
                    </w:rPr>
                    <w:t>符合相关的规定</w:t>
                  </w:r>
                </w:p>
              </w:tc>
              <w:tc>
                <w:tcPr>
                  <w:tcW w:w="498" w:type="dxa"/>
                  <w:tcBorders>
                    <w:tl2br w:val="nil"/>
                    <w:tr2bl w:val="nil"/>
                  </w:tcBorders>
                  <w:noWrap w:val="0"/>
                  <w:vAlign w:val="center"/>
                </w:tcPr>
                <w:p w14:paraId="232DA284">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71A9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tcBorders>
                    <w:tl2br w:val="nil"/>
                    <w:tr2bl w:val="nil"/>
                  </w:tcBorders>
                  <w:noWrap w:val="0"/>
                  <w:vAlign w:val="center"/>
                </w:tcPr>
                <w:p w14:paraId="3FF9DD36">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提升末端治理水平和台帐管理</w:t>
                  </w:r>
                </w:p>
              </w:tc>
              <w:tc>
                <w:tcPr>
                  <w:tcW w:w="4181" w:type="dxa"/>
                  <w:tcBorders>
                    <w:tl2br w:val="nil"/>
                    <w:tr2bl w:val="nil"/>
                  </w:tcBorders>
                  <w:noWrap w:val="0"/>
                  <w:vAlign w:val="center"/>
                </w:tcPr>
                <w:p w14:paraId="550BAAFE">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分类收集、集中处理、应烧尽烧的原则，报批的环境影响评价文件应强化建设项目含VOCs有机废气的收集与处理评价，配套VOCs高效治理设施，应优先采用催化燃烧（RCO或CO）、蓄热式热氧化炉（RTO）、直燃式焚烧炉（TO）等处理技术，未采用焚烧处理技术或不适宜采用焚烧技术的应充分说明依据和原因。其中，高浓度有机废气（VOCs初始浓度≥5000ppm）的废气应优先进行溶剂回收，中等浓度或低浓度（初始浓度VOCs≤1000ppm）、大风量废气，宜采用沸石转轮吸附、活性炭吸附脱附、减风增浓等浓缩技术，提高浓度后焚烧处理。含有有机卤元素、硫元素成分的VOCs废气，宜采用非焚烧技术处理。含酸、碱大气污染物的有机废气，应取中和等措施预处理后，方可采用RCO、CO、RTO、TO等处理技术。除用于恶臭异味治理外，不得采用低温等离子、光催化、光氧化、生物法等低效处理技术。非水溶性的VOCs废气禁止采用水或水溶液喷淋吸收处理。严禁采用活性炭吸附、喷淋等单级废气处理工艺。必须采用活性炭吸附技术的，应制定活性炭定期更换管理制度，并做好台账。喷漆废气应设置高效漆雾处理装置。涉VOCs改扩迁建项目，要贯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以新带老原则，现有项目的生产工艺、治理设施须按照新要求，同步进行技术升级环境影响评价文件审查中应要求重点行业企业建立管理台账，记录主要产品产量及涂装、涂胶总面积等生产基本信息；含VOCs原辅材料名称及其VOCs含量，含VOCs原辅材料采购量、使用量、库存量及废弃量，含VOCs原辅材料回收方式及回收量等，记录生产和治污设施运行的关键参数，保存废气处理设施相关耗材（吸收剂、吸附剂、催化剂、蓄热体等）购买处置记录，在线监控参数要确保能够实时调取，台账保存期限不少于三年。</w:t>
                  </w:r>
                </w:p>
              </w:tc>
              <w:tc>
                <w:tcPr>
                  <w:tcW w:w="2465" w:type="dxa"/>
                  <w:tcBorders>
                    <w:tl2br w:val="nil"/>
                    <w:tr2bl w:val="nil"/>
                  </w:tcBorders>
                  <w:noWrap w:val="0"/>
                  <w:vAlign w:val="center"/>
                </w:tcPr>
                <w:p w14:paraId="760570D8">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塑粉</w:t>
                  </w:r>
                  <w:r>
                    <w:rPr>
                      <w:rFonts w:hint="eastAsia" w:ascii="Times New Roman" w:hAnsi="Times New Roman" w:eastAsia="宋体" w:cs="Times New Roman"/>
                      <w:color w:val="auto"/>
                      <w:sz w:val="21"/>
                      <w:szCs w:val="21"/>
                      <w:highlight w:val="none"/>
                      <w:lang w:val="en-US" w:eastAsia="zh-CN"/>
                    </w:rPr>
                    <w:t>固化</w:t>
                  </w:r>
                  <w:r>
                    <w:rPr>
                      <w:rFonts w:hint="default" w:ascii="Times New Roman" w:hAnsi="Times New Roman" w:eastAsia="宋体" w:cs="Times New Roman"/>
                      <w:color w:val="auto"/>
                      <w:sz w:val="21"/>
                      <w:szCs w:val="21"/>
                      <w:highlight w:val="none"/>
                      <w:lang w:val="en-US"/>
                    </w:rPr>
                    <w:t>工序</w:t>
                  </w:r>
                  <w:r>
                    <w:rPr>
                      <w:rFonts w:hint="default" w:ascii="Times New Roman" w:hAnsi="Times New Roman" w:eastAsia="宋体" w:cs="Times New Roman"/>
                      <w:color w:val="auto"/>
                      <w:sz w:val="21"/>
                      <w:szCs w:val="21"/>
                      <w:highlight w:val="none"/>
                      <w:lang w:val="en-US" w:eastAsia="zh-CN"/>
                    </w:rPr>
                    <w:t>产生的非甲烷总烃密闭收集后，通过</w:t>
                  </w:r>
                  <w:r>
                    <w:rPr>
                      <w:rFonts w:hint="eastAsia" w:ascii="Times New Roman" w:hAnsi="Times New Roman" w:eastAsia="宋体" w:cs="Times New Roman"/>
                      <w:color w:val="auto"/>
                      <w:sz w:val="21"/>
                      <w:szCs w:val="21"/>
                      <w:highlight w:val="none"/>
                      <w:lang w:val="en-US" w:eastAsia="zh-CN"/>
                    </w:rPr>
                    <w:t>二级活性炭吸附装置</w:t>
                  </w:r>
                  <w:r>
                    <w:rPr>
                      <w:rFonts w:hint="default" w:ascii="Times New Roman" w:hAnsi="Times New Roman" w:eastAsia="宋体" w:cs="Times New Roman"/>
                      <w:color w:val="auto"/>
                      <w:sz w:val="21"/>
                      <w:szCs w:val="21"/>
                      <w:highlight w:val="none"/>
                      <w:lang w:val="en-US" w:eastAsia="zh-CN"/>
                    </w:rPr>
                    <w:t>进行处理。项目建成后需按照相关规定建立管理台账资料，包括废气治理设施运行台账，记录废气收集系统、处理设施的主要运行和维护信息等，包括运行时间、废气理量、操作温度和压力、吸附剂更换周期和更换量、污染物排放浓度和速率等关键运行参数等相关信息，台账保存期限不少于3年</w:t>
                  </w:r>
                </w:p>
              </w:tc>
              <w:tc>
                <w:tcPr>
                  <w:tcW w:w="498" w:type="dxa"/>
                  <w:tcBorders>
                    <w:tl2br w:val="nil"/>
                    <w:tr2bl w:val="nil"/>
                  </w:tcBorders>
                  <w:noWrap w:val="0"/>
                  <w:vAlign w:val="center"/>
                </w:tcPr>
                <w:p w14:paraId="0DF2C494">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67217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tcBorders>
                    <w:tl2br w:val="nil"/>
                    <w:tr2bl w:val="nil"/>
                  </w:tcBorders>
                  <w:noWrap w:val="0"/>
                  <w:vAlign w:val="center"/>
                </w:tcPr>
                <w:p w14:paraId="7F0D72A9">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落实建设项目VOCs总量前置审核制度</w:t>
                  </w:r>
                </w:p>
              </w:tc>
              <w:tc>
                <w:tcPr>
                  <w:tcW w:w="4181" w:type="dxa"/>
                  <w:tcBorders>
                    <w:tl2br w:val="nil"/>
                    <w:tr2bl w:val="nil"/>
                  </w:tcBorders>
                  <w:noWrap w:val="0"/>
                  <w:vAlign w:val="center"/>
                </w:tcPr>
                <w:p w14:paraId="10828611">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各县区（开发区、新区、园区）必须完成上年度VOCs总量减排任务方可审批辖区内的涉新增VOCs污染物产排的新建、改建、扩建、迁建项目。未完成VOCs总量减排任务的地区，暂缓其涉新增VOCs污染物排放的建设项目审批。严格涉VOCs产排的新建、改建、扩建、迁建项目的VOCs排放总量指标平衡，落实现役源2倍、关闭源1.5倍替代政策。</w:t>
                  </w:r>
                </w:p>
              </w:tc>
              <w:tc>
                <w:tcPr>
                  <w:tcW w:w="2465" w:type="dxa"/>
                  <w:tcBorders>
                    <w:tl2br w:val="nil"/>
                    <w:tr2bl w:val="nil"/>
                  </w:tcBorders>
                  <w:noWrap w:val="0"/>
                  <w:vAlign w:val="center"/>
                </w:tcPr>
                <w:p w14:paraId="31D499CA">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本项目VOCs已取得总量指标</w:t>
                  </w:r>
                </w:p>
              </w:tc>
              <w:tc>
                <w:tcPr>
                  <w:tcW w:w="498" w:type="dxa"/>
                  <w:tcBorders>
                    <w:tl2br w:val="nil"/>
                    <w:tr2bl w:val="nil"/>
                  </w:tcBorders>
                  <w:noWrap w:val="0"/>
                  <w:vAlign w:val="center"/>
                </w:tcPr>
                <w:p w14:paraId="20345B6E">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7FAA3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tcBorders>
                    <w:tl2br w:val="nil"/>
                    <w:tr2bl w:val="nil"/>
                  </w:tcBorders>
                  <w:noWrap w:val="0"/>
                  <w:vAlign w:val="center"/>
                </w:tcPr>
                <w:p w14:paraId="65E2FECF">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建立喷涂产业集群集中处理中心</w:t>
                  </w:r>
                </w:p>
              </w:tc>
              <w:tc>
                <w:tcPr>
                  <w:tcW w:w="4181" w:type="dxa"/>
                  <w:tcBorders>
                    <w:tl2br w:val="nil"/>
                    <w:tr2bl w:val="nil"/>
                  </w:tcBorders>
                  <w:noWrap w:val="0"/>
                  <w:vAlign w:val="center"/>
                </w:tcPr>
                <w:p w14:paraId="33C30AB3">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我市空气环境质量下滑趋势十分明显，臭氧超标天数多，同比改善不明显，空气质量约束性目标完成度差距较大，省生态环境厅已向我市发出环境预警，现有喷涂项目环境违法问题多发。各地应统筹规划、加快建设喷涂（不含喷塑，下同）集中处理中心，涉及使用涂料中VOCs含量超过10%的喷涂建设项目，应进入喷涂中心集中喷涂，集中喷涂VOCs废气（不涉及含有有机卤素、硫元素VOCs废气）应采用焚烧法、催化燃烧法净化处理后达标排放，提高VOCs治理效率。特殊项目无法进入喷涂中心处理的，应说明原因，并征得市生态环境局同意。同类项目集中的地区可以依托大型企业建立喷涂中心，大型企业自建喷涂中心的需向市生态环境局报告并获得同意。各地应加强涉及喷涂项目的环境影响评价审查，对未进入喷涂集中处理中心的喷涂项目，实行项目限批。对已受理的喷涂项目按现有政策完成审批，新受理项目执行本通知相关要求</w:t>
                  </w:r>
                </w:p>
              </w:tc>
              <w:tc>
                <w:tcPr>
                  <w:tcW w:w="2465" w:type="dxa"/>
                  <w:tcBorders>
                    <w:tl2br w:val="nil"/>
                    <w:tr2bl w:val="nil"/>
                  </w:tcBorders>
                  <w:noWrap w:val="0"/>
                  <w:vAlign w:val="center"/>
                </w:tcPr>
                <w:p w14:paraId="5E4A3D6B">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非甲烷总烃密闭</w:t>
                  </w:r>
                  <w:r>
                    <w:rPr>
                      <w:rFonts w:hint="default" w:ascii="Times New Roman" w:hAnsi="Times New Roman" w:eastAsia="宋体" w:cs="Times New Roman"/>
                      <w:color w:val="auto"/>
                      <w:sz w:val="21"/>
                      <w:szCs w:val="21"/>
                      <w:highlight w:val="none"/>
                    </w:rPr>
                    <w:t>收集后采用</w:t>
                  </w:r>
                  <w:r>
                    <w:rPr>
                      <w:rFonts w:hint="eastAsia" w:ascii="Times New Roman" w:hAnsi="Times New Roman" w:eastAsia="宋体" w:cs="Times New Roman"/>
                      <w:color w:val="auto"/>
                      <w:sz w:val="21"/>
                      <w:szCs w:val="21"/>
                      <w:highlight w:val="none"/>
                      <w:lang w:val="en-US" w:eastAsia="zh-CN"/>
                    </w:rPr>
                    <w:t>二级活性炭吸附</w:t>
                  </w:r>
                  <w:r>
                    <w:rPr>
                      <w:rFonts w:hint="default" w:ascii="Times New Roman" w:hAnsi="Times New Roman" w:eastAsia="宋体" w:cs="Times New Roman"/>
                      <w:color w:val="auto"/>
                      <w:sz w:val="21"/>
                      <w:szCs w:val="21"/>
                      <w:highlight w:val="none"/>
                      <w:lang w:val="en-US" w:eastAsia="zh-CN"/>
                    </w:rPr>
                    <w:t>装置</w:t>
                  </w:r>
                  <w:r>
                    <w:rPr>
                      <w:rFonts w:hint="default" w:ascii="Times New Roman" w:hAnsi="Times New Roman" w:eastAsia="宋体" w:cs="Times New Roman"/>
                      <w:color w:val="auto"/>
                      <w:sz w:val="21"/>
                      <w:szCs w:val="21"/>
                      <w:highlight w:val="none"/>
                    </w:rPr>
                    <w:t>进行处理，并制定了活性炭更换管理等相关制度，台账保存期限不少于三年，目前</w:t>
                  </w:r>
                  <w:r>
                    <w:rPr>
                      <w:rFonts w:hint="eastAsia"/>
                      <w:color w:val="auto"/>
                      <w:kern w:val="0"/>
                      <w:szCs w:val="21"/>
                    </w:rPr>
                    <w:t>李口镇工业园区</w:t>
                  </w:r>
                  <w:r>
                    <w:rPr>
                      <w:rFonts w:hint="default" w:ascii="Times New Roman" w:hAnsi="Times New Roman" w:eastAsia="宋体" w:cs="Times New Roman"/>
                      <w:color w:val="auto"/>
                      <w:sz w:val="21"/>
                      <w:szCs w:val="21"/>
                      <w:highlight w:val="none"/>
                    </w:rPr>
                    <w:t>还没有专门对喷</w:t>
                  </w:r>
                  <w:r>
                    <w:rPr>
                      <w:rFonts w:hint="default" w:ascii="Times New Roman" w:hAnsi="Times New Roman" w:eastAsia="宋体" w:cs="Times New Roman"/>
                      <w:color w:val="auto"/>
                      <w:sz w:val="21"/>
                      <w:szCs w:val="21"/>
                      <w:highlight w:val="none"/>
                      <w:lang w:val="en-US" w:eastAsia="zh-CN"/>
                    </w:rPr>
                    <w:t>涂</w:t>
                  </w:r>
                  <w:r>
                    <w:rPr>
                      <w:rFonts w:hint="default" w:ascii="Times New Roman" w:hAnsi="Times New Roman" w:eastAsia="宋体" w:cs="Times New Roman"/>
                      <w:color w:val="auto"/>
                      <w:sz w:val="21"/>
                      <w:szCs w:val="21"/>
                      <w:highlight w:val="none"/>
                    </w:rPr>
                    <w:t>的集中处理中心</w:t>
                  </w:r>
                </w:p>
              </w:tc>
              <w:tc>
                <w:tcPr>
                  <w:tcW w:w="498" w:type="dxa"/>
                  <w:tcBorders>
                    <w:tl2br w:val="nil"/>
                    <w:tr2bl w:val="nil"/>
                  </w:tcBorders>
                  <w:noWrap w:val="0"/>
                  <w:vAlign w:val="center"/>
                </w:tcPr>
                <w:p w14:paraId="323AFA7F">
                  <w:pPr>
                    <w:keepNext w:val="0"/>
                    <w:keepLines w:val="0"/>
                    <w:suppressLineNumbers w:val="0"/>
                    <w:shd w:val="clear"/>
                    <w:spacing w:before="0" w:beforeAutospacing="0" w:after="0" w:afterAutospacing="0" w:line="28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bl>
          <w:p w14:paraId="7B58E4AD">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422" w:firstLineChars="200"/>
              <w:textAlignment w:val="auto"/>
              <w:rPr>
                <w:rFonts w:hint="default"/>
                <w:color w:val="auto"/>
                <w:lang w:val="en-US" w:eastAsia="zh-CN"/>
              </w:rPr>
            </w:pPr>
            <w:r>
              <w:rPr>
                <w:rFonts w:hint="eastAsia"/>
                <w:b/>
                <w:bCs/>
                <w:color w:val="auto"/>
                <w:szCs w:val="21"/>
                <w:highlight w:val="none"/>
                <w:lang w:val="en-US" w:eastAsia="zh-CN"/>
              </w:rPr>
              <w:t>10、</w:t>
            </w:r>
            <w:r>
              <w:rPr>
                <w:rFonts w:hint="eastAsia"/>
                <w:b/>
                <w:bCs/>
                <w:color w:val="auto"/>
                <w:lang w:val="en-US" w:eastAsia="zh-CN"/>
              </w:rPr>
              <w:t>与</w:t>
            </w:r>
            <w:r>
              <w:rPr>
                <w:b/>
                <w:bCs/>
                <w:color w:val="auto"/>
                <w:szCs w:val="21"/>
                <w:highlight w:val="none"/>
              </w:rPr>
              <w:t>中运河</w:t>
            </w:r>
            <w:r>
              <w:rPr>
                <w:rFonts w:hint="eastAsia"/>
                <w:b/>
                <w:bCs/>
                <w:color w:val="auto"/>
                <w:szCs w:val="21"/>
                <w:highlight w:val="none"/>
                <w:lang w:val="en-US" w:eastAsia="zh-CN"/>
              </w:rPr>
              <w:t>姜桥水源地相符性分析</w:t>
            </w:r>
          </w:p>
          <w:p w14:paraId="2D0D4B7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left"/>
              <w:textAlignment w:val="auto"/>
              <w:rPr>
                <w:b/>
                <w:bCs/>
                <w:color w:val="auto"/>
                <w:szCs w:val="21"/>
              </w:rPr>
            </w:pPr>
            <w:r>
              <w:rPr>
                <w:rFonts w:hint="eastAsia"/>
                <w:color w:val="auto"/>
                <w:kern w:val="0"/>
                <w:szCs w:val="21"/>
              </w:rPr>
              <w:t>本项目建设地位于</w:t>
            </w:r>
            <w:r>
              <w:rPr>
                <w:rFonts w:hint="eastAsia" w:ascii="Times New Roman" w:hAnsi="Times New Roman"/>
                <w:color w:val="auto"/>
                <w:szCs w:val="21"/>
              </w:rPr>
              <w:t>宿迁市</w:t>
            </w:r>
            <w:r>
              <w:rPr>
                <w:rFonts w:hint="eastAsia"/>
                <w:color w:val="auto"/>
                <w:szCs w:val="21"/>
                <w:highlight w:val="none"/>
                <w:lang w:val="en-US" w:eastAsia="zh-CN"/>
              </w:rPr>
              <w:t>泗阳县李口镇全民创业园广州路3号</w:t>
            </w:r>
            <w:r>
              <w:rPr>
                <w:rFonts w:hint="eastAsia"/>
                <w:color w:val="auto"/>
                <w:kern w:val="0"/>
                <w:szCs w:val="21"/>
              </w:rPr>
              <w:t>，根据《</w:t>
            </w:r>
            <w:r>
              <w:rPr>
                <w:rFonts w:hint="eastAsia" w:ascii="Times New Roman" w:hAnsi="Times New Roman" w:eastAsia="宋体" w:cs="Times New Roman"/>
                <w:color w:val="auto"/>
                <w:szCs w:val="21"/>
                <w:lang w:val="en-US" w:eastAsia="zh-CN"/>
              </w:rPr>
              <w:t>省政府关于同意泗阳县中运河姜桥饮用水水源地保护区划分方案的批复</w:t>
            </w:r>
            <w:r>
              <w:rPr>
                <w:rFonts w:hint="eastAsia"/>
                <w:color w:val="auto"/>
                <w:kern w:val="0"/>
                <w:szCs w:val="21"/>
              </w:rPr>
              <w:t>》（苏政</w:t>
            </w:r>
            <w:r>
              <w:rPr>
                <w:rFonts w:hint="eastAsia"/>
                <w:color w:val="auto"/>
                <w:kern w:val="0"/>
                <w:szCs w:val="21"/>
                <w:lang w:val="en-US" w:eastAsia="zh-CN"/>
              </w:rPr>
              <w:t>复</w:t>
            </w:r>
            <w:r>
              <w:rPr>
                <w:rFonts w:hint="eastAsia"/>
                <w:color w:val="auto"/>
                <w:kern w:val="0"/>
                <w:szCs w:val="21"/>
              </w:rPr>
              <w:t>〔20</w:t>
            </w:r>
            <w:r>
              <w:rPr>
                <w:rFonts w:hint="eastAsia"/>
                <w:color w:val="auto"/>
                <w:kern w:val="0"/>
                <w:szCs w:val="21"/>
                <w:lang w:val="en-US" w:eastAsia="zh-CN"/>
              </w:rPr>
              <w:t>23</w:t>
            </w:r>
            <w:r>
              <w:rPr>
                <w:rFonts w:hint="eastAsia"/>
                <w:color w:val="auto"/>
                <w:kern w:val="0"/>
                <w:szCs w:val="21"/>
              </w:rPr>
              <w:t>〕</w:t>
            </w:r>
            <w:r>
              <w:rPr>
                <w:rFonts w:hint="eastAsia"/>
                <w:color w:val="auto"/>
                <w:kern w:val="0"/>
                <w:szCs w:val="21"/>
                <w:lang w:val="en-US" w:eastAsia="zh-CN"/>
              </w:rPr>
              <w:t>35</w:t>
            </w:r>
            <w:r>
              <w:rPr>
                <w:rFonts w:hint="eastAsia"/>
                <w:color w:val="auto"/>
                <w:kern w:val="0"/>
                <w:szCs w:val="21"/>
              </w:rPr>
              <w:t>号），</w:t>
            </w:r>
            <w:r>
              <w:rPr>
                <w:rFonts w:hint="eastAsia"/>
                <w:color w:val="auto"/>
                <w:kern w:val="0"/>
                <w:szCs w:val="21"/>
                <w:lang w:val="en-US" w:eastAsia="zh-CN"/>
              </w:rPr>
              <w:t>项目与</w:t>
            </w:r>
            <w:r>
              <w:rPr>
                <w:color w:val="auto"/>
                <w:szCs w:val="21"/>
                <w:highlight w:val="none"/>
              </w:rPr>
              <w:t>泗阳县中运河</w:t>
            </w:r>
            <w:r>
              <w:rPr>
                <w:rFonts w:hint="eastAsia"/>
                <w:color w:val="auto"/>
                <w:szCs w:val="21"/>
                <w:highlight w:val="none"/>
                <w:lang w:val="en-US" w:eastAsia="zh-CN"/>
              </w:rPr>
              <w:t>姜桥水源地</w:t>
            </w:r>
            <w:r>
              <w:rPr>
                <w:rFonts w:hint="eastAsia"/>
                <w:color w:val="auto"/>
                <w:kern w:val="0"/>
                <w:szCs w:val="21"/>
                <w:highlight w:val="none"/>
              </w:rPr>
              <w:t>距离约</w:t>
            </w:r>
            <w:r>
              <w:rPr>
                <w:rFonts w:hint="eastAsia"/>
                <w:color w:val="auto"/>
                <w:kern w:val="0"/>
                <w:szCs w:val="21"/>
                <w:highlight w:val="none"/>
                <w:lang w:val="en-US" w:eastAsia="zh-CN"/>
              </w:rPr>
              <w:t>3.36</w:t>
            </w:r>
            <w:r>
              <w:rPr>
                <w:rFonts w:hint="eastAsia"/>
                <w:color w:val="auto"/>
                <w:kern w:val="0"/>
                <w:szCs w:val="21"/>
                <w:highlight w:val="none"/>
              </w:rPr>
              <w:t>km，</w:t>
            </w:r>
            <w:r>
              <w:rPr>
                <w:rFonts w:hint="eastAsia"/>
                <w:color w:val="auto"/>
                <w:kern w:val="0"/>
                <w:szCs w:val="21"/>
                <w:highlight w:val="none"/>
                <w:lang w:val="en-US" w:eastAsia="zh-CN"/>
              </w:rPr>
              <w:t>对中运河姜桥水源地生态环境不产生影响</w:t>
            </w:r>
            <w:r>
              <w:rPr>
                <w:rFonts w:hint="eastAsia"/>
                <w:color w:val="auto"/>
                <w:kern w:val="0"/>
                <w:szCs w:val="21"/>
              </w:rPr>
              <w:t>。具体情况见表1-</w:t>
            </w:r>
            <w:r>
              <w:rPr>
                <w:rFonts w:hint="eastAsia"/>
                <w:color w:val="auto"/>
                <w:kern w:val="0"/>
                <w:szCs w:val="21"/>
                <w:lang w:val="en-US" w:eastAsia="zh-CN"/>
              </w:rPr>
              <w:t>10</w:t>
            </w:r>
            <w:r>
              <w:rPr>
                <w:rFonts w:hint="eastAsia"/>
                <w:color w:val="auto"/>
                <w:kern w:val="0"/>
                <w:szCs w:val="21"/>
              </w:rPr>
              <w:t>。</w:t>
            </w:r>
          </w:p>
          <w:p w14:paraId="16B69309">
            <w:pPr>
              <w:adjustRightInd w:val="0"/>
              <w:snapToGrid w:val="0"/>
              <w:spacing w:before="120" w:beforeLines="50"/>
              <w:jc w:val="center"/>
              <w:rPr>
                <w:color w:val="auto"/>
                <w:szCs w:val="21"/>
              </w:rPr>
            </w:pPr>
            <w:r>
              <w:rPr>
                <w:b/>
                <w:bCs/>
                <w:color w:val="auto"/>
                <w:szCs w:val="21"/>
              </w:rPr>
              <w:t>表1-</w:t>
            </w:r>
            <w:r>
              <w:rPr>
                <w:rFonts w:hint="eastAsia"/>
                <w:b/>
                <w:bCs/>
                <w:color w:val="auto"/>
                <w:szCs w:val="21"/>
                <w:lang w:val="en-US" w:eastAsia="zh-CN"/>
              </w:rPr>
              <w:t>10</w:t>
            </w:r>
            <w:r>
              <w:rPr>
                <w:rFonts w:hint="eastAsia"/>
                <w:b/>
                <w:bCs/>
                <w:color w:val="auto"/>
                <w:szCs w:val="21"/>
              </w:rPr>
              <w:t xml:space="preserve"> </w:t>
            </w:r>
            <w:r>
              <w:rPr>
                <w:rFonts w:hint="eastAsia"/>
                <w:b/>
                <w:bCs/>
                <w:color w:val="auto"/>
                <w:szCs w:val="21"/>
                <w:lang w:val="en-US" w:eastAsia="zh-CN"/>
              </w:rPr>
              <w:t>中运河姜桥水源地</w:t>
            </w:r>
            <w:r>
              <w:rPr>
                <w:b/>
                <w:bCs/>
                <w:color w:val="auto"/>
                <w:szCs w:val="21"/>
              </w:rPr>
              <w:t>区域一览表</w:t>
            </w:r>
          </w:p>
          <w:tbl>
            <w:tblPr>
              <w:tblStyle w:val="30"/>
              <w:tblW w:w="494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86"/>
              <w:gridCol w:w="881"/>
              <w:gridCol w:w="5757"/>
            </w:tblGrid>
            <w:tr w14:paraId="7490DE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3" w:type="pct"/>
                  <w:tcBorders>
                    <w:top w:val="single" w:color="auto" w:sz="12" w:space="0"/>
                  </w:tcBorders>
                  <w:noWrap w:val="0"/>
                  <w:vAlign w:val="center"/>
                </w:tcPr>
                <w:p w14:paraId="6779EF14">
                  <w:pPr>
                    <w:adjustRightInd w:val="0"/>
                    <w:snapToGrid w:val="0"/>
                    <w:spacing w:line="280" w:lineRule="exact"/>
                    <w:jc w:val="center"/>
                    <w:rPr>
                      <w:b/>
                      <w:bCs/>
                      <w:color w:val="auto"/>
                      <w:szCs w:val="21"/>
                    </w:rPr>
                  </w:pPr>
                  <w:r>
                    <w:rPr>
                      <w:b/>
                      <w:bCs/>
                      <w:color w:val="auto"/>
                      <w:szCs w:val="21"/>
                    </w:rPr>
                    <w:t>名称</w:t>
                  </w:r>
                </w:p>
              </w:tc>
              <w:tc>
                <w:tcPr>
                  <w:tcW w:w="570" w:type="pct"/>
                  <w:tcBorders>
                    <w:top w:val="single" w:color="auto" w:sz="12" w:space="0"/>
                  </w:tcBorders>
                  <w:noWrap w:val="0"/>
                  <w:vAlign w:val="center"/>
                </w:tcPr>
                <w:p w14:paraId="48F2C1C4">
                  <w:pPr>
                    <w:adjustRightInd w:val="0"/>
                    <w:snapToGrid w:val="0"/>
                    <w:spacing w:line="280" w:lineRule="exact"/>
                    <w:jc w:val="center"/>
                    <w:rPr>
                      <w:b/>
                      <w:bCs/>
                      <w:color w:val="auto"/>
                      <w:szCs w:val="21"/>
                    </w:rPr>
                  </w:pPr>
                  <w:r>
                    <w:rPr>
                      <w:b/>
                      <w:bCs/>
                      <w:color w:val="auto"/>
                      <w:szCs w:val="21"/>
                    </w:rPr>
                    <w:t>主导生态功能</w:t>
                  </w:r>
                </w:p>
              </w:tc>
              <w:tc>
                <w:tcPr>
                  <w:tcW w:w="3726" w:type="pct"/>
                  <w:tcBorders>
                    <w:top w:val="single" w:color="auto" w:sz="12" w:space="0"/>
                  </w:tcBorders>
                  <w:noWrap w:val="0"/>
                  <w:vAlign w:val="center"/>
                </w:tcPr>
                <w:p w14:paraId="742EEA59">
                  <w:pPr>
                    <w:adjustRightInd w:val="0"/>
                    <w:snapToGrid w:val="0"/>
                    <w:spacing w:line="280" w:lineRule="exact"/>
                    <w:jc w:val="center"/>
                    <w:rPr>
                      <w:b/>
                      <w:bCs/>
                      <w:color w:val="auto"/>
                      <w:szCs w:val="21"/>
                    </w:rPr>
                  </w:pPr>
                  <w:r>
                    <w:rPr>
                      <w:b/>
                      <w:bCs/>
                      <w:color w:val="auto"/>
                      <w:szCs w:val="21"/>
                    </w:rPr>
                    <w:t>地理位置</w:t>
                  </w:r>
                </w:p>
              </w:tc>
            </w:tr>
            <w:tr w14:paraId="7A41A8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3" w:type="pct"/>
                  <w:tcBorders>
                    <w:bottom w:val="single" w:color="auto" w:sz="12" w:space="0"/>
                  </w:tcBorders>
                  <w:noWrap w:val="0"/>
                  <w:vAlign w:val="center"/>
                </w:tcPr>
                <w:p w14:paraId="52D1121A">
                  <w:pPr>
                    <w:jc w:val="center"/>
                    <w:rPr>
                      <w:color w:val="auto"/>
                      <w:szCs w:val="21"/>
                    </w:rPr>
                  </w:pPr>
                  <w:r>
                    <w:rPr>
                      <w:color w:val="auto"/>
                      <w:szCs w:val="21"/>
                      <w:highlight w:val="none"/>
                    </w:rPr>
                    <w:t>泗阳县中运河</w:t>
                  </w:r>
                  <w:r>
                    <w:rPr>
                      <w:rFonts w:hint="eastAsia"/>
                      <w:color w:val="auto"/>
                      <w:szCs w:val="21"/>
                      <w:highlight w:val="none"/>
                      <w:lang w:val="en-US" w:eastAsia="zh-CN"/>
                    </w:rPr>
                    <w:t>姜桥水源地</w:t>
                  </w:r>
                </w:p>
              </w:tc>
              <w:tc>
                <w:tcPr>
                  <w:tcW w:w="570" w:type="pct"/>
                  <w:tcBorders>
                    <w:bottom w:val="single" w:color="auto" w:sz="12" w:space="0"/>
                  </w:tcBorders>
                  <w:noWrap w:val="0"/>
                  <w:vAlign w:val="center"/>
                </w:tcPr>
                <w:p w14:paraId="41D3F083">
                  <w:pPr>
                    <w:widowControl/>
                    <w:jc w:val="center"/>
                    <w:rPr>
                      <w:color w:val="auto"/>
                      <w:szCs w:val="21"/>
                    </w:rPr>
                  </w:pPr>
                  <w:r>
                    <w:rPr>
                      <w:color w:val="auto"/>
                      <w:szCs w:val="21"/>
                    </w:rPr>
                    <w:t>水源水质保护</w:t>
                  </w:r>
                </w:p>
              </w:tc>
              <w:tc>
                <w:tcPr>
                  <w:tcW w:w="3726" w:type="pct"/>
                  <w:tcBorders>
                    <w:bottom w:val="single" w:color="auto" w:sz="12" w:space="0"/>
                  </w:tcBorders>
                  <w:noWrap w:val="0"/>
                  <w:vAlign w:val="center"/>
                </w:tcPr>
                <w:p w14:paraId="25924C39">
                  <w:pPr>
                    <w:widowControl/>
                    <w:rPr>
                      <w:rFonts w:hint="eastAsia"/>
                      <w:color w:val="auto"/>
                      <w:kern w:val="0"/>
                      <w:szCs w:val="21"/>
                    </w:rPr>
                  </w:pPr>
                  <w:r>
                    <w:rPr>
                      <w:rFonts w:hint="eastAsia"/>
                      <w:color w:val="auto"/>
                      <w:kern w:val="0"/>
                      <w:szCs w:val="21"/>
                    </w:rPr>
                    <w:t>一级保护区：以取水口为中心，向东1000米，向西1000米，及其两岸背水坡之间的水域范围；一级保护区水域与相对应的两岸背水坡堤脚外100米之间的陆域范围。</w:t>
                  </w:r>
                </w:p>
                <w:p w14:paraId="035A6D20">
                  <w:pPr>
                    <w:widowControl/>
                    <w:rPr>
                      <w:rFonts w:hint="eastAsia" w:eastAsia="宋体"/>
                      <w:color w:val="auto"/>
                      <w:kern w:val="0"/>
                      <w:szCs w:val="21"/>
                      <w:lang w:val="en-US" w:eastAsia="zh-CN"/>
                    </w:rPr>
                  </w:pPr>
                  <w:r>
                    <w:rPr>
                      <w:rFonts w:hint="eastAsia"/>
                      <w:color w:val="auto"/>
                      <w:kern w:val="0"/>
                      <w:szCs w:val="21"/>
                    </w:rPr>
                    <w:t>二级保护区：一级保护区外向东延伸</w:t>
                  </w:r>
                  <w:r>
                    <w:rPr>
                      <w:rFonts w:hint="eastAsia"/>
                      <w:color w:val="auto"/>
                      <w:kern w:val="0"/>
                      <w:szCs w:val="21"/>
                      <w:lang w:val="en-US" w:eastAsia="zh-CN"/>
                    </w:rPr>
                    <w:t>2000</w:t>
                  </w:r>
                  <w:r>
                    <w:rPr>
                      <w:rFonts w:hint="eastAsia"/>
                      <w:color w:val="auto"/>
                      <w:kern w:val="0"/>
                      <w:szCs w:val="21"/>
                    </w:rPr>
                    <w:t>米，向西延伸2000米</w:t>
                  </w:r>
                  <w:r>
                    <w:rPr>
                      <w:rFonts w:hint="eastAsia"/>
                      <w:color w:val="auto"/>
                      <w:kern w:val="0"/>
                      <w:szCs w:val="21"/>
                      <w:lang w:eastAsia="zh-CN"/>
                    </w:rPr>
                    <w:t>，</w:t>
                  </w:r>
                  <w:r>
                    <w:rPr>
                      <w:rFonts w:hint="eastAsia"/>
                      <w:color w:val="auto"/>
                      <w:kern w:val="0"/>
                      <w:szCs w:val="21"/>
                      <w:lang w:val="en-US" w:eastAsia="zh-CN"/>
                    </w:rPr>
                    <w:t>以及与之平交的成子河上溯950米</w:t>
                  </w:r>
                  <w:r>
                    <w:rPr>
                      <w:rFonts w:hint="eastAsia"/>
                      <w:color w:val="auto"/>
                      <w:kern w:val="0"/>
                      <w:szCs w:val="21"/>
                    </w:rPr>
                    <w:t>的水域范围；二级保护区水域与相对应的两岸背水坡堤脚外100米之间的陆域范围</w:t>
                  </w:r>
                  <w:r>
                    <w:rPr>
                      <w:rFonts w:hint="eastAsia"/>
                      <w:color w:val="auto"/>
                      <w:kern w:val="0"/>
                      <w:szCs w:val="21"/>
                      <w:lang w:eastAsia="zh-CN"/>
                    </w:rPr>
                    <w:t>。</w:t>
                  </w:r>
                </w:p>
              </w:tc>
            </w:tr>
          </w:tbl>
          <w:p w14:paraId="3204A3B6">
            <w:pPr>
              <w:adjustRightInd w:val="0"/>
              <w:snapToGrid w:val="0"/>
              <w:spacing w:line="360" w:lineRule="auto"/>
              <w:ind w:firstLine="417" w:firstLineChars="199"/>
              <w:rPr>
                <w:rFonts w:hint="default" w:eastAsia="宋体"/>
                <w:color w:val="auto"/>
                <w:szCs w:val="21"/>
                <w:highlight w:val="none"/>
                <w:lang w:val="en-US" w:eastAsia="zh-CN"/>
              </w:rPr>
            </w:pPr>
          </w:p>
        </w:tc>
      </w:tr>
    </w:tbl>
    <w:p w14:paraId="3EDDDBA8">
      <w:pPr>
        <w:spacing w:line="360" w:lineRule="auto"/>
        <w:rPr>
          <w:rFonts w:eastAsia="黑体"/>
          <w:color w:val="FF0000"/>
          <w:sz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7ADAEA4">
      <w:pPr>
        <w:pStyle w:val="25"/>
        <w:jc w:val="center"/>
        <w:outlineLvl w:val="0"/>
        <w:rPr>
          <w:rFonts w:ascii="黑体" w:hAnsi="黑体" w:eastAsia="黑体"/>
          <w:snapToGrid w:val="0"/>
          <w:color w:val="auto"/>
          <w:sz w:val="30"/>
          <w:szCs w:val="30"/>
          <w:highlight w:val="none"/>
        </w:rPr>
      </w:pPr>
      <w:bookmarkStart w:id="16" w:name="_Toc20960"/>
      <w:bookmarkStart w:id="17" w:name="_Toc24976"/>
      <w:r>
        <w:rPr>
          <w:rFonts w:hint="eastAsia" w:ascii="黑体" w:hAnsi="黑体" w:eastAsia="黑体"/>
          <w:snapToGrid w:val="0"/>
          <w:color w:val="auto"/>
          <w:sz w:val="30"/>
          <w:szCs w:val="30"/>
          <w:highlight w:val="none"/>
        </w:rPr>
        <w:t>二、建设项目工程分析</w:t>
      </w:r>
      <w:bookmarkEnd w:id="16"/>
      <w:bookmarkEnd w:id="17"/>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138"/>
      </w:tblGrid>
      <w:tr w14:paraId="2D9A0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46" w:type="dxa"/>
            <w:vAlign w:val="center"/>
          </w:tcPr>
          <w:p w14:paraId="75A88CCB">
            <w:pPr>
              <w:pStyle w:val="25"/>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138" w:type="dxa"/>
          </w:tcPr>
          <w:p w14:paraId="0BE83279">
            <w:pPr>
              <w:widowControl/>
              <w:tabs>
                <w:tab w:val="left" w:pos="960"/>
              </w:tabs>
              <w:spacing w:line="360" w:lineRule="auto"/>
              <w:rPr>
                <w:b/>
                <w:bCs/>
                <w:color w:val="auto"/>
                <w:spacing w:val="-4"/>
                <w:szCs w:val="21"/>
                <w:highlight w:val="none"/>
              </w:rPr>
            </w:pPr>
            <w:r>
              <w:rPr>
                <w:rFonts w:hint="eastAsia"/>
                <w:b/>
                <w:bCs/>
                <w:color w:val="auto"/>
                <w:highlight w:val="none"/>
              </w:rPr>
              <w:t>1、</w:t>
            </w:r>
            <w:r>
              <w:rPr>
                <w:b/>
                <w:bCs/>
                <w:color w:val="auto"/>
                <w:spacing w:val="-4"/>
                <w:szCs w:val="21"/>
                <w:highlight w:val="none"/>
              </w:rPr>
              <w:t>项目来源</w:t>
            </w:r>
          </w:p>
          <w:p w14:paraId="51F66B2C">
            <w:pPr>
              <w:widowControl/>
              <w:spacing w:line="360" w:lineRule="auto"/>
              <w:ind w:firstLine="420" w:firstLineChars="200"/>
              <w:jc w:val="left"/>
              <w:rPr>
                <w:color w:val="auto"/>
                <w:highlight w:val="none"/>
              </w:rPr>
            </w:pPr>
            <w:r>
              <w:rPr>
                <w:rFonts w:hint="eastAsia"/>
                <w:color w:val="auto"/>
                <w:highlight w:val="none"/>
                <w:lang w:eastAsia="zh-CN"/>
              </w:rPr>
              <w:t>江苏裕强金属制造有限公司</w:t>
            </w:r>
            <w:r>
              <w:rPr>
                <w:rFonts w:hint="eastAsia"/>
                <w:color w:val="auto"/>
                <w:highlight w:val="none"/>
                <w:lang w:val="en-US" w:eastAsia="zh-CN"/>
              </w:rPr>
              <w:t>位于泗阳县李口镇</w:t>
            </w:r>
            <w:r>
              <w:rPr>
                <w:rFonts w:hint="eastAsia"/>
                <w:color w:val="auto"/>
                <w:szCs w:val="21"/>
                <w:highlight w:val="none"/>
                <w:lang w:val="en-US" w:eastAsia="zh-CN"/>
              </w:rPr>
              <w:t>全民创业园</w:t>
            </w:r>
            <w:r>
              <w:rPr>
                <w:rFonts w:hint="eastAsia"/>
                <w:color w:val="auto"/>
                <w:highlight w:val="none"/>
                <w:lang w:val="en-US" w:eastAsia="zh-CN"/>
              </w:rPr>
              <w:t>广州路3号</w:t>
            </w:r>
            <w:r>
              <w:rPr>
                <w:rFonts w:hint="default" w:ascii="Times New Roman" w:hAnsi="Times New Roman" w:cs="Times New Roman"/>
                <w:color w:val="auto"/>
                <w:highlight w:val="none"/>
              </w:rPr>
              <w:t>，成立于201</w:t>
            </w:r>
            <w:r>
              <w:rPr>
                <w:rFonts w:hint="eastAsia" w:cs="Times New Roman"/>
                <w:color w:val="auto"/>
                <w:highlight w:val="none"/>
                <w:lang w:val="en-US" w:eastAsia="zh-CN"/>
              </w:rPr>
              <w:t>3</w:t>
            </w:r>
            <w:r>
              <w:rPr>
                <w:rFonts w:hint="default" w:ascii="Times New Roman" w:hAnsi="Times New Roman" w:cs="Times New Roman"/>
                <w:color w:val="auto"/>
                <w:highlight w:val="none"/>
              </w:rPr>
              <w:t>年</w:t>
            </w:r>
            <w:r>
              <w:rPr>
                <w:rFonts w:hint="eastAsia" w:cs="Times New Roman"/>
                <w:color w:val="auto"/>
                <w:highlight w:val="none"/>
                <w:lang w:val="en-US" w:eastAsia="zh-CN"/>
              </w:rPr>
              <w:t>7</w:t>
            </w:r>
            <w:r>
              <w:rPr>
                <w:rFonts w:hint="default" w:ascii="Times New Roman" w:hAnsi="Times New Roman" w:cs="Times New Roman"/>
                <w:color w:val="auto"/>
                <w:highlight w:val="none"/>
              </w:rPr>
              <w:t>月，企业现</w:t>
            </w:r>
            <w:r>
              <w:rPr>
                <w:rFonts w:hint="eastAsia" w:cs="Times New Roman"/>
                <w:color w:val="auto"/>
                <w:highlight w:val="none"/>
                <w:lang w:val="en-US" w:eastAsia="zh-CN"/>
              </w:rPr>
              <w:t>拟</w:t>
            </w:r>
            <w:r>
              <w:rPr>
                <w:rFonts w:hint="default" w:ascii="Times New Roman" w:hAnsi="Times New Roman" w:cs="Times New Roman"/>
                <w:color w:val="auto"/>
                <w:highlight w:val="none"/>
              </w:rPr>
              <w:t>投资</w:t>
            </w:r>
            <w:r>
              <w:rPr>
                <w:rFonts w:hint="eastAsia" w:cs="Times New Roman"/>
                <w:color w:val="auto"/>
                <w:highlight w:val="none"/>
                <w:lang w:val="en-US" w:eastAsia="zh-CN"/>
              </w:rPr>
              <w:t>8</w:t>
            </w:r>
            <w:r>
              <w:rPr>
                <w:rFonts w:hint="default" w:ascii="Times New Roman" w:hAnsi="Times New Roman" w:cs="Times New Roman"/>
                <w:color w:val="auto"/>
                <w:highlight w:val="none"/>
              </w:rPr>
              <w:t>00万元拟</w:t>
            </w:r>
            <w:r>
              <w:rPr>
                <w:rFonts w:hint="eastAsia" w:cs="Times New Roman"/>
                <w:color w:val="auto"/>
                <w:highlight w:val="none"/>
                <w:lang w:val="en-US" w:eastAsia="zh-CN"/>
              </w:rPr>
              <w:t>在厂内西南角空地，新建6#厂房扩建年产5万个碳烤炉扩建项目，</w:t>
            </w:r>
            <w:r>
              <w:rPr>
                <w:rFonts w:hint="eastAsia"/>
                <w:lang w:val="en-US" w:eastAsia="zh-CN"/>
              </w:rPr>
              <w:t>对厂区现有项目生产的碳烤炉进行表面处理</w:t>
            </w:r>
            <w:r>
              <w:rPr>
                <w:rFonts w:hint="default" w:ascii="Times New Roman" w:hAnsi="Times New Roman" w:cs="Times New Roman"/>
                <w:color w:val="auto"/>
                <w:highlight w:val="none"/>
              </w:rPr>
              <w:t>。该项目已于2023年</w:t>
            </w:r>
            <w:r>
              <w:rPr>
                <w:rFonts w:hint="eastAsia" w:cs="Times New Roman"/>
                <w:color w:val="auto"/>
                <w:highlight w:val="none"/>
                <w:lang w:val="en-US" w:eastAsia="zh-CN"/>
              </w:rPr>
              <w:t>11</w:t>
            </w:r>
            <w:r>
              <w:rPr>
                <w:rFonts w:hint="default" w:ascii="Times New Roman" w:hAnsi="Times New Roman" w:cs="Times New Roman"/>
                <w:color w:val="auto"/>
                <w:highlight w:val="none"/>
              </w:rPr>
              <w:t>月</w:t>
            </w:r>
            <w:r>
              <w:rPr>
                <w:rFonts w:hint="eastAsia" w:cs="Times New Roman"/>
                <w:color w:val="auto"/>
                <w:highlight w:val="none"/>
                <w:lang w:val="en-US" w:eastAsia="zh-CN"/>
              </w:rPr>
              <w:t>08</w:t>
            </w:r>
            <w:r>
              <w:rPr>
                <w:rFonts w:hint="default" w:ascii="Times New Roman" w:hAnsi="Times New Roman" w:cs="Times New Roman"/>
                <w:color w:val="auto"/>
                <w:highlight w:val="none"/>
              </w:rPr>
              <w:t>日取得</w:t>
            </w:r>
            <w:r>
              <w:rPr>
                <w:rFonts w:hint="eastAsia"/>
                <w:color w:val="auto"/>
                <w:szCs w:val="21"/>
                <w:highlight w:val="none"/>
              </w:rPr>
              <w:t>泗阳</w:t>
            </w:r>
            <w:r>
              <w:rPr>
                <w:rFonts w:hint="eastAsia"/>
                <w:color w:val="auto"/>
                <w:szCs w:val="21"/>
                <w:highlight w:val="none"/>
                <w:lang w:val="en-US" w:eastAsia="zh-CN"/>
              </w:rPr>
              <w:t>县行政审批局</w:t>
            </w:r>
            <w:r>
              <w:rPr>
                <w:rFonts w:hint="default" w:ascii="Times New Roman" w:hAnsi="Times New Roman" w:cs="Times New Roman"/>
                <w:color w:val="auto"/>
                <w:highlight w:val="none"/>
              </w:rPr>
              <w:t>备案（备案文号：</w:t>
            </w:r>
            <w:r>
              <w:rPr>
                <w:rFonts w:hint="default" w:ascii="Times New Roman" w:hAnsi="Times New Roman" w:cs="Times New Roman"/>
                <w:color w:val="auto"/>
                <w:highlight w:val="none"/>
                <w:lang w:val="en-US" w:eastAsia="zh-CN"/>
              </w:rPr>
              <w:t>泗</w:t>
            </w:r>
            <w:r>
              <w:rPr>
                <w:rFonts w:hint="eastAsia" w:cs="Times New Roman"/>
                <w:color w:val="auto"/>
                <w:highlight w:val="none"/>
                <w:lang w:val="en-US" w:eastAsia="zh-CN"/>
              </w:rPr>
              <w:t>阳行审备</w:t>
            </w:r>
            <w:r>
              <w:rPr>
                <w:rFonts w:hint="default" w:ascii="Times New Roman" w:hAnsi="Times New Roman" w:cs="Times New Roman"/>
                <w:color w:val="auto"/>
                <w:highlight w:val="none"/>
                <w:lang w:val="en-US" w:eastAsia="zh-CN"/>
              </w:rPr>
              <w:t>〔2023〕</w:t>
            </w:r>
            <w:r>
              <w:rPr>
                <w:rFonts w:hint="eastAsia" w:cs="Times New Roman"/>
                <w:color w:val="auto"/>
                <w:highlight w:val="none"/>
                <w:lang w:val="en-US" w:eastAsia="zh-CN"/>
              </w:rPr>
              <w:t>290</w:t>
            </w:r>
            <w:r>
              <w:rPr>
                <w:rFonts w:hint="default" w:ascii="Times New Roman" w:hAnsi="Times New Roman" w:cs="Times New Roman"/>
                <w:color w:val="auto"/>
                <w:highlight w:val="none"/>
                <w:lang w:val="en-US" w:eastAsia="zh-CN"/>
              </w:rPr>
              <w:t>号</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目前项目暂未开工建设。</w:t>
            </w:r>
          </w:p>
          <w:p w14:paraId="6F147662">
            <w:pPr>
              <w:widowControl/>
              <w:spacing w:line="360" w:lineRule="auto"/>
              <w:ind w:firstLine="420" w:firstLineChars="200"/>
              <w:jc w:val="left"/>
              <w:rPr>
                <w:rFonts w:hint="eastAsia"/>
                <w:color w:val="auto"/>
                <w:highlight w:val="none"/>
              </w:rPr>
            </w:pPr>
            <w:r>
              <w:rPr>
                <w:rFonts w:hint="eastAsia"/>
                <w:color w:val="auto"/>
                <w:highlight w:val="none"/>
              </w:rPr>
              <w:t>根据《中华人民共和国环境保护法》（2015.1.1）、《中华人民共和国环境影响评价法》（2018.12.29）、《建设项目环境保护管理条例》（2017.10.1）以及其它相关建设项目环境保护管理的规定，要求本项目进行环境影响评价。根据《建设项目环境影响评价分类管理名录（2021年版）》（生态环境部 部令第16号）规定，本项目类别属于</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三十</w:t>
            </w:r>
            <w:r>
              <w:rPr>
                <w:rFonts w:hint="eastAsia" w:ascii="宋体" w:hAnsi="宋体" w:cs="宋体"/>
                <w:bCs/>
                <w:color w:val="auto"/>
                <w:szCs w:val="21"/>
                <w:highlight w:val="none"/>
              </w:rPr>
              <w:t>、</w:t>
            </w:r>
            <w:r>
              <w:rPr>
                <w:rFonts w:hint="default" w:ascii="Times New Roman" w:hAnsi="Times New Roman" w:cs="Times New Roman"/>
                <w:bCs/>
                <w:color w:val="auto"/>
                <w:szCs w:val="21"/>
                <w:highlight w:val="none"/>
                <w:lang w:val="en-US" w:eastAsia="zh-CN"/>
              </w:rPr>
              <w:t>金属制品业33-68铸造及其他金属制品制造339</w:t>
            </w:r>
            <w:r>
              <w:rPr>
                <w:rFonts w:hint="default"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lang w:val="en-US" w:eastAsia="zh-CN"/>
              </w:rPr>
              <w:t>其他（仅分割、焊接、组装的除外）</w:t>
            </w:r>
            <w:r>
              <w:rPr>
                <w:rFonts w:hint="eastAsia" w:ascii="宋体" w:hAnsi="宋体" w:cs="宋体"/>
                <w:bCs/>
                <w:color w:val="auto"/>
                <w:kern w:val="0"/>
                <w:szCs w:val="21"/>
                <w:highlight w:val="none"/>
              </w:rPr>
              <w:t>”</w:t>
            </w:r>
            <w:r>
              <w:rPr>
                <w:rFonts w:hint="eastAsia"/>
                <w:color w:val="auto"/>
                <w:highlight w:val="none"/>
              </w:rPr>
              <w:t>，需编制环境影响报告表。</w:t>
            </w:r>
          </w:p>
          <w:p w14:paraId="3C866400">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cs="Times New Roman"/>
                <w:b/>
                <w:bCs w:val="0"/>
                <w:color w:val="auto"/>
                <w:kern w:val="0"/>
                <w:sz w:val="21"/>
                <w:szCs w:val="21"/>
                <w:lang w:val="en-US" w:eastAsia="zh-CN"/>
              </w:rPr>
            </w:pPr>
            <w:r>
              <w:rPr>
                <w:rFonts w:hint="eastAsia" w:ascii="Times New Roman" w:hAnsi="Times New Roman" w:cs="Times New Roman"/>
                <w:b/>
                <w:bCs w:val="0"/>
                <w:color w:val="auto"/>
                <w:kern w:val="0"/>
                <w:sz w:val="21"/>
                <w:szCs w:val="21"/>
                <w:lang w:val="en-US" w:eastAsia="zh-CN"/>
              </w:rPr>
              <w:t>表2-1 环评类别判定表</w:t>
            </w:r>
          </w:p>
          <w:tbl>
            <w:tblPr>
              <w:tblStyle w:val="31"/>
              <w:tblW w:w="80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583"/>
              <w:gridCol w:w="3142"/>
              <w:gridCol w:w="1874"/>
              <w:gridCol w:w="855"/>
            </w:tblGrid>
            <w:tr w14:paraId="43481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gridSpan w:val="2"/>
                  <w:tcBorders>
                    <w:tl2br w:val="nil"/>
                    <w:tr2bl w:val="nil"/>
                  </w:tcBorders>
                  <w:noWrap w:val="0"/>
                  <w:vAlign w:val="center"/>
                </w:tcPr>
                <w:p w14:paraId="2B40D5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vertAlign w:val="baseline"/>
                      <w:lang w:val="en-US" w:eastAsia="zh-CN"/>
                    </w:rPr>
                  </w:pPr>
                  <w:r>
                    <w:rPr>
                      <w:b/>
                      <w:bCs/>
                      <w:sz w:val="21"/>
                    </w:rPr>
                    <mc:AlternateContent>
                      <mc:Choice Requires="wps">
                        <w:drawing>
                          <wp:anchor distT="0" distB="0" distL="114300" distR="114300" simplePos="0" relativeHeight="251659264" behindDoc="0" locked="0" layoutInCell="1" allowOverlap="1">
                            <wp:simplePos x="0" y="0"/>
                            <wp:positionH relativeFrom="column">
                              <wp:posOffset>-63500</wp:posOffset>
                            </wp:positionH>
                            <wp:positionV relativeFrom="paragraph">
                              <wp:posOffset>6985</wp:posOffset>
                            </wp:positionV>
                            <wp:extent cx="1362710" cy="325120"/>
                            <wp:effectExtent l="1270" t="4445" r="7620" b="13335"/>
                            <wp:wrapNone/>
                            <wp:docPr id="5" name="直接连接符 5"/>
                            <wp:cNvGraphicFramePr/>
                            <a:graphic xmlns:a="http://schemas.openxmlformats.org/drawingml/2006/main">
                              <a:graphicData uri="http://schemas.microsoft.com/office/word/2010/wordprocessingShape">
                                <wps:wsp>
                                  <wps:cNvCnPr/>
                                  <wps:spPr>
                                    <a:xfrm>
                                      <a:off x="0" y="0"/>
                                      <a:ext cx="1362710" cy="325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pt;margin-top:0.55pt;height:25.6pt;width:107.3pt;z-index:251659264;mso-width-relative:page;mso-height-relative:page;" filled="f" stroked="t" coordsize="21600,21600" o:gfxdata="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JrCcLWAAAACAEAAA8AAAAAAAAAAQAgAAAAIgAAAGRycy9kb3ducmV2Lnht&#10;bFBLAQIUABQAAAAIAIdO4kDWjf64+wEAAOkDAAAOAAAAAAAAAAEAIAAAACUBAABkcnMvZTJvRG9j&#10;LnhtbFBLBQYAAAAABgAGAFkBAACSBQAAAAA=&#10;">
                            <v:fill on="f" focussize="0,0"/>
                            <v:stroke color="#000000" joinstyle="round"/>
                            <v:imagedata o:title=""/>
                            <o:lock v:ext="edit" aspectratio="f"/>
                          </v:line>
                        </w:pict>
                      </mc:Fallback>
                    </mc:AlternateContent>
                  </w:r>
                  <w:r>
                    <w:rPr>
                      <w:rFonts w:hint="eastAsia" w:ascii="Times New Roman" w:hAnsi="Times New Roman" w:cs="Times New Roman"/>
                      <w:b/>
                      <w:bCs/>
                      <w:kern w:val="0"/>
                      <w:sz w:val="21"/>
                      <w:szCs w:val="21"/>
                      <w:vertAlign w:val="baseline"/>
                      <w:lang w:val="en-US" w:eastAsia="zh-CN"/>
                    </w:rPr>
                    <w:t xml:space="preserve">          环评类别</w:t>
                  </w:r>
                </w:p>
                <w:p w14:paraId="7812D45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项目类别</w:t>
                  </w:r>
                </w:p>
              </w:tc>
              <w:tc>
                <w:tcPr>
                  <w:tcW w:w="3142" w:type="dxa"/>
                  <w:tcBorders>
                    <w:tl2br w:val="nil"/>
                    <w:tr2bl w:val="nil"/>
                  </w:tcBorders>
                  <w:noWrap w:val="0"/>
                  <w:vAlign w:val="center"/>
                </w:tcPr>
                <w:p w14:paraId="4206F1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报告书</w:t>
                  </w:r>
                </w:p>
              </w:tc>
              <w:tc>
                <w:tcPr>
                  <w:tcW w:w="1874" w:type="dxa"/>
                  <w:tcBorders>
                    <w:tl2br w:val="nil"/>
                    <w:tr2bl w:val="nil"/>
                  </w:tcBorders>
                  <w:noWrap w:val="0"/>
                  <w:vAlign w:val="center"/>
                </w:tcPr>
                <w:p w14:paraId="3E9A98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报告表</w:t>
                  </w:r>
                </w:p>
              </w:tc>
              <w:tc>
                <w:tcPr>
                  <w:tcW w:w="855" w:type="dxa"/>
                  <w:tcBorders>
                    <w:tl2br w:val="nil"/>
                    <w:tr2bl w:val="nil"/>
                  </w:tcBorders>
                  <w:noWrap w:val="0"/>
                  <w:vAlign w:val="center"/>
                </w:tcPr>
                <w:p w14:paraId="42CF19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登记表</w:t>
                  </w:r>
                </w:p>
              </w:tc>
            </w:tr>
            <w:tr w14:paraId="662FE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19" w:type="dxa"/>
                  <w:gridSpan w:val="5"/>
                  <w:tcBorders>
                    <w:tl2br w:val="nil"/>
                    <w:tr2bl w:val="nil"/>
                  </w:tcBorders>
                  <w:noWrap w:val="0"/>
                  <w:vAlign w:val="center"/>
                </w:tcPr>
                <w:p w14:paraId="61FFA22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Cs/>
                      <w:kern w:val="0"/>
                      <w:sz w:val="21"/>
                      <w:szCs w:val="21"/>
                      <w:vertAlign w:val="baseline"/>
                      <w:lang w:val="en-US" w:eastAsia="zh-CN"/>
                    </w:rPr>
                  </w:pPr>
                  <w:r>
                    <w:rPr>
                      <w:rFonts w:hint="eastAsia" w:ascii="Times New Roman" w:hAnsi="Times New Roman" w:cs="Times New Roman"/>
                      <w:bCs/>
                      <w:kern w:val="0"/>
                      <w:sz w:val="21"/>
                      <w:szCs w:val="21"/>
                      <w:vertAlign w:val="baseline"/>
                      <w:lang w:val="en-US" w:eastAsia="zh-CN"/>
                    </w:rPr>
                    <w:t>三十、金属制造业 33</w:t>
                  </w:r>
                </w:p>
              </w:tc>
            </w:tr>
            <w:tr w14:paraId="56A22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tcBorders>
                    <w:tl2br w:val="nil"/>
                    <w:tr2bl w:val="nil"/>
                  </w:tcBorders>
                  <w:noWrap w:val="0"/>
                  <w:vAlign w:val="center"/>
                </w:tcPr>
                <w:p w14:paraId="0306AB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eastAsia" w:ascii="Times New Roman" w:hAnsi="Times New Roman" w:cs="Times New Roman"/>
                      <w:bCs/>
                      <w:kern w:val="0"/>
                      <w:sz w:val="21"/>
                      <w:szCs w:val="21"/>
                      <w:vertAlign w:val="baseline"/>
                      <w:lang w:val="en-US" w:eastAsia="zh-CN"/>
                    </w:rPr>
                    <w:t>67</w:t>
                  </w:r>
                </w:p>
              </w:tc>
              <w:tc>
                <w:tcPr>
                  <w:tcW w:w="1583" w:type="dxa"/>
                  <w:tcBorders>
                    <w:tl2br w:val="nil"/>
                    <w:tr2bl w:val="nil"/>
                  </w:tcBorders>
                  <w:noWrap w:val="0"/>
                  <w:vAlign w:val="center"/>
                </w:tcPr>
                <w:p w14:paraId="26D7BE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eastAsia" w:ascii="Times New Roman" w:hAnsi="Times New Roman" w:cs="Times New Roman"/>
                      <w:bCs/>
                      <w:kern w:val="0"/>
                      <w:sz w:val="21"/>
                      <w:szCs w:val="21"/>
                      <w:vertAlign w:val="baseline"/>
                      <w:lang w:val="en-US" w:eastAsia="zh-CN"/>
                    </w:rPr>
                    <w:t>金属表面处理及热处理加工</w:t>
                  </w:r>
                </w:p>
              </w:tc>
              <w:tc>
                <w:tcPr>
                  <w:tcW w:w="3142" w:type="dxa"/>
                  <w:tcBorders>
                    <w:tl2br w:val="nil"/>
                    <w:tr2bl w:val="nil"/>
                  </w:tcBorders>
                  <w:noWrap w:val="0"/>
                  <w:vAlign w:val="center"/>
                </w:tcPr>
                <w:p w14:paraId="3B37884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有电镀工艺的</w:t>
                  </w:r>
                  <w:r>
                    <w:rPr>
                      <w:rFonts w:hint="eastAsia" w:ascii="Times New Roman" w:hAnsi="Times New Roman" w:cs="Times New Roman"/>
                      <w:bCs/>
                      <w:kern w:val="0"/>
                      <w:sz w:val="21"/>
                      <w:szCs w:val="21"/>
                      <w:vertAlign w:val="baseline"/>
                      <w:lang w:val="en-US" w:eastAsia="zh-CN"/>
                    </w:rPr>
                    <w:t>；</w:t>
                  </w:r>
                  <w:r>
                    <w:rPr>
                      <w:rFonts w:hint="default" w:ascii="Times New Roman" w:hAnsi="Times New Roman" w:cs="Times New Roman"/>
                      <w:bCs/>
                      <w:kern w:val="0"/>
                      <w:sz w:val="21"/>
                      <w:szCs w:val="21"/>
                      <w:vertAlign w:val="baseline"/>
                      <w:lang w:val="en-US" w:eastAsia="zh-CN"/>
                    </w:rPr>
                    <w:t>有钝化工艺的热镀锌</w:t>
                  </w:r>
                  <w:r>
                    <w:rPr>
                      <w:rFonts w:hint="eastAsia" w:ascii="Times New Roman" w:hAnsi="Times New Roman" w:cs="Times New Roman"/>
                      <w:bCs/>
                      <w:kern w:val="0"/>
                      <w:sz w:val="21"/>
                      <w:szCs w:val="21"/>
                      <w:vertAlign w:val="baseline"/>
                      <w:lang w:val="en-US" w:eastAsia="zh-CN"/>
                    </w:rPr>
                    <w:t>；</w:t>
                  </w:r>
                  <w:r>
                    <w:rPr>
                      <w:rFonts w:hint="default" w:ascii="Times New Roman" w:hAnsi="Times New Roman" w:cs="Times New Roman"/>
                      <w:bCs/>
                      <w:kern w:val="0"/>
                      <w:sz w:val="21"/>
                      <w:szCs w:val="21"/>
                      <w:vertAlign w:val="baseline"/>
                      <w:lang w:val="en-US" w:eastAsia="zh-CN"/>
                    </w:rPr>
                    <w:t>使用有机涂层的</w:t>
                  </w:r>
                  <w:r>
                    <w:rPr>
                      <w:rFonts w:hint="eastAsia" w:ascii="Times New Roman" w:hAnsi="Times New Roman" w:cs="Times New Roman"/>
                      <w:bCs/>
                      <w:kern w:val="0"/>
                      <w:sz w:val="21"/>
                      <w:szCs w:val="21"/>
                      <w:vertAlign w:val="baseline"/>
                      <w:lang w:val="en-US" w:eastAsia="zh-CN"/>
                    </w:rPr>
                    <w:t>（</w:t>
                  </w:r>
                  <w:r>
                    <w:rPr>
                      <w:rFonts w:hint="default" w:ascii="Times New Roman" w:hAnsi="Times New Roman" w:cs="Times New Roman"/>
                      <w:bCs/>
                      <w:kern w:val="0"/>
                      <w:sz w:val="21"/>
                      <w:szCs w:val="21"/>
                      <w:vertAlign w:val="baseline"/>
                      <w:lang w:val="en-US" w:eastAsia="zh-CN"/>
                    </w:rPr>
                    <w:t>喷粉、喷塑、浸塑和电泳除外</w:t>
                  </w:r>
                  <w:r>
                    <w:rPr>
                      <w:rFonts w:hint="eastAsia" w:ascii="Times New Roman" w:hAnsi="Times New Roman" w:cs="Times New Roman"/>
                      <w:bCs/>
                      <w:kern w:val="0"/>
                      <w:sz w:val="21"/>
                      <w:szCs w:val="21"/>
                      <w:vertAlign w:val="baseline"/>
                      <w:lang w:val="en-US" w:eastAsia="zh-CN"/>
                    </w:rPr>
                    <w:t>；</w:t>
                  </w:r>
                  <w:r>
                    <w:rPr>
                      <w:rFonts w:hint="default" w:ascii="Times New Roman" w:hAnsi="Times New Roman" w:cs="Times New Roman"/>
                      <w:bCs/>
                      <w:kern w:val="0"/>
                      <w:sz w:val="21"/>
                      <w:szCs w:val="21"/>
                      <w:vertAlign w:val="baseline"/>
                      <w:lang w:val="en-US" w:eastAsia="zh-CN"/>
                    </w:rPr>
                    <w:t>年用溶剂型涂料</w:t>
                  </w:r>
                  <w:r>
                    <w:rPr>
                      <w:rFonts w:hint="eastAsia" w:ascii="Times New Roman" w:hAnsi="Times New Roman" w:cs="Times New Roman"/>
                      <w:bCs/>
                      <w:kern w:val="0"/>
                      <w:sz w:val="21"/>
                      <w:szCs w:val="21"/>
                      <w:vertAlign w:val="baseline"/>
                      <w:lang w:val="en-US" w:eastAsia="zh-CN"/>
                    </w:rPr>
                    <w:t>（</w:t>
                  </w:r>
                  <w:r>
                    <w:rPr>
                      <w:rFonts w:hint="default" w:ascii="Times New Roman" w:hAnsi="Times New Roman" w:cs="Times New Roman"/>
                      <w:bCs/>
                      <w:kern w:val="0"/>
                      <w:sz w:val="21"/>
                      <w:szCs w:val="21"/>
                      <w:vertAlign w:val="baseline"/>
                      <w:lang w:val="en-US" w:eastAsia="zh-CN"/>
                    </w:rPr>
                    <w:t>含稀释剂</w:t>
                  </w:r>
                  <w:r>
                    <w:rPr>
                      <w:rFonts w:hint="eastAsia" w:ascii="Times New Roman" w:hAnsi="Times New Roman" w:cs="Times New Roman"/>
                      <w:bCs/>
                      <w:kern w:val="0"/>
                      <w:sz w:val="21"/>
                      <w:szCs w:val="21"/>
                      <w:vertAlign w:val="baseline"/>
                      <w:lang w:val="en-US" w:eastAsia="zh-CN"/>
                    </w:rPr>
                    <w:t>）</w:t>
                  </w:r>
                  <w:r>
                    <w:rPr>
                      <w:rFonts w:hint="default" w:ascii="Times New Roman" w:hAnsi="Times New Roman" w:cs="Times New Roman"/>
                      <w:bCs/>
                      <w:kern w:val="0"/>
                      <w:sz w:val="21"/>
                      <w:szCs w:val="21"/>
                      <w:vertAlign w:val="baseline"/>
                      <w:lang w:val="en-US" w:eastAsia="zh-CN"/>
                    </w:rPr>
                    <w:t>10吨以下和用非溶剂型低V</w:t>
                  </w:r>
                  <w:r>
                    <w:rPr>
                      <w:rFonts w:hint="eastAsia" w:ascii="Times New Roman" w:hAnsi="Times New Roman" w:cs="Times New Roman"/>
                      <w:bCs/>
                      <w:kern w:val="0"/>
                      <w:sz w:val="21"/>
                      <w:szCs w:val="21"/>
                      <w:vertAlign w:val="baseline"/>
                      <w:lang w:val="en-US" w:eastAsia="zh-CN"/>
                    </w:rPr>
                    <w:t>O</w:t>
                  </w:r>
                  <w:r>
                    <w:rPr>
                      <w:rFonts w:hint="default" w:ascii="Times New Roman" w:hAnsi="Times New Roman" w:cs="Times New Roman"/>
                      <w:bCs/>
                      <w:kern w:val="0"/>
                      <w:sz w:val="21"/>
                      <w:szCs w:val="21"/>
                      <w:vertAlign w:val="baseline"/>
                      <w:lang w:val="en-US" w:eastAsia="zh-CN"/>
                    </w:rPr>
                    <w:t>Cs含量涂料的除外</w:t>
                  </w:r>
                  <w:r>
                    <w:rPr>
                      <w:rFonts w:hint="eastAsia" w:ascii="Times New Roman" w:hAnsi="Times New Roman" w:cs="Times New Roman"/>
                      <w:bCs/>
                      <w:kern w:val="0"/>
                      <w:sz w:val="21"/>
                      <w:szCs w:val="21"/>
                      <w:vertAlign w:val="baseline"/>
                      <w:lang w:val="en-US" w:eastAsia="zh-CN"/>
                    </w:rPr>
                    <w:t>）</w:t>
                  </w:r>
                </w:p>
              </w:tc>
              <w:tc>
                <w:tcPr>
                  <w:tcW w:w="1874" w:type="dxa"/>
                  <w:tcBorders>
                    <w:tl2br w:val="nil"/>
                    <w:tr2bl w:val="nil"/>
                  </w:tcBorders>
                  <w:noWrap w:val="0"/>
                  <w:vAlign w:val="center"/>
                </w:tcPr>
                <w:p w14:paraId="4FA2316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其他</w:t>
                  </w:r>
                  <w:r>
                    <w:rPr>
                      <w:rFonts w:hint="eastAsia" w:ascii="Times New Roman" w:hAnsi="Times New Roman" w:cs="Times New Roman"/>
                      <w:bCs/>
                      <w:kern w:val="0"/>
                      <w:sz w:val="21"/>
                      <w:szCs w:val="21"/>
                      <w:vertAlign w:val="baseline"/>
                      <w:lang w:val="en-US" w:eastAsia="zh-CN"/>
                    </w:rPr>
                    <w:t>（</w:t>
                  </w:r>
                  <w:r>
                    <w:rPr>
                      <w:rFonts w:hint="default" w:ascii="Times New Roman" w:hAnsi="Times New Roman" w:cs="Times New Roman"/>
                      <w:bCs/>
                      <w:kern w:val="0"/>
                      <w:sz w:val="21"/>
                      <w:szCs w:val="21"/>
                      <w:vertAlign w:val="baseline"/>
                      <w:lang w:val="en-US" w:eastAsia="zh-CN"/>
                    </w:rPr>
                    <w:t>年用非溶剂型低V</w:t>
                  </w:r>
                  <w:r>
                    <w:rPr>
                      <w:rFonts w:hint="eastAsia" w:ascii="Times New Roman" w:hAnsi="Times New Roman" w:cs="Times New Roman"/>
                      <w:bCs/>
                      <w:kern w:val="0"/>
                      <w:sz w:val="21"/>
                      <w:szCs w:val="21"/>
                      <w:vertAlign w:val="baseline"/>
                      <w:lang w:val="en-US" w:eastAsia="zh-CN"/>
                    </w:rPr>
                    <w:t>O</w:t>
                  </w:r>
                  <w:r>
                    <w:rPr>
                      <w:rFonts w:hint="default" w:ascii="Times New Roman" w:hAnsi="Times New Roman" w:cs="Times New Roman"/>
                      <w:bCs/>
                      <w:kern w:val="0"/>
                      <w:sz w:val="21"/>
                      <w:szCs w:val="21"/>
                      <w:vertAlign w:val="baseline"/>
                      <w:lang w:val="en-US" w:eastAsia="zh-CN"/>
                    </w:rPr>
                    <w:t>Cs含量涂料10吨以下的除外</w:t>
                  </w:r>
                  <w:r>
                    <w:rPr>
                      <w:rFonts w:hint="eastAsia" w:ascii="Times New Roman" w:hAnsi="Times New Roman" w:cs="Times New Roman"/>
                      <w:bCs/>
                      <w:kern w:val="0"/>
                      <w:sz w:val="21"/>
                      <w:szCs w:val="21"/>
                      <w:vertAlign w:val="baseline"/>
                      <w:lang w:val="en-US" w:eastAsia="zh-CN"/>
                    </w:rPr>
                    <w:t>）</w:t>
                  </w:r>
                </w:p>
              </w:tc>
              <w:tc>
                <w:tcPr>
                  <w:tcW w:w="855" w:type="dxa"/>
                  <w:tcBorders>
                    <w:tl2br w:val="nil"/>
                    <w:tr2bl w:val="nil"/>
                  </w:tcBorders>
                  <w:noWrap w:val="0"/>
                  <w:vAlign w:val="center"/>
                </w:tcPr>
                <w:p w14:paraId="77D86E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eastAsia" w:ascii="Times New Roman" w:hAnsi="Times New Roman" w:cs="Times New Roman"/>
                      <w:bCs/>
                      <w:kern w:val="0"/>
                      <w:sz w:val="21"/>
                      <w:szCs w:val="21"/>
                      <w:vertAlign w:val="baseline"/>
                      <w:lang w:val="en-US" w:eastAsia="zh-CN"/>
                    </w:rPr>
                    <w:t>/</w:t>
                  </w:r>
                </w:p>
              </w:tc>
            </w:tr>
          </w:tbl>
          <w:p w14:paraId="77A27686">
            <w:pPr>
              <w:keepNext w:val="0"/>
              <w:keepLines w:val="0"/>
              <w:pageBreakBefore w:val="0"/>
              <w:widowControl/>
              <w:tabs>
                <w:tab w:val="left" w:pos="960"/>
              </w:tabs>
              <w:kinsoku/>
              <w:wordWrap/>
              <w:overflowPunct/>
              <w:topLinePunct w:val="0"/>
              <w:autoSpaceDE/>
              <w:autoSpaceDN/>
              <w:bidi w:val="0"/>
              <w:adjustRightInd/>
              <w:snapToGrid/>
              <w:spacing w:before="157" w:beforeLines="50" w:line="360" w:lineRule="auto"/>
              <w:textAlignment w:val="auto"/>
              <w:rPr>
                <w:color w:val="auto"/>
                <w:highlight w:val="none"/>
              </w:rPr>
            </w:pPr>
            <w:r>
              <w:rPr>
                <w:rFonts w:hint="eastAsia"/>
                <w:b/>
                <w:bCs/>
                <w:color w:val="auto"/>
                <w:highlight w:val="none"/>
              </w:rPr>
              <w:t>2、建设内容</w:t>
            </w:r>
          </w:p>
          <w:p w14:paraId="1DA76293">
            <w:pPr>
              <w:snapToGrid w:val="0"/>
              <w:spacing w:line="360" w:lineRule="auto"/>
              <w:ind w:firstLine="420" w:firstLineChars="200"/>
              <w:rPr>
                <w:bCs/>
                <w:color w:val="auto"/>
                <w:szCs w:val="21"/>
                <w:highlight w:val="none"/>
              </w:rPr>
            </w:pPr>
            <w:r>
              <w:rPr>
                <w:bCs/>
                <w:color w:val="auto"/>
                <w:szCs w:val="21"/>
                <w:highlight w:val="none"/>
              </w:rPr>
              <w:t>本项目建设内容及规模为：</w:t>
            </w:r>
            <w:r>
              <w:rPr>
                <w:rFonts w:hint="eastAsia"/>
                <w:bCs/>
                <w:color w:val="auto"/>
                <w:szCs w:val="21"/>
                <w:highlight w:val="none"/>
                <w:lang w:val="en-US" w:eastAsia="zh-CN"/>
              </w:rPr>
              <w:t>利用</w:t>
            </w:r>
            <w:r>
              <w:rPr>
                <w:rFonts w:hint="eastAsia"/>
                <w:bCs/>
                <w:color w:val="auto"/>
                <w:szCs w:val="21"/>
                <w:highlight w:val="none"/>
              </w:rPr>
              <w:t>现有</w:t>
            </w:r>
            <w:r>
              <w:rPr>
                <w:rFonts w:hint="eastAsia"/>
                <w:bCs/>
                <w:color w:val="auto"/>
                <w:szCs w:val="21"/>
                <w:highlight w:val="none"/>
                <w:lang w:val="en-US" w:eastAsia="zh-CN"/>
              </w:rPr>
              <w:t>空地新建6#</w:t>
            </w:r>
            <w:r>
              <w:rPr>
                <w:bCs/>
                <w:color w:val="auto"/>
                <w:szCs w:val="21"/>
                <w:highlight w:val="none"/>
              </w:rPr>
              <w:t>厂房，</w:t>
            </w:r>
            <w:r>
              <w:rPr>
                <w:rFonts w:hint="eastAsia"/>
                <w:bCs/>
                <w:color w:val="auto"/>
                <w:szCs w:val="21"/>
                <w:highlight w:val="none"/>
                <w:lang w:val="en-US" w:eastAsia="zh-CN"/>
              </w:rPr>
              <w:t>新</w:t>
            </w:r>
            <w:r>
              <w:rPr>
                <w:bCs/>
                <w:color w:val="auto"/>
                <w:szCs w:val="21"/>
                <w:highlight w:val="none"/>
              </w:rPr>
              <w:t>购安装生产设备</w:t>
            </w:r>
            <w:r>
              <w:rPr>
                <w:rFonts w:hint="eastAsia"/>
                <w:bCs/>
                <w:color w:val="auto"/>
                <w:szCs w:val="21"/>
                <w:highlight w:val="none"/>
              </w:rPr>
              <w:t>，</w:t>
            </w:r>
            <w:r>
              <w:rPr>
                <w:rFonts w:hint="eastAsia"/>
                <w:bCs/>
                <w:color w:val="auto"/>
                <w:szCs w:val="21"/>
                <w:highlight w:val="none"/>
                <w:lang w:val="en-US" w:eastAsia="zh-CN"/>
              </w:rPr>
              <w:t>扩</w:t>
            </w:r>
            <w:r>
              <w:rPr>
                <w:rFonts w:hint="eastAsia"/>
                <w:bCs/>
                <w:color w:val="auto"/>
                <w:szCs w:val="21"/>
                <w:highlight w:val="none"/>
              </w:rPr>
              <w:t>建</w:t>
            </w:r>
            <w:r>
              <w:rPr>
                <w:rFonts w:hint="eastAsia"/>
                <w:color w:val="auto"/>
                <w:szCs w:val="21"/>
                <w:highlight w:val="none"/>
                <w:lang w:eastAsia="zh-CN"/>
              </w:rPr>
              <w:t>年产5万个碳烤炉扩建项目</w:t>
            </w:r>
            <w:r>
              <w:rPr>
                <w:bCs/>
                <w:color w:val="auto"/>
                <w:szCs w:val="21"/>
                <w:highlight w:val="none"/>
              </w:rPr>
              <w:t>。</w:t>
            </w:r>
            <w:r>
              <w:rPr>
                <w:rFonts w:hint="eastAsia"/>
                <w:bCs/>
                <w:color w:val="auto"/>
                <w:szCs w:val="21"/>
                <w:highlight w:val="none"/>
                <w:lang w:val="en-US" w:eastAsia="zh-CN"/>
              </w:rPr>
              <w:t>全厂</w:t>
            </w:r>
            <w:r>
              <w:rPr>
                <w:bCs/>
                <w:color w:val="auto"/>
                <w:szCs w:val="21"/>
                <w:highlight w:val="none"/>
              </w:rPr>
              <w:t>主要建设内容见项目组成如下表：</w:t>
            </w:r>
          </w:p>
          <w:p w14:paraId="56D99419">
            <w:pPr>
              <w:pStyle w:val="103"/>
              <w:spacing w:line="240" w:lineRule="auto"/>
              <w:rPr>
                <w:color w:val="auto"/>
                <w:sz w:val="21"/>
                <w:szCs w:val="21"/>
                <w:highlight w:val="none"/>
              </w:rPr>
            </w:pPr>
            <w:r>
              <w:rPr>
                <w:color w:val="auto"/>
                <w:sz w:val="21"/>
                <w:szCs w:val="21"/>
                <w:highlight w:val="none"/>
              </w:rPr>
              <w:t>表2-</w:t>
            </w:r>
            <w:r>
              <w:rPr>
                <w:rFonts w:hint="eastAsia"/>
                <w:color w:val="auto"/>
                <w:sz w:val="21"/>
                <w:szCs w:val="21"/>
                <w:highlight w:val="none"/>
                <w:lang w:val="en-US" w:eastAsia="zh-CN"/>
              </w:rPr>
              <w:t>2</w:t>
            </w:r>
            <w:r>
              <w:rPr>
                <w:color w:val="auto"/>
                <w:sz w:val="21"/>
                <w:szCs w:val="21"/>
                <w:highlight w:val="none"/>
              </w:rPr>
              <w:t xml:space="preserve"> </w:t>
            </w:r>
            <w:r>
              <w:rPr>
                <w:rFonts w:hint="eastAsia"/>
                <w:color w:val="auto"/>
                <w:sz w:val="21"/>
                <w:szCs w:val="21"/>
                <w:highlight w:val="none"/>
                <w:lang w:val="en-US" w:eastAsia="zh-CN"/>
              </w:rPr>
              <w:t>全厂建设内容</w:t>
            </w:r>
            <w:r>
              <w:rPr>
                <w:bCs w:val="0"/>
                <w:color w:val="auto"/>
                <w:sz w:val="21"/>
                <w:szCs w:val="21"/>
                <w:highlight w:val="none"/>
              </w:rPr>
              <w:t>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824"/>
              <w:gridCol w:w="457"/>
              <w:gridCol w:w="566"/>
              <w:gridCol w:w="1305"/>
              <w:gridCol w:w="1152"/>
              <w:gridCol w:w="1140"/>
              <w:gridCol w:w="2478"/>
            </w:tblGrid>
            <w:tr w14:paraId="019A21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blHeader/>
                <w:jc w:val="center"/>
              </w:trPr>
              <w:tc>
                <w:tcPr>
                  <w:tcW w:w="824" w:type="dxa"/>
                  <w:vMerge w:val="restart"/>
                  <w:vAlign w:val="center"/>
                </w:tcPr>
                <w:p w14:paraId="57AAB35B">
                  <w:pPr>
                    <w:pageBreakBefore/>
                    <w:adjustRightInd w:val="0"/>
                    <w:snapToGrid w:val="0"/>
                    <w:spacing w:line="280" w:lineRule="exact"/>
                    <w:jc w:val="center"/>
                    <w:rPr>
                      <w:b/>
                      <w:color w:val="auto"/>
                      <w:szCs w:val="21"/>
                      <w:highlight w:val="none"/>
                    </w:rPr>
                  </w:pPr>
                  <w:r>
                    <w:rPr>
                      <w:rFonts w:hAnsi="宋体"/>
                      <w:b/>
                      <w:color w:val="auto"/>
                      <w:szCs w:val="21"/>
                      <w:highlight w:val="none"/>
                    </w:rPr>
                    <w:t>类别</w:t>
                  </w:r>
                </w:p>
              </w:tc>
              <w:tc>
                <w:tcPr>
                  <w:tcW w:w="1023" w:type="dxa"/>
                  <w:gridSpan w:val="2"/>
                  <w:vMerge w:val="restart"/>
                  <w:vAlign w:val="center"/>
                </w:tcPr>
                <w:p w14:paraId="77A22430">
                  <w:pPr>
                    <w:pageBreakBefore/>
                    <w:adjustRightInd w:val="0"/>
                    <w:snapToGrid w:val="0"/>
                    <w:spacing w:line="280" w:lineRule="exact"/>
                    <w:jc w:val="center"/>
                    <w:rPr>
                      <w:b/>
                      <w:color w:val="auto"/>
                      <w:szCs w:val="21"/>
                      <w:highlight w:val="none"/>
                    </w:rPr>
                  </w:pPr>
                  <w:r>
                    <w:rPr>
                      <w:rFonts w:hAnsi="宋体"/>
                      <w:b/>
                      <w:color w:val="auto"/>
                      <w:szCs w:val="21"/>
                      <w:highlight w:val="none"/>
                    </w:rPr>
                    <w:t>建设名称</w:t>
                  </w:r>
                </w:p>
              </w:tc>
              <w:tc>
                <w:tcPr>
                  <w:tcW w:w="3597" w:type="dxa"/>
                  <w:gridSpan w:val="3"/>
                  <w:vAlign w:val="center"/>
                </w:tcPr>
                <w:p w14:paraId="5D18FE22">
                  <w:pPr>
                    <w:pageBreakBefore/>
                    <w:adjustRightInd w:val="0"/>
                    <w:snapToGrid w:val="0"/>
                    <w:spacing w:line="280" w:lineRule="exact"/>
                    <w:jc w:val="center"/>
                    <w:rPr>
                      <w:rFonts w:hAnsi="宋体"/>
                      <w:b/>
                      <w:color w:val="auto"/>
                      <w:szCs w:val="21"/>
                      <w:highlight w:val="none"/>
                    </w:rPr>
                  </w:pPr>
                  <w:r>
                    <w:rPr>
                      <w:rFonts w:hAnsi="宋体"/>
                      <w:b/>
                      <w:color w:val="auto"/>
                      <w:szCs w:val="21"/>
                      <w:highlight w:val="none"/>
                    </w:rPr>
                    <w:t>设计能力</w:t>
                  </w:r>
                </w:p>
              </w:tc>
              <w:tc>
                <w:tcPr>
                  <w:tcW w:w="2478" w:type="dxa"/>
                  <w:vMerge w:val="restart"/>
                  <w:vAlign w:val="center"/>
                </w:tcPr>
                <w:p w14:paraId="57B26F8A">
                  <w:pPr>
                    <w:pageBreakBefore/>
                    <w:adjustRightInd w:val="0"/>
                    <w:snapToGrid w:val="0"/>
                    <w:spacing w:line="280" w:lineRule="exact"/>
                    <w:jc w:val="center"/>
                    <w:rPr>
                      <w:b/>
                      <w:color w:val="auto"/>
                      <w:szCs w:val="21"/>
                      <w:highlight w:val="none"/>
                    </w:rPr>
                  </w:pPr>
                  <w:r>
                    <w:rPr>
                      <w:rFonts w:hAnsi="宋体"/>
                      <w:b/>
                      <w:color w:val="auto"/>
                      <w:szCs w:val="21"/>
                      <w:highlight w:val="none"/>
                    </w:rPr>
                    <w:t>备注</w:t>
                  </w:r>
                </w:p>
              </w:tc>
            </w:tr>
            <w:tr w14:paraId="15232A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blHeader/>
                <w:jc w:val="center"/>
              </w:trPr>
              <w:tc>
                <w:tcPr>
                  <w:tcW w:w="824" w:type="dxa"/>
                  <w:vMerge w:val="continue"/>
                  <w:vAlign w:val="center"/>
                </w:tcPr>
                <w:p w14:paraId="076DC490">
                  <w:pPr>
                    <w:pageBreakBefore/>
                    <w:adjustRightInd w:val="0"/>
                    <w:snapToGrid w:val="0"/>
                    <w:spacing w:line="280" w:lineRule="exact"/>
                    <w:jc w:val="center"/>
                    <w:rPr>
                      <w:rFonts w:hAnsi="宋体"/>
                      <w:b/>
                      <w:color w:val="auto"/>
                      <w:szCs w:val="21"/>
                      <w:highlight w:val="none"/>
                    </w:rPr>
                  </w:pPr>
                </w:p>
              </w:tc>
              <w:tc>
                <w:tcPr>
                  <w:tcW w:w="1023" w:type="dxa"/>
                  <w:gridSpan w:val="2"/>
                  <w:vMerge w:val="continue"/>
                  <w:vAlign w:val="center"/>
                </w:tcPr>
                <w:p w14:paraId="086C4D78">
                  <w:pPr>
                    <w:pageBreakBefore/>
                    <w:adjustRightInd w:val="0"/>
                    <w:snapToGrid w:val="0"/>
                    <w:spacing w:line="280" w:lineRule="exact"/>
                    <w:jc w:val="center"/>
                    <w:rPr>
                      <w:rFonts w:hAnsi="宋体"/>
                      <w:b/>
                      <w:color w:val="auto"/>
                      <w:szCs w:val="21"/>
                      <w:highlight w:val="none"/>
                    </w:rPr>
                  </w:pPr>
                </w:p>
              </w:tc>
              <w:tc>
                <w:tcPr>
                  <w:tcW w:w="1305" w:type="dxa"/>
                  <w:vAlign w:val="center"/>
                </w:tcPr>
                <w:p w14:paraId="24A7B85C">
                  <w:pPr>
                    <w:pageBreakBefore/>
                    <w:adjustRightInd w:val="0"/>
                    <w:snapToGrid w:val="0"/>
                    <w:spacing w:line="280" w:lineRule="exact"/>
                    <w:jc w:val="center"/>
                    <w:rPr>
                      <w:rFonts w:hint="eastAsia" w:hAnsi="宋体" w:eastAsia="宋体"/>
                      <w:b/>
                      <w:color w:val="auto"/>
                      <w:szCs w:val="21"/>
                      <w:highlight w:val="none"/>
                      <w:lang w:val="en-US" w:eastAsia="zh-CN"/>
                    </w:rPr>
                  </w:pPr>
                  <w:r>
                    <w:rPr>
                      <w:rFonts w:hint="eastAsia" w:hAnsi="宋体"/>
                      <w:b/>
                      <w:color w:val="auto"/>
                      <w:szCs w:val="21"/>
                      <w:highlight w:val="none"/>
                      <w:lang w:val="en-US" w:eastAsia="zh-CN"/>
                    </w:rPr>
                    <w:t>现有项目</w:t>
                  </w:r>
                </w:p>
              </w:tc>
              <w:tc>
                <w:tcPr>
                  <w:tcW w:w="1152" w:type="dxa"/>
                  <w:vAlign w:val="center"/>
                </w:tcPr>
                <w:p w14:paraId="5B68C263">
                  <w:pPr>
                    <w:pageBreakBefore/>
                    <w:adjustRightInd w:val="0"/>
                    <w:snapToGrid w:val="0"/>
                    <w:spacing w:line="280" w:lineRule="exact"/>
                    <w:jc w:val="center"/>
                    <w:rPr>
                      <w:rFonts w:hint="eastAsia" w:hAnsi="宋体" w:eastAsia="宋体"/>
                      <w:b/>
                      <w:color w:val="auto"/>
                      <w:szCs w:val="21"/>
                      <w:highlight w:val="none"/>
                      <w:lang w:val="en-US" w:eastAsia="zh-CN"/>
                    </w:rPr>
                  </w:pPr>
                  <w:r>
                    <w:rPr>
                      <w:rFonts w:hint="eastAsia" w:hAnsi="宋体"/>
                      <w:b/>
                      <w:color w:val="auto"/>
                      <w:szCs w:val="21"/>
                      <w:highlight w:val="none"/>
                      <w:lang w:val="en-US" w:eastAsia="zh-CN"/>
                    </w:rPr>
                    <w:t>扩建项目</w:t>
                  </w:r>
                </w:p>
              </w:tc>
              <w:tc>
                <w:tcPr>
                  <w:tcW w:w="1140" w:type="dxa"/>
                  <w:vAlign w:val="center"/>
                </w:tcPr>
                <w:p w14:paraId="05B5A077">
                  <w:pPr>
                    <w:pageBreakBefore/>
                    <w:adjustRightInd w:val="0"/>
                    <w:snapToGrid w:val="0"/>
                    <w:spacing w:line="280" w:lineRule="exact"/>
                    <w:jc w:val="center"/>
                    <w:rPr>
                      <w:rFonts w:hint="eastAsia" w:hAnsi="宋体" w:eastAsia="宋体"/>
                      <w:b/>
                      <w:color w:val="auto"/>
                      <w:szCs w:val="21"/>
                      <w:highlight w:val="none"/>
                      <w:lang w:val="en-US" w:eastAsia="zh-CN"/>
                    </w:rPr>
                  </w:pPr>
                  <w:r>
                    <w:rPr>
                      <w:rFonts w:hint="eastAsia" w:hAnsi="宋体"/>
                      <w:b/>
                      <w:color w:val="auto"/>
                      <w:szCs w:val="21"/>
                      <w:highlight w:val="none"/>
                      <w:lang w:val="en-US" w:eastAsia="zh-CN"/>
                    </w:rPr>
                    <w:t>扩建后全厂</w:t>
                  </w:r>
                </w:p>
              </w:tc>
              <w:tc>
                <w:tcPr>
                  <w:tcW w:w="2478" w:type="dxa"/>
                  <w:vMerge w:val="continue"/>
                  <w:vAlign w:val="center"/>
                </w:tcPr>
                <w:p w14:paraId="2BC4EF7C">
                  <w:pPr>
                    <w:pageBreakBefore/>
                    <w:adjustRightInd w:val="0"/>
                    <w:snapToGrid w:val="0"/>
                    <w:spacing w:line="280" w:lineRule="exact"/>
                    <w:jc w:val="center"/>
                    <w:rPr>
                      <w:rFonts w:hAnsi="宋体"/>
                      <w:b/>
                      <w:color w:val="auto"/>
                      <w:szCs w:val="21"/>
                      <w:highlight w:val="none"/>
                    </w:rPr>
                  </w:pPr>
                </w:p>
              </w:tc>
            </w:tr>
            <w:tr w14:paraId="5414F1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restart"/>
                  <w:vAlign w:val="center"/>
                </w:tcPr>
                <w:p w14:paraId="462B28AE">
                  <w:pPr>
                    <w:pageBreakBefore/>
                    <w:adjustRightInd w:val="0"/>
                    <w:snapToGrid w:val="0"/>
                    <w:spacing w:line="280" w:lineRule="exact"/>
                    <w:jc w:val="center"/>
                    <w:rPr>
                      <w:rFonts w:hAnsi="宋体"/>
                      <w:bCs/>
                      <w:color w:val="auto"/>
                      <w:szCs w:val="21"/>
                      <w:highlight w:val="none"/>
                    </w:rPr>
                  </w:pPr>
                  <w:r>
                    <w:rPr>
                      <w:rFonts w:hint="eastAsia" w:hAnsi="宋体"/>
                      <w:bCs/>
                      <w:color w:val="auto"/>
                      <w:szCs w:val="21"/>
                      <w:highlight w:val="none"/>
                    </w:rPr>
                    <w:t>主体工程</w:t>
                  </w:r>
                </w:p>
              </w:tc>
              <w:tc>
                <w:tcPr>
                  <w:tcW w:w="1023" w:type="dxa"/>
                  <w:gridSpan w:val="2"/>
                  <w:vAlign w:val="center"/>
                </w:tcPr>
                <w:p w14:paraId="2F6F8598">
                  <w:pPr>
                    <w:pageBreakBefore/>
                    <w:adjustRightInd w:val="0"/>
                    <w:snapToGrid w:val="0"/>
                    <w:spacing w:line="280" w:lineRule="exact"/>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1#厂房</w:t>
                  </w:r>
                </w:p>
              </w:tc>
              <w:tc>
                <w:tcPr>
                  <w:tcW w:w="1305" w:type="dxa"/>
                  <w:vMerge w:val="restart"/>
                  <w:vAlign w:val="center"/>
                </w:tcPr>
                <w:p w14:paraId="5C471B85">
                  <w:pPr>
                    <w:pageBreakBefore/>
                    <w:adjustRightInd w:val="0"/>
                    <w:snapToGrid w:val="0"/>
                    <w:spacing w:line="280" w:lineRule="exact"/>
                    <w:jc w:val="center"/>
                    <w:rPr>
                      <w:rFonts w:hint="default" w:hAnsi="宋体" w:eastAsia="宋体"/>
                      <w:bCs/>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38000m</w:t>
                  </w:r>
                  <w:r>
                    <w:rPr>
                      <w:rFonts w:hint="eastAsia" w:ascii="Times New Roman" w:hAnsi="Times New Roman" w:eastAsia="宋体" w:cs="Times New Roman"/>
                      <w:color w:val="auto"/>
                      <w:szCs w:val="21"/>
                      <w:highlight w:val="none"/>
                      <w:vertAlign w:val="superscript"/>
                      <w:lang w:val="en-US" w:eastAsia="zh-CN"/>
                    </w:rPr>
                    <w:t>2</w:t>
                  </w:r>
                </w:p>
              </w:tc>
              <w:tc>
                <w:tcPr>
                  <w:tcW w:w="1152" w:type="dxa"/>
                  <w:vMerge w:val="restart"/>
                  <w:vAlign w:val="center"/>
                </w:tcPr>
                <w:p w14:paraId="1243FD3B">
                  <w:pPr>
                    <w:pageBreakBefore/>
                    <w:adjustRightInd w:val="0"/>
                    <w:snapToGrid w:val="0"/>
                    <w:spacing w:line="280" w:lineRule="exact"/>
                    <w:jc w:val="center"/>
                    <w:rPr>
                      <w:rFonts w:hint="eastAsia" w:hAnsi="宋体" w:eastAsia="宋体"/>
                      <w:bCs/>
                      <w:color w:val="auto"/>
                      <w:szCs w:val="21"/>
                      <w:highlight w:val="none"/>
                      <w:lang w:val="en-US" w:eastAsia="zh-CN"/>
                    </w:rPr>
                  </w:pPr>
                  <w:r>
                    <w:rPr>
                      <w:rFonts w:hint="eastAsia" w:hAnsi="宋体"/>
                      <w:bCs/>
                      <w:color w:val="auto"/>
                      <w:szCs w:val="21"/>
                      <w:highlight w:val="none"/>
                      <w:lang w:val="en-US" w:eastAsia="zh-CN"/>
                    </w:rPr>
                    <w:t>/</w:t>
                  </w:r>
                </w:p>
              </w:tc>
              <w:tc>
                <w:tcPr>
                  <w:tcW w:w="1140" w:type="dxa"/>
                  <w:vMerge w:val="restart"/>
                  <w:vAlign w:val="center"/>
                </w:tcPr>
                <w:p w14:paraId="480916D2">
                  <w:pPr>
                    <w:pageBreakBefore/>
                    <w:adjustRightInd w:val="0"/>
                    <w:snapToGrid w:val="0"/>
                    <w:spacing w:line="280" w:lineRule="exact"/>
                    <w:jc w:val="center"/>
                    <w:rPr>
                      <w:rFonts w:hint="eastAsia" w:ascii="Times New Roman" w:hAnsi="宋体"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38000m</w:t>
                  </w:r>
                  <w:r>
                    <w:rPr>
                      <w:rFonts w:hint="eastAsia" w:ascii="Times New Roman" w:hAnsi="Times New Roman" w:eastAsia="宋体" w:cs="Times New Roman"/>
                      <w:color w:val="auto"/>
                      <w:szCs w:val="21"/>
                      <w:highlight w:val="none"/>
                      <w:vertAlign w:val="superscript"/>
                      <w:lang w:val="en-US" w:eastAsia="zh-CN"/>
                    </w:rPr>
                    <w:t>2</w:t>
                  </w:r>
                </w:p>
              </w:tc>
              <w:tc>
                <w:tcPr>
                  <w:tcW w:w="2478" w:type="dxa"/>
                  <w:vMerge w:val="restart"/>
                  <w:vAlign w:val="center"/>
                </w:tcPr>
                <w:p w14:paraId="764B1784">
                  <w:pPr>
                    <w:pageBreakBefore/>
                    <w:adjustRightInd w:val="0"/>
                    <w:snapToGrid w:val="0"/>
                    <w:spacing w:line="280" w:lineRule="exact"/>
                    <w:jc w:val="center"/>
                    <w:rPr>
                      <w:rFonts w:hint="default" w:hAnsi="宋体" w:eastAsia="宋体"/>
                      <w:bCs/>
                      <w:color w:val="auto"/>
                      <w:szCs w:val="21"/>
                      <w:highlight w:val="none"/>
                      <w:lang w:val="en-US" w:eastAsia="zh-CN"/>
                    </w:rPr>
                  </w:pPr>
                  <w:r>
                    <w:rPr>
                      <w:rFonts w:hint="eastAsia" w:ascii="Times New Roman" w:hAnsi="Times New Roman" w:eastAsia="宋体" w:cs="Times New Roman"/>
                      <w:color w:val="auto"/>
                      <w:szCs w:val="21"/>
                      <w:highlight w:val="none"/>
                      <w:vertAlign w:val="baseline"/>
                      <w:lang w:val="en-US" w:eastAsia="zh-CN"/>
                    </w:rPr>
                    <w:t>1#、2#、3#厂房用于</w:t>
                  </w:r>
                  <w:r>
                    <w:rPr>
                      <w:rFonts w:hint="default" w:ascii="Times New Roman" w:hAnsi="Times New Roman" w:eastAsia="宋体" w:cs="Times New Roman"/>
                      <w:color w:val="auto"/>
                      <w:szCs w:val="24"/>
                    </w:rPr>
                    <w:t>年产20万套烤炉及金属制品组件项目</w:t>
                  </w:r>
                  <w:r>
                    <w:rPr>
                      <w:rFonts w:hint="eastAsia" w:ascii="Times New Roman" w:hAnsi="Times New Roman" w:eastAsia="宋体" w:cs="Times New Roman"/>
                      <w:color w:val="auto"/>
                      <w:szCs w:val="24"/>
                      <w:lang w:val="en-US" w:eastAsia="zh-CN"/>
                    </w:rPr>
                    <w:t>生产；4#</w:t>
                  </w:r>
                  <w:r>
                    <w:rPr>
                      <w:rFonts w:hint="eastAsia" w:ascii="Times New Roman" w:hAnsi="Times New Roman" w:eastAsia="宋体" w:cs="Times New Roman"/>
                      <w:color w:val="auto"/>
                      <w:szCs w:val="21"/>
                      <w:highlight w:val="none"/>
                      <w:vertAlign w:val="baseline"/>
                      <w:lang w:val="en-US" w:eastAsia="zh-CN"/>
                    </w:rPr>
                    <w:t>厂房</w:t>
                  </w:r>
                  <w:r>
                    <w:rPr>
                      <w:rFonts w:hint="eastAsia" w:ascii="Times New Roman" w:hAnsi="Times New Roman" w:eastAsia="宋体" w:cs="Times New Roman"/>
                      <w:color w:val="auto"/>
                      <w:szCs w:val="24"/>
                      <w:lang w:val="en-US" w:eastAsia="zh-CN"/>
                    </w:rPr>
                    <w:t>用于</w:t>
                  </w:r>
                  <w:r>
                    <w:rPr>
                      <w:rFonts w:hint="default" w:ascii="Times New Roman" w:hAnsi="Times New Roman" w:eastAsia="宋体" w:cs="Times New Roman"/>
                      <w:color w:val="auto"/>
                      <w:szCs w:val="24"/>
                    </w:rPr>
                    <w:t>年产20万套烤炉及金属制品组装和表面处理项目</w:t>
                  </w:r>
                  <w:r>
                    <w:rPr>
                      <w:rFonts w:hint="eastAsia" w:ascii="Times New Roman" w:hAnsi="Times New Roman" w:eastAsia="宋体" w:cs="Times New Roman"/>
                      <w:color w:val="auto"/>
                      <w:szCs w:val="24"/>
                      <w:lang w:val="en-US" w:eastAsia="zh-CN"/>
                    </w:rPr>
                    <w:t>生产</w:t>
                  </w:r>
                </w:p>
              </w:tc>
            </w:tr>
            <w:tr w14:paraId="5E3C06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02630184">
                  <w:pPr>
                    <w:pageBreakBefore/>
                    <w:adjustRightInd w:val="0"/>
                    <w:snapToGrid w:val="0"/>
                    <w:spacing w:line="280" w:lineRule="exact"/>
                    <w:jc w:val="center"/>
                    <w:rPr>
                      <w:rFonts w:hint="eastAsia" w:hAnsi="宋体"/>
                      <w:bCs/>
                      <w:color w:val="auto"/>
                      <w:szCs w:val="21"/>
                      <w:highlight w:val="none"/>
                    </w:rPr>
                  </w:pPr>
                </w:p>
              </w:tc>
              <w:tc>
                <w:tcPr>
                  <w:tcW w:w="1023" w:type="dxa"/>
                  <w:gridSpan w:val="2"/>
                  <w:vAlign w:val="center"/>
                </w:tcPr>
                <w:p w14:paraId="0B026AAD">
                  <w:pPr>
                    <w:pageBreakBefore/>
                    <w:adjustRightInd w:val="0"/>
                    <w:snapToGrid w:val="0"/>
                    <w:spacing w:line="280" w:lineRule="exact"/>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2#厂房</w:t>
                  </w:r>
                </w:p>
              </w:tc>
              <w:tc>
                <w:tcPr>
                  <w:tcW w:w="1305" w:type="dxa"/>
                  <w:vMerge w:val="continue"/>
                  <w:vAlign w:val="center"/>
                </w:tcPr>
                <w:p w14:paraId="4F97046F">
                  <w:pPr>
                    <w:pageBreakBefore/>
                    <w:adjustRightInd w:val="0"/>
                    <w:snapToGrid w:val="0"/>
                    <w:spacing w:line="280" w:lineRule="exact"/>
                    <w:jc w:val="center"/>
                    <w:rPr>
                      <w:rFonts w:hint="default" w:hAnsi="宋体" w:eastAsia="宋体"/>
                      <w:bCs/>
                      <w:color w:val="auto"/>
                      <w:szCs w:val="21"/>
                      <w:highlight w:val="none"/>
                      <w:lang w:val="en-US" w:eastAsia="zh-CN"/>
                    </w:rPr>
                  </w:pPr>
                </w:p>
              </w:tc>
              <w:tc>
                <w:tcPr>
                  <w:tcW w:w="1152" w:type="dxa"/>
                  <w:vMerge w:val="continue"/>
                  <w:vAlign w:val="center"/>
                </w:tcPr>
                <w:p w14:paraId="0FDF6AF6">
                  <w:pPr>
                    <w:pageBreakBefore/>
                    <w:adjustRightInd w:val="0"/>
                    <w:snapToGrid w:val="0"/>
                    <w:spacing w:line="280" w:lineRule="exact"/>
                    <w:jc w:val="center"/>
                    <w:rPr>
                      <w:rFonts w:hint="eastAsia" w:hAnsi="宋体" w:eastAsia="宋体"/>
                      <w:bCs/>
                      <w:color w:val="auto"/>
                      <w:szCs w:val="21"/>
                      <w:highlight w:val="none"/>
                      <w:lang w:val="en-US" w:eastAsia="zh-CN"/>
                    </w:rPr>
                  </w:pPr>
                </w:p>
              </w:tc>
              <w:tc>
                <w:tcPr>
                  <w:tcW w:w="1140" w:type="dxa"/>
                  <w:vMerge w:val="continue"/>
                  <w:vAlign w:val="center"/>
                </w:tcPr>
                <w:p w14:paraId="74112F37">
                  <w:pPr>
                    <w:pageBreakBefore/>
                    <w:adjustRightInd w:val="0"/>
                    <w:snapToGrid w:val="0"/>
                    <w:spacing w:line="280" w:lineRule="exact"/>
                    <w:jc w:val="center"/>
                    <w:rPr>
                      <w:rFonts w:hint="eastAsia" w:ascii="Times New Roman" w:hAnsi="宋体" w:eastAsia="宋体" w:cs="Times New Roman"/>
                      <w:bCs/>
                      <w:color w:val="auto"/>
                      <w:kern w:val="2"/>
                      <w:sz w:val="21"/>
                      <w:szCs w:val="21"/>
                      <w:highlight w:val="none"/>
                      <w:lang w:val="en-US" w:eastAsia="zh-CN" w:bidi="ar-SA"/>
                    </w:rPr>
                  </w:pPr>
                </w:p>
              </w:tc>
              <w:tc>
                <w:tcPr>
                  <w:tcW w:w="2478" w:type="dxa"/>
                  <w:vMerge w:val="continue"/>
                  <w:vAlign w:val="center"/>
                </w:tcPr>
                <w:p w14:paraId="0583CA28">
                  <w:pPr>
                    <w:pageBreakBefore/>
                    <w:adjustRightInd w:val="0"/>
                    <w:snapToGrid w:val="0"/>
                    <w:spacing w:line="280" w:lineRule="exact"/>
                    <w:jc w:val="center"/>
                    <w:rPr>
                      <w:rFonts w:hint="default" w:hAnsi="宋体"/>
                      <w:bCs/>
                      <w:color w:val="auto"/>
                      <w:szCs w:val="21"/>
                      <w:highlight w:val="none"/>
                      <w:lang w:val="en-US"/>
                    </w:rPr>
                  </w:pPr>
                </w:p>
              </w:tc>
            </w:tr>
            <w:tr w14:paraId="430722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31DB856F">
                  <w:pPr>
                    <w:pageBreakBefore/>
                    <w:adjustRightInd w:val="0"/>
                    <w:snapToGrid w:val="0"/>
                    <w:spacing w:line="280" w:lineRule="exact"/>
                    <w:jc w:val="center"/>
                    <w:rPr>
                      <w:rFonts w:hint="eastAsia" w:hAnsi="宋体"/>
                      <w:bCs/>
                      <w:color w:val="auto"/>
                      <w:szCs w:val="21"/>
                      <w:highlight w:val="none"/>
                    </w:rPr>
                  </w:pPr>
                </w:p>
              </w:tc>
              <w:tc>
                <w:tcPr>
                  <w:tcW w:w="1023" w:type="dxa"/>
                  <w:gridSpan w:val="2"/>
                  <w:vAlign w:val="center"/>
                </w:tcPr>
                <w:p w14:paraId="058AC5C4">
                  <w:pPr>
                    <w:pageBreakBefore/>
                    <w:adjustRightInd w:val="0"/>
                    <w:snapToGrid w:val="0"/>
                    <w:spacing w:line="280" w:lineRule="exact"/>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3#厂房</w:t>
                  </w:r>
                </w:p>
              </w:tc>
              <w:tc>
                <w:tcPr>
                  <w:tcW w:w="1305" w:type="dxa"/>
                  <w:vMerge w:val="continue"/>
                  <w:vAlign w:val="center"/>
                </w:tcPr>
                <w:p w14:paraId="209B9D35">
                  <w:pPr>
                    <w:pageBreakBefore/>
                    <w:adjustRightInd w:val="0"/>
                    <w:snapToGrid w:val="0"/>
                    <w:spacing w:line="280" w:lineRule="exact"/>
                    <w:jc w:val="center"/>
                    <w:rPr>
                      <w:rFonts w:hint="default" w:hAnsi="宋体" w:eastAsia="宋体"/>
                      <w:bCs/>
                      <w:color w:val="auto"/>
                      <w:szCs w:val="21"/>
                      <w:highlight w:val="none"/>
                      <w:lang w:val="en-US" w:eastAsia="zh-CN"/>
                    </w:rPr>
                  </w:pPr>
                </w:p>
              </w:tc>
              <w:tc>
                <w:tcPr>
                  <w:tcW w:w="1152" w:type="dxa"/>
                  <w:vMerge w:val="continue"/>
                  <w:vAlign w:val="center"/>
                </w:tcPr>
                <w:p w14:paraId="494A823F">
                  <w:pPr>
                    <w:pageBreakBefore/>
                    <w:adjustRightInd w:val="0"/>
                    <w:snapToGrid w:val="0"/>
                    <w:spacing w:line="280" w:lineRule="exact"/>
                    <w:jc w:val="center"/>
                    <w:rPr>
                      <w:rFonts w:hint="eastAsia" w:hAnsi="宋体" w:eastAsia="宋体"/>
                      <w:bCs/>
                      <w:color w:val="auto"/>
                      <w:szCs w:val="21"/>
                      <w:highlight w:val="none"/>
                      <w:lang w:val="en-US" w:eastAsia="zh-CN"/>
                    </w:rPr>
                  </w:pPr>
                </w:p>
              </w:tc>
              <w:tc>
                <w:tcPr>
                  <w:tcW w:w="1140" w:type="dxa"/>
                  <w:vMerge w:val="continue"/>
                  <w:vAlign w:val="center"/>
                </w:tcPr>
                <w:p w14:paraId="3015A118">
                  <w:pPr>
                    <w:pageBreakBefore/>
                    <w:adjustRightInd w:val="0"/>
                    <w:snapToGrid w:val="0"/>
                    <w:spacing w:line="280" w:lineRule="exact"/>
                    <w:jc w:val="center"/>
                    <w:rPr>
                      <w:rFonts w:hint="eastAsia" w:ascii="Times New Roman" w:hAnsi="宋体" w:eastAsia="宋体" w:cs="Times New Roman"/>
                      <w:bCs/>
                      <w:color w:val="auto"/>
                      <w:kern w:val="2"/>
                      <w:sz w:val="21"/>
                      <w:szCs w:val="21"/>
                      <w:highlight w:val="none"/>
                      <w:lang w:val="en-US" w:eastAsia="zh-CN" w:bidi="ar-SA"/>
                    </w:rPr>
                  </w:pPr>
                </w:p>
              </w:tc>
              <w:tc>
                <w:tcPr>
                  <w:tcW w:w="2478" w:type="dxa"/>
                  <w:vMerge w:val="continue"/>
                  <w:vAlign w:val="center"/>
                </w:tcPr>
                <w:p w14:paraId="5CABD79D">
                  <w:pPr>
                    <w:pageBreakBefore/>
                    <w:adjustRightInd w:val="0"/>
                    <w:snapToGrid w:val="0"/>
                    <w:spacing w:line="280" w:lineRule="exact"/>
                    <w:jc w:val="center"/>
                    <w:rPr>
                      <w:rFonts w:hint="default" w:hAnsi="宋体"/>
                      <w:bCs/>
                      <w:color w:val="auto"/>
                      <w:szCs w:val="21"/>
                      <w:highlight w:val="none"/>
                      <w:lang w:val="en-US"/>
                    </w:rPr>
                  </w:pPr>
                </w:p>
              </w:tc>
            </w:tr>
            <w:tr w14:paraId="2A12A8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79EEB3D1">
                  <w:pPr>
                    <w:pageBreakBefore/>
                    <w:adjustRightInd w:val="0"/>
                    <w:snapToGrid w:val="0"/>
                    <w:spacing w:line="280" w:lineRule="exact"/>
                    <w:jc w:val="center"/>
                    <w:rPr>
                      <w:rFonts w:hint="eastAsia" w:hAnsi="宋体"/>
                      <w:bCs/>
                      <w:color w:val="auto"/>
                      <w:szCs w:val="21"/>
                      <w:highlight w:val="none"/>
                    </w:rPr>
                  </w:pPr>
                </w:p>
              </w:tc>
              <w:tc>
                <w:tcPr>
                  <w:tcW w:w="1023" w:type="dxa"/>
                  <w:gridSpan w:val="2"/>
                  <w:vAlign w:val="center"/>
                </w:tcPr>
                <w:p w14:paraId="1E19D544">
                  <w:pPr>
                    <w:pageBreakBefore/>
                    <w:adjustRightInd w:val="0"/>
                    <w:snapToGrid w:val="0"/>
                    <w:spacing w:line="280" w:lineRule="exact"/>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4#厂房</w:t>
                  </w:r>
                </w:p>
              </w:tc>
              <w:tc>
                <w:tcPr>
                  <w:tcW w:w="1305" w:type="dxa"/>
                  <w:vMerge w:val="continue"/>
                  <w:vAlign w:val="center"/>
                </w:tcPr>
                <w:p w14:paraId="1EB7A695">
                  <w:pPr>
                    <w:pageBreakBefore/>
                    <w:adjustRightInd w:val="0"/>
                    <w:snapToGrid w:val="0"/>
                    <w:spacing w:line="280" w:lineRule="exact"/>
                    <w:jc w:val="center"/>
                    <w:rPr>
                      <w:rFonts w:hint="default" w:hAnsi="宋体" w:eastAsia="宋体"/>
                      <w:bCs/>
                      <w:color w:val="auto"/>
                      <w:szCs w:val="21"/>
                      <w:highlight w:val="none"/>
                      <w:lang w:val="en-US" w:eastAsia="zh-CN"/>
                    </w:rPr>
                  </w:pPr>
                </w:p>
              </w:tc>
              <w:tc>
                <w:tcPr>
                  <w:tcW w:w="1152" w:type="dxa"/>
                  <w:vMerge w:val="continue"/>
                  <w:vAlign w:val="center"/>
                </w:tcPr>
                <w:p w14:paraId="4E3CD3DF">
                  <w:pPr>
                    <w:pageBreakBefore/>
                    <w:adjustRightInd w:val="0"/>
                    <w:snapToGrid w:val="0"/>
                    <w:spacing w:line="280" w:lineRule="exact"/>
                    <w:jc w:val="center"/>
                    <w:rPr>
                      <w:rFonts w:hint="eastAsia" w:hAnsi="宋体" w:eastAsia="宋体"/>
                      <w:bCs/>
                      <w:color w:val="auto"/>
                      <w:szCs w:val="21"/>
                      <w:highlight w:val="none"/>
                      <w:lang w:val="en-US" w:eastAsia="zh-CN"/>
                    </w:rPr>
                  </w:pPr>
                </w:p>
              </w:tc>
              <w:tc>
                <w:tcPr>
                  <w:tcW w:w="1140" w:type="dxa"/>
                  <w:vMerge w:val="continue"/>
                  <w:vAlign w:val="center"/>
                </w:tcPr>
                <w:p w14:paraId="3EE54D93">
                  <w:pPr>
                    <w:pageBreakBefore/>
                    <w:adjustRightInd w:val="0"/>
                    <w:snapToGrid w:val="0"/>
                    <w:spacing w:line="280" w:lineRule="exact"/>
                    <w:jc w:val="center"/>
                    <w:rPr>
                      <w:rFonts w:hint="eastAsia" w:ascii="Times New Roman" w:hAnsi="宋体" w:eastAsia="宋体" w:cs="Times New Roman"/>
                      <w:bCs/>
                      <w:color w:val="auto"/>
                      <w:kern w:val="2"/>
                      <w:sz w:val="21"/>
                      <w:szCs w:val="21"/>
                      <w:highlight w:val="none"/>
                      <w:lang w:val="en-US" w:eastAsia="zh-CN" w:bidi="ar-SA"/>
                    </w:rPr>
                  </w:pPr>
                </w:p>
              </w:tc>
              <w:tc>
                <w:tcPr>
                  <w:tcW w:w="2478" w:type="dxa"/>
                  <w:vMerge w:val="continue"/>
                  <w:vAlign w:val="center"/>
                </w:tcPr>
                <w:p w14:paraId="63F67E3D">
                  <w:pPr>
                    <w:pageBreakBefore/>
                    <w:adjustRightInd w:val="0"/>
                    <w:snapToGrid w:val="0"/>
                    <w:spacing w:line="280" w:lineRule="exact"/>
                    <w:jc w:val="center"/>
                    <w:rPr>
                      <w:rFonts w:hint="default" w:hAnsi="宋体"/>
                      <w:bCs/>
                      <w:color w:val="auto"/>
                      <w:szCs w:val="21"/>
                      <w:highlight w:val="none"/>
                      <w:lang w:val="en-US"/>
                    </w:rPr>
                  </w:pPr>
                </w:p>
              </w:tc>
            </w:tr>
            <w:tr w14:paraId="5FDB34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647948F3">
                  <w:pPr>
                    <w:pageBreakBefore/>
                    <w:adjustRightInd w:val="0"/>
                    <w:snapToGrid w:val="0"/>
                    <w:spacing w:line="280" w:lineRule="exact"/>
                    <w:jc w:val="center"/>
                    <w:rPr>
                      <w:rFonts w:hint="eastAsia" w:hAnsi="宋体"/>
                      <w:bCs/>
                      <w:color w:val="auto"/>
                      <w:szCs w:val="21"/>
                      <w:highlight w:val="none"/>
                    </w:rPr>
                  </w:pPr>
                </w:p>
              </w:tc>
              <w:tc>
                <w:tcPr>
                  <w:tcW w:w="1023" w:type="dxa"/>
                  <w:gridSpan w:val="2"/>
                  <w:vAlign w:val="center"/>
                </w:tcPr>
                <w:p w14:paraId="4055E525">
                  <w:pPr>
                    <w:pageBreakBefore/>
                    <w:adjustRightInd w:val="0"/>
                    <w:snapToGrid w:val="0"/>
                    <w:spacing w:line="280" w:lineRule="exact"/>
                    <w:jc w:val="center"/>
                    <w:rPr>
                      <w:rFonts w:hint="default" w:hAnsi="宋体"/>
                      <w:bCs/>
                      <w:color w:val="auto"/>
                      <w:szCs w:val="21"/>
                      <w:highlight w:val="none"/>
                      <w:lang w:val="en-US" w:eastAsia="zh-CN"/>
                    </w:rPr>
                  </w:pPr>
                  <w:r>
                    <w:rPr>
                      <w:rFonts w:hint="eastAsia" w:hAnsi="宋体"/>
                      <w:bCs/>
                      <w:color w:val="auto"/>
                      <w:szCs w:val="21"/>
                      <w:highlight w:val="none"/>
                      <w:lang w:val="en-US" w:eastAsia="zh-CN"/>
                    </w:rPr>
                    <w:t>5#厂房</w:t>
                  </w:r>
                </w:p>
              </w:tc>
              <w:tc>
                <w:tcPr>
                  <w:tcW w:w="1305" w:type="dxa"/>
                  <w:vAlign w:val="center"/>
                </w:tcPr>
                <w:p w14:paraId="06221F8F">
                  <w:pPr>
                    <w:pageBreakBefore/>
                    <w:adjustRightInd w:val="0"/>
                    <w:snapToGrid w:val="0"/>
                    <w:spacing w:line="280" w:lineRule="exact"/>
                    <w:jc w:val="center"/>
                    <w:rPr>
                      <w:rFonts w:hint="default" w:hAnsi="宋体"/>
                      <w:bCs/>
                      <w:color w:val="auto"/>
                      <w:szCs w:val="21"/>
                      <w:highlight w:val="none"/>
                      <w:lang w:val="en-US" w:eastAsia="zh-CN"/>
                    </w:rPr>
                  </w:pPr>
                  <w:r>
                    <w:rPr>
                      <w:rFonts w:hint="eastAsia" w:hAnsi="宋体"/>
                      <w:bCs/>
                      <w:color w:val="auto"/>
                      <w:szCs w:val="21"/>
                      <w:highlight w:val="none"/>
                      <w:lang w:val="en-US" w:eastAsia="zh-CN"/>
                    </w:rPr>
                    <w:t>1100m</w:t>
                  </w:r>
                  <w:r>
                    <w:rPr>
                      <w:rFonts w:hint="eastAsia" w:hAnsi="宋体"/>
                      <w:bCs/>
                      <w:color w:val="auto"/>
                      <w:szCs w:val="21"/>
                      <w:highlight w:val="none"/>
                      <w:vertAlign w:val="superscript"/>
                      <w:lang w:val="en-US" w:eastAsia="zh-CN"/>
                    </w:rPr>
                    <w:t>2</w:t>
                  </w:r>
                </w:p>
              </w:tc>
              <w:tc>
                <w:tcPr>
                  <w:tcW w:w="1152" w:type="dxa"/>
                  <w:vAlign w:val="center"/>
                </w:tcPr>
                <w:p w14:paraId="12910476">
                  <w:pPr>
                    <w:pageBreakBefore/>
                    <w:adjustRightInd w:val="0"/>
                    <w:snapToGrid w:val="0"/>
                    <w:spacing w:line="280" w:lineRule="exact"/>
                    <w:jc w:val="center"/>
                    <w:rPr>
                      <w:rFonts w:hint="default" w:hAnsi="宋体"/>
                      <w:bCs/>
                      <w:color w:val="auto"/>
                      <w:szCs w:val="21"/>
                      <w:highlight w:val="none"/>
                      <w:lang w:val="en-US" w:eastAsia="zh-CN"/>
                    </w:rPr>
                  </w:pPr>
                  <w:r>
                    <w:rPr>
                      <w:rFonts w:hint="eastAsia" w:hAnsi="宋体"/>
                      <w:bCs/>
                      <w:color w:val="auto"/>
                      <w:szCs w:val="21"/>
                      <w:highlight w:val="none"/>
                      <w:lang w:val="en-US" w:eastAsia="zh-CN"/>
                    </w:rPr>
                    <w:t>/</w:t>
                  </w:r>
                </w:p>
              </w:tc>
              <w:tc>
                <w:tcPr>
                  <w:tcW w:w="1140" w:type="dxa"/>
                  <w:vAlign w:val="center"/>
                </w:tcPr>
                <w:p w14:paraId="16286A4A">
                  <w:pPr>
                    <w:pageBreakBefore/>
                    <w:adjustRightInd w:val="0"/>
                    <w:snapToGrid w:val="0"/>
                    <w:spacing w:line="280" w:lineRule="exact"/>
                    <w:jc w:val="center"/>
                    <w:rPr>
                      <w:rFonts w:hint="default" w:hAnsi="宋体"/>
                      <w:bCs/>
                      <w:color w:val="auto"/>
                      <w:szCs w:val="21"/>
                      <w:highlight w:val="none"/>
                      <w:lang w:val="en-US" w:eastAsia="zh-CN"/>
                    </w:rPr>
                  </w:pPr>
                  <w:r>
                    <w:rPr>
                      <w:rFonts w:hint="eastAsia" w:hAnsi="宋体"/>
                      <w:bCs/>
                      <w:color w:val="auto"/>
                      <w:szCs w:val="21"/>
                      <w:highlight w:val="none"/>
                      <w:lang w:val="en-US" w:eastAsia="zh-CN"/>
                    </w:rPr>
                    <w:t>1100m</w:t>
                  </w:r>
                  <w:r>
                    <w:rPr>
                      <w:rFonts w:hint="eastAsia" w:hAnsi="宋体"/>
                      <w:bCs/>
                      <w:color w:val="auto"/>
                      <w:szCs w:val="21"/>
                      <w:highlight w:val="none"/>
                      <w:vertAlign w:val="superscript"/>
                      <w:lang w:val="en-US" w:eastAsia="zh-CN"/>
                    </w:rPr>
                    <w:t>2</w:t>
                  </w:r>
                </w:p>
              </w:tc>
              <w:tc>
                <w:tcPr>
                  <w:tcW w:w="2478" w:type="dxa"/>
                  <w:vAlign w:val="center"/>
                </w:tcPr>
                <w:p w14:paraId="1B25D335">
                  <w:pPr>
                    <w:pageBreakBefore/>
                    <w:adjustRightInd w:val="0"/>
                    <w:snapToGrid w:val="0"/>
                    <w:spacing w:line="280" w:lineRule="exact"/>
                    <w:jc w:val="center"/>
                    <w:rPr>
                      <w:rFonts w:hint="default" w:hAnsi="宋体"/>
                      <w:bCs/>
                      <w:color w:val="auto"/>
                      <w:szCs w:val="21"/>
                      <w:highlight w:val="none"/>
                      <w:lang w:val="en-US" w:eastAsia="zh-CN"/>
                    </w:rPr>
                  </w:pPr>
                  <w:r>
                    <w:rPr>
                      <w:rFonts w:hint="eastAsia" w:hAnsi="宋体"/>
                      <w:bCs/>
                      <w:color w:val="auto"/>
                      <w:szCs w:val="21"/>
                      <w:highlight w:val="none"/>
                      <w:lang w:val="en-US" w:eastAsia="zh-CN"/>
                    </w:rPr>
                    <w:t>现有项目</w:t>
                  </w:r>
                  <w:r>
                    <w:rPr>
                      <w:rFonts w:hint="eastAsia" w:ascii="Times New Roman" w:hAnsi="Times New Roman" w:eastAsia="宋体" w:cs="Times New Roman"/>
                      <w:color w:val="auto"/>
                      <w:szCs w:val="21"/>
                      <w:highlight w:val="none"/>
                      <w:lang w:val="en-US" w:eastAsia="zh-CN" w:bidi="ar-SA"/>
                    </w:rPr>
                    <w:t>年产3万个碳烤炉扩建项目</w:t>
                  </w:r>
                  <w:r>
                    <w:rPr>
                      <w:rFonts w:hint="eastAsia" w:cs="Times New Roman"/>
                      <w:color w:val="auto"/>
                      <w:szCs w:val="21"/>
                      <w:highlight w:val="none"/>
                      <w:lang w:val="en-US" w:eastAsia="zh-CN" w:bidi="ar-SA"/>
                    </w:rPr>
                    <w:t>生产车间</w:t>
                  </w:r>
                </w:p>
              </w:tc>
            </w:tr>
            <w:tr w14:paraId="592CC3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67C9BAFE">
                  <w:pPr>
                    <w:pageBreakBefore/>
                    <w:adjustRightInd w:val="0"/>
                    <w:snapToGrid w:val="0"/>
                    <w:spacing w:line="280" w:lineRule="exact"/>
                    <w:jc w:val="center"/>
                    <w:rPr>
                      <w:rFonts w:hint="eastAsia" w:hAnsi="宋体"/>
                      <w:bCs/>
                      <w:color w:val="auto"/>
                      <w:szCs w:val="21"/>
                      <w:highlight w:val="none"/>
                    </w:rPr>
                  </w:pPr>
                </w:p>
              </w:tc>
              <w:tc>
                <w:tcPr>
                  <w:tcW w:w="1023" w:type="dxa"/>
                  <w:gridSpan w:val="2"/>
                  <w:vAlign w:val="center"/>
                </w:tcPr>
                <w:p w14:paraId="675A1E08">
                  <w:pPr>
                    <w:pageBreakBefore/>
                    <w:adjustRightInd w:val="0"/>
                    <w:snapToGrid w:val="0"/>
                    <w:spacing w:line="280" w:lineRule="exact"/>
                    <w:jc w:val="center"/>
                    <w:rPr>
                      <w:rFonts w:hint="default" w:hAnsi="宋体"/>
                      <w:bCs/>
                      <w:color w:val="auto"/>
                      <w:szCs w:val="21"/>
                      <w:highlight w:val="none"/>
                      <w:lang w:val="en-US" w:eastAsia="zh-CN"/>
                    </w:rPr>
                  </w:pPr>
                  <w:r>
                    <w:rPr>
                      <w:rFonts w:hint="eastAsia" w:hAnsi="宋体"/>
                      <w:bCs/>
                      <w:color w:val="auto"/>
                      <w:szCs w:val="21"/>
                      <w:highlight w:val="none"/>
                      <w:lang w:val="en-US" w:eastAsia="zh-CN"/>
                    </w:rPr>
                    <w:t>6#厂房</w:t>
                  </w:r>
                </w:p>
              </w:tc>
              <w:tc>
                <w:tcPr>
                  <w:tcW w:w="1305" w:type="dxa"/>
                  <w:vAlign w:val="center"/>
                </w:tcPr>
                <w:p w14:paraId="7C7712BE">
                  <w:pPr>
                    <w:pageBreakBefore/>
                    <w:adjustRightInd w:val="0"/>
                    <w:snapToGrid w:val="0"/>
                    <w:spacing w:line="280" w:lineRule="exact"/>
                    <w:jc w:val="center"/>
                    <w:rPr>
                      <w:rFonts w:hint="default" w:hAnsi="宋体"/>
                      <w:bCs/>
                      <w:color w:val="auto"/>
                      <w:szCs w:val="21"/>
                      <w:highlight w:val="none"/>
                      <w:lang w:val="en-US" w:eastAsia="zh-CN"/>
                    </w:rPr>
                  </w:pPr>
                  <w:r>
                    <w:rPr>
                      <w:rFonts w:hint="eastAsia" w:hAnsi="宋体"/>
                      <w:bCs/>
                      <w:color w:val="auto"/>
                      <w:szCs w:val="21"/>
                      <w:highlight w:val="none"/>
                      <w:lang w:val="en-US" w:eastAsia="zh-CN"/>
                    </w:rPr>
                    <w:t>/</w:t>
                  </w:r>
                </w:p>
              </w:tc>
              <w:tc>
                <w:tcPr>
                  <w:tcW w:w="1152" w:type="dxa"/>
                  <w:vAlign w:val="center"/>
                </w:tcPr>
                <w:p w14:paraId="179306C6">
                  <w:pPr>
                    <w:pageBreakBefore/>
                    <w:adjustRightInd w:val="0"/>
                    <w:snapToGrid w:val="0"/>
                    <w:spacing w:line="280" w:lineRule="exact"/>
                    <w:jc w:val="center"/>
                    <w:rPr>
                      <w:rFonts w:hint="eastAsia" w:hAnsi="宋体"/>
                      <w:bCs/>
                      <w:color w:val="auto"/>
                      <w:szCs w:val="21"/>
                      <w:highlight w:val="none"/>
                      <w:lang w:val="en-US" w:eastAsia="zh-CN"/>
                    </w:rPr>
                  </w:pPr>
                  <w:r>
                    <w:rPr>
                      <w:rFonts w:hint="eastAsia" w:hAnsi="宋体"/>
                      <w:bCs/>
                      <w:color w:val="auto"/>
                      <w:szCs w:val="21"/>
                      <w:highlight w:val="none"/>
                      <w:lang w:val="en-US" w:eastAsia="zh-CN"/>
                    </w:rPr>
                    <w:t>4000m</w:t>
                  </w:r>
                  <w:r>
                    <w:rPr>
                      <w:rFonts w:hint="eastAsia" w:hAnsi="宋体"/>
                      <w:bCs/>
                      <w:color w:val="auto"/>
                      <w:szCs w:val="21"/>
                      <w:highlight w:val="none"/>
                      <w:vertAlign w:val="superscript"/>
                      <w:lang w:val="en-US" w:eastAsia="zh-CN"/>
                    </w:rPr>
                    <w:t>2</w:t>
                  </w:r>
                </w:p>
              </w:tc>
              <w:tc>
                <w:tcPr>
                  <w:tcW w:w="1140" w:type="dxa"/>
                  <w:vAlign w:val="center"/>
                </w:tcPr>
                <w:p w14:paraId="4697FB77">
                  <w:pPr>
                    <w:pageBreakBefore/>
                    <w:adjustRightInd w:val="0"/>
                    <w:snapToGrid w:val="0"/>
                    <w:spacing w:line="280" w:lineRule="exact"/>
                    <w:jc w:val="center"/>
                    <w:rPr>
                      <w:rFonts w:hint="eastAsia" w:hAnsi="宋体"/>
                      <w:bCs/>
                      <w:color w:val="auto"/>
                      <w:szCs w:val="21"/>
                      <w:highlight w:val="none"/>
                      <w:lang w:val="en-US" w:eastAsia="zh-CN"/>
                    </w:rPr>
                  </w:pPr>
                  <w:r>
                    <w:rPr>
                      <w:rFonts w:hint="eastAsia" w:hAnsi="宋体"/>
                      <w:bCs/>
                      <w:color w:val="auto"/>
                      <w:szCs w:val="21"/>
                      <w:highlight w:val="none"/>
                      <w:lang w:val="en-US" w:eastAsia="zh-CN"/>
                    </w:rPr>
                    <w:t>4000m</w:t>
                  </w:r>
                  <w:r>
                    <w:rPr>
                      <w:rFonts w:hint="eastAsia" w:hAnsi="宋体"/>
                      <w:bCs/>
                      <w:color w:val="auto"/>
                      <w:szCs w:val="21"/>
                      <w:highlight w:val="none"/>
                      <w:vertAlign w:val="superscript"/>
                      <w:lang w:val="en-US" w:eastAsia="zh-CN"/>
                    </w:rPr>
                    <w:t>2</w:t>
                  </w:r>
                </w:p>
              </w:tc>
              <w:tc>
                <w:tcPr>
                  <w:tcW w:w="2478" w:type="dxa"/>
                  <w:vAlign w:val="center"/>
                </w:tcPr>
                <w:p w14:paraId="57F64BCA">
                  <w:pPr>
                    <w:pageBreakBefore/>
                    <w:adjustRightInd w:val="0"/>
                    <w:snapToGrid w:val="0"/>
                    <w:spacing w:line="280" w:lineRule="exact"/>
                    <w:jc w:val="center"/>
                    <w:rPr>
                      <w:rFonts w:hint="default" w:hAnsi="宋体"/>
                      <w:bCs/>
                      <w:color w:val="auto"/>
                      <w:szCs w:val="21"/>
                      <w:highlight w:val="none"/>
                      <w:lang w:val="en-US" w:eastAsia="zh-CN"/>
                    </w:rPr>
                  </w:pPr>
                  <w:r>
                    <w:rPr>
                      <w:rFonts w:hint="eastAsia" w:hAnsi="宋体"/>
                      <w:bCs/>
                      <w:color w:val="auto"/>
                      <w:szCs w:val="21"/>
                      <w:highlight w:val="none"/>
                      <w:lang w:val="en-US" w:eastAsia="zh-CN"/>
                    </w:rPr>
                    <w:t>新建，占地约4000m</w:t>
                  </w:r>
                  <w:r>
                    <w:rPr>
                      <w:rFonts w:hint="eastAsia" w:hAnsi="宋体"/>
                      <w:bCs/>
                      <w:color w:val="auto"/>
                      <w:szCs w:val="21"/>
                      <w:highlight w:val="none"/>
                      <w:vertAlign w:val="superscript"/>
                      <w:lang w:val="en-US" w:eastAsia="zh-CN"/>
                    </w:rPr>
                    <w:t>2</w:t>
                  </w:r>
                  <w:r>
                    <w:rPr>
                      <w:rFonts w:hint="eastAsia" w:hAnsi="宋体"/>
                      <w:bCs/>
                      <w:color w:val="auto"/>
                      <w:szCs w:val="21"/>
                      <w:highlight w:val="none"/>
                      <w:lang w:val="en-US" w:eastAsia="zh-CN"/>
                    </w:rPr>
                    <w:t>，本项目生产车间</w:t>
                  </w:r>
                </w:p>
              </w:tc>
            </w:tr>
            <w:tr w14:paraId="4753B8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restart"/>
                  <w:vAlign w:val="center"/>
                </w:tcPr>
                <w:p w14:paraId="21502A23">
                  <w:pPr>
                    <w:pageBreakBefore/>
                    <w:adjustRightInd w:val="0"/>
                    <w:snapToGrid w:val="0"/>
                    <w:jc w:val="center"/>
                    <w:rPr>
                      <w:color w:val="auto"/>
                      <w:szCs w:val="21"/>
                      <w:highlight w:val="none"/>
                    </w:rPr>
                  </w:pPr>
                  <w:r>
                    <w:rPr>
                      <w:rFonts w:hint="eastAsia" w:hAnsi="宋体"/>
                      <w:bCs/>
                      <w:color w:val="auto"/>
                      <w:szCs w:val="21"/>
                      <w:highlight w:val="none"/>
                    </w:rPr>
                    <w:t>辅助、</w:t>
                  </w:r>
                  <w:r>
                    <w:rPr>
                      <w:rFonts w:hAnsi="宋体"/>
                      <w:color w:val="auto"/>
                      <w:szCs w:val="21"/>
                      <w:highlight w:val="none"/>
                    </w:rPr>
                    <w:t>贮运工程</w:t>
                  </w:r>
                </w:p>
              </w:tc>
              <w:tc>
                <w:tcPr>
                  <w:tcW w:w="1023" w:type="dxa"/>
                  <w:gridSpan w:val="2"/>
                  <w:vAlign w:val="center"/>
                </w:tcPr>
                <w:p w14:paraId="5ABFF762">
                  <w:pPr>
                    <w:pageBreakBefore/>
                    <w:adjustRightInd w:val="0"/>
                    <w:snapToGrid w:val="0"/>
                    <w:jc w:val="center"/>
                    <w:rPr>
                      <w:rFonts w:hint="default" w:eastAsia="宋体"/>
                      <w:color w:val="auto"/>
                      <w:szCs w:val="21"/>
                      <w:highlight w:val="none"/>
                      <w:lang w:val="en-US" w:eastAsia="zh-CN"/>
                    </w:rPr>
                  </w:pPr>
                  <w:r>
                    <w:rPr>
                      <w:rFonts w:hint="eastAsia" w:hAnsi="宋体"/>
                      <w:color w:val="auto"/>
                      <w:szCs w:val="21"/>
                      <w:highlight w:val="none"/>
                      <w:lang w:val="en-US" w:eastAsia="zh-CN"/>
                    </w:rPr>
                    <w:t>冲压件仓</w:t>
                  </w:r>
                </w:p>
              </w:tc>
              <w:tc>
                <w:tcPr>
                  <w:tcW w:w="1305" w:type="dxa"/>
                  <w:vAlign w:val="center"/>
                </w:tcPr>
                <w:p w14:paraId="653884C0">
                  <w:pPr>
                    <w:pageBreakBefore/>
                    <w:adjustRightInd w:val="0"/>
                    <w:snapToGrid w:val="0"/>
                    <w:jc w:val="center"/>
                    <w:rPr>
                      <w:color w:val="auto"/>
                      <w:szCs w:val="21"/>
                      <w:highlight w:val="none"/>
                    </w:rPr>
                  </w:pPr>
                  <w:r>
                    <w:rPr>
                      <w:rFonts w:hint="eastAsia"/>
                      <w:color w:val="auto"/>
                      <w:szCs w:val="21"/>
                      <w:highlight w:val="none"/>
                      <w:lang w:val="en-US" w:eastAsia="zh-CN"/>
                    </w:rPr>
                    <w:t>500</w:t>
                  </w:r>
                  <w:r>
                    <w:rPr>
                      <w:color w:val="auto"/>
                      <w:szCs w:val="21"/>
                      <w:highlight w:val="none"/>
                    </w:rPr>
                    <w:t>m</w:t>
                  </w:r>
                  <w:r>
                    <w:rPr>
                      <w:color w:val="auto"/>
                      <w:szCs w:val="21"/>
                      <w:highlight w:val="none"/>
                      <w:vertAlign w:val="superscript"/>
                    </w:rPr>
                    <w:t>2</w:t>
                  </w:r>
                </w:p>
              </w:tc>
              <w:tc>
                <w:tcPr>
                  <w:tcW w:w="1152" w:type="dxa"/>
                  <w:vAlign w:val="center"/>
                </w:tcPr>
                <w:p w14:paraId="4A8A1E84">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140" w:type="dxa"/>
                  <w:vAlign w:val="center"/>
                </w:tcPr>
                <w:p w14:paraId="033A38B5">
                  <w:pPr>
                    <w:pageBreakBefore/>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500</w:t>
                  </w:r>
                  <w:r>
                    <w:rPr>
                      <w:color w:val="auto"/>
                      <w:szCs w:val="21"/>
                      <w:highlight w:val="none"/>
                    </w:rPr>
                    <w:t>m</w:t>
                  </w:r>
                  <w:r>
                    <w:rPr>
                      <w:color w:val="auto"/>
                      <w:szCs w:val="21"/>
                      <w:highlight w:val="none"/>
                      <w:vertAlign w:val="superscript"/>
                    </w:rPr>
                    <w:t>2</w:t>
                  </w:r>
                </w:p>
              </w:tc>
              <w:tc>
                <w:tcPr>
                  <w:tcW w:w="2478" w:type="dxa"/>
                  <w:vAlign w:val="center"/>
                </w:tcPr>
                <w:p w14:paraId="28E18062">
                  <w:pPr>
                    <w:pageBreakBefore/>
                    <w:adjustRightInd w:val="0"/>
                    <w:snapToGrid w:val="0"/>
                    <w:jc w:val="center"/>
                    <w:rPr>
                      <w:rFonts w:hAnsi="宋体"/>
                      <w:color w:val="auto"/>
                      <w:szCs w:val="21"/>
                      <w:highlight w:val="none"/>
                    </w:rPr>
                  </w:pPr>
                  <w:r>
                    <w:rPr>
                      <w:rFonts w:hint="eastAsia" w:hAnsi="宋体"/>
                      <w:color w:val="auto"/>
                      <w:szCs w:val="21"/>
                      <w:highlight w:val="none"/>
                      <w:lang w:val="en-US" w:eastAsia="zh-CN"/>
                    </w:rPr>
                    <w:t>依托现有，</w:t>
                  </w:r>
                  <w:r>
                    <w:rPr>
                      <w:rFonts w:hint="eastAsia" w:hAnsi="宋体"/>
                      <w:color w:val="auto"/>
                      <w:szCs w:val="21"/>
                      <w:highlight w:val="none"/>
                    </w:rPr>
                    <w:t>位于</w:t>
                  </w:r>
                  <w:r>
                    <w:rPr>
                      <w:rFonts w:hint="eastAsia" w:hAnsi="宋体"/>
                      <w:color w:val="auto"/>
                      <w:szCs w:val="21"/>
                      <w:highlight w:val="none"/>
                      <w:lang w:val="en-US" w:eastAsia="zh-CN"/>
                    </w:rPr>
                    <w:t>3</w:t>
                  </w:r>
                  <w:r>
                    <w:rPr>
                      <w:rFonts w:hint="eastAsia" w:hAnsi="宋体"/>
                      <w:color w:val="auto"/>
                      <w:szCs w:val="21"/>
                      <w:highlight w:val="none"/>
                    </w:rPr>
                    <w:t>#厂房内</w:t>
                  </w:r>
                </w:p>
              </w:tc>
            </w:tr>
            <w:tr w14:paraId="447841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5BF64C82">
                  <w:pPr>
                    <w:pageBreakBefore/>
                    <w:adjustRightInd w:val="0"/>
                    <w:snapToGrid w:val="0"/>
                    <w:jc w:val="center"/>
                    <w:rPr>
                      <w:rFonts w:hint="eastAsia" w:hAnsi="宋体"/>
                      <w:bCs/>
                      <w:color w:val="auto"/>
                      <w:szCs w:val="21"/>
                      <w:highlight w:val="none"/>
                    </w:rPr>
                  </w:pPr>
                </w:p>
              </w:tc>
              <w:tc>
                <w:tcPr>
                  <w:tcW w:w="1023" w:type="dxa"/>
                  <w:gridSpan w:val="2"/>
                  <w:vAlign w:val="center"/>
                </w:tcPr>
                <w:p w14:paraId="6852A6C8">
                  <w:pPr>
                    <w:pageBreakBefore/>
                    <w:adjustRightInd w:val="0"/>
                    <w:snapToGrid w:val="0"/>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化学品库</w:t>
                  </w:r>
                </w:p>
              </w:tc>
              <w:tc>
                <w:tcPr>
                  <w:tcW w:w="1305" w:type="dxa"/>
                  <w:vAlign w:val="center"/>
                </w:tcPr>
                <w:p w14:paraId="1EE7FFC4">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40</w:t>
                  </w:r>
                  <w:r>
                    <w:rPr>
                      <w:color w:val="auto"/>
                      <w:szCs w:val="21"/>
                      <w:highlight w:val="none"/>
                    </w:rPr>
                    <w:t>m</w:t>
                  </w:r>
                  <w:r>
                    <w:rPr>
                      <w:color w:val="auto"/>
                      <w:szCs w:val="21"/>
                      <w:highlight w:val="none"/>
                      <w:vertAlign w:val="superscript"/>
                    </w:rPr>
                    <w:t>2</w:t>
                  </w:r>
                </w:p>
              </w:tc>
              <w:tc>
                <w:tcPr>
                  <w:tcW w:w="1152" w:type="dxa"/>
                  <w:vAlign w:val="center"/>
                </w:tcPr>
                <w:p w14:paraId="2DE5B5B6">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40" w:type="dxa"/>
                  <w:vAlign w:val="center"/>
                </w:tcPr>
                <w:p w14:paraId="53E48F82">
                  <w:pPr>
                    <w:pageBreakBefore/>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40</w:t>
                  </w:r>
                  <w:r>
                    <w:rPr>
                      <w:color w:val="auto"/>
                      <w:szCs w:val="21"/>
                      <w:highlight w:val="none"/>
                    </w:rPr>
                    <w:t>m</w:t>
                  </w:r>
                  <w:r>
                    <w:rPr>
                      <w:color w:val="auto"/>
                      <w:szCs w:val="21"/>
                      <w:highlight w:val="none"/>
                      <w:vertAlign w:val="superscript"/>
                    </w:rPr>
                    <w:t>2</w:t>
                  </w:r>
                </w:p>
              </w:tc>
              <w:tc>
                <w:tcPr>
                  <w:tcW w:w="2478" w:type="dxa"/>
                  <w:vAlign w:val="center"/>
                </w:tcPr>
                <w:p w14:paraId="54A867CD">
                  <w:pPr>
                    <w:pageBreakBefore/>
                    <w:adjustRightInd w:val="0"/>
                    <w:snapToGrid w:val="0"/>
                    <w:jc w:val="center"/>
                    <w:rPr>
                      <w:rFonts w:hint="default" w:hAnsi="宋体"/>
                      <w:color w:val="auto"/>
                      <w:szCs w:val="21"/>
                      <w:highlight w:val="none"/>
                      <w:lang w:val="en-US" w:eastAsia="zh-CN"/>
                    </w:rPr>
                  </w:pPr>
                  <w:r>
                    <w:rPr>
                      <w:rFonts w:hint="eastAsia" w:hAnsi="宋体"/>
                      <w:color w:val="auto"/>
                      <w:szCs w:val="21"/>
                      <w:highlight w:val="none"/>
                      <w:lang w:val="en-US" w:eastAsia="zh-CN"/>
                    </w:rPr>
                    <w:t>依托现有，存放塑粉、脱脂剂、表调剂、皮膜剂等</w:t>
                  </w:r>
                </w:p>
              </w:tc>
            </w:tr>
            <w:tr w14:paraId="5D9838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23B8E702">
                  <w:pPr>
                    <w:pageBreakBefore/>
                    <w:adjustRightInd w:val="0"/>
                    <w:snapToGrid w:val="0"/>
                    <w:jc w:val="center"/>
                    <w:rPr>
                      <w:rFonts w:hint="eastAsia" w:hAnsi="宋体"/>
                      <w:bCs/>
                      <w:color w:val="auto"/>
                      <w:szCs w:val="21"/>
                      <w:highlight w:val="none"/>
                    </w:rPr>
                  </w:pPr>
                </w:p>
              </w:tc>
              <w:tc>
                <w:tcPr>
                  <w:tcW w:w="1023" w:type="dxa"/>
                  <w:gridSpan w:val="2"/>
                  <w:vAlign w:val="center"/>
                </w:tcPr>
                <w:p w14:paraId="2EF3EF25">
                  <w:pPr>
                    <w:pageBreakBefore/>
                    <w:adjustRightInd w:val="0"/>
                    <w:snapToGrid w:val="0"/>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五金辅料堆放区</w:t>
                  </w:r>
                </w:p>
              </w:tc>
              <w:tc>
                <w:tcPr>
                  <w:tcW w:w="1305" w:type="dxa"/>
                  <w:vAlign w:val="center"/>
                </w:tcPr>
                <w:p w14:paraId="2BEF866F">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200</w:t>
                  </w:r>
                  <w:r>
                    <w:rPr>
                      <w:color w:val="auto"/>
                      <w:szCs w:val="21"/>
                      <w:highlight w:val="none"/>
                    </w:rPr>
                    <w:t>m</w:t>
                  </w:r>
                  <w:r>
                    <w:rPr>
                      <w:color w:val="auto"/>
                      <w:szCs w:val="21"/>
                      <w:highlight w:val="none"/>
                      <w:vertAlign w:val="superscript"/>
                    </w:rPr>
                    <w:t>2</w:t>
                  </w:r>
                </w:p>
              </w:tc>
              <w:tc>
                <w:tcPr>
                  <w:tcW w:w="1152" w:type="dxa"/>
                  <w:vAlign w:val="center"/>
                </w:tcPr>
                <w:p w14:paraId="158C633A">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40" w:type="dxa"/>
                  <w:vAlign w:val="center"/>
                </w:tcPr>
                <w:p w14:paraId="69E4F0C9">
                  <w:pPr>
                    <w:pageBreakBefore/>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200</w:t>
                  </w:r>
                  <w:r>
                    <w:rPr>
                      <w:color w:val="auto"/>
                      <w:szCs w:val="21"/>
                      <w:highlight w:val="none"/>
                    </w:rPr>
                    <w:t>m</w:t>
                  </w:r>
                  <w:r>
                    <w:rPr>
                      <w:color w:val="auto"/>
                      <w:szCs w:val="21"/>
                      <w:highlight w:val="none"/>
                      <w:vertAlign w:val="superscript"/>
                    </w:rPr>
                    <w:t>2</w:t>
                  </w:r>
                </w:p>
              </w:tc>
              <w:tc>
                <w:tcPr>
                  <w:tcW w:w="2478" w:type="dxa"/>
                  <w:vAlign w:val="center"/>
                </w:tcPr>
                <w:p w14:paraId="4CC49511">
                  <w:pPr>
                    <w:pageBreakBefore/>
                    <w:adjustRightInd w:val="0"/>
                    <w:snapToGrid w:val="0"/>
                    <w:jc w:val="center"/>
                    <w:rPr>
                      <w:rFonts w:hint="default" w:hAnsi="宋体"/>
                      <w:color w:val="auto"/>
                      <w:szCs w:val="21"/>
                      <w:highlight w:val="none"/>
                      <w:lang w:val="en-US" w:eastAsia="zh-CN"/>
                    </w:rPr>
                  </w:pPr>
                  <w:r>
                    <w:rPr>
                      <w:rFonts w:hint="eastAsia" w:hAnsi="宋体"/>
                      <w:color w:val="auto"/>
                      <w:szCs w:val="21"/>
                      <w:highlight w:val="none"/>
                      <w:lang w:val="en-US" w:eastAsia="zh-CN"/>
                    </w:rPr>
                    <w:t>依托现有，</w:t>
                  </w:r>
                  <w:r>
                    <w:rPr>
                      <w:rFonts w:hint="eastAsia" w:hAnsi="宋体"/>
                      <w:color w:val="auto"/>
                      <w:szCs w:val="21"/>
                      <w:highlight w:val="none"/>
                    </w:rPr>
                    <w:t>位于</w:t>
                  </w:r>
                  <w:r>
                    <w:rPr>
                      <w:rFonts w:hint="eastAsia" w:hAnsi="宋体"/>
                      <w:color w:val="auto"/>
                      <w:szCs w:val="21"/>
                      <w:highlight w:val="none"/>
                      <w:lang w:val="en-US" w:eastAsia="zh-CN"/>
                    </w:rPr>
                    <w:t>3</w:t>
                  </w:r>
                  <w:r>
                    <w:rPr>
                      <w:rFonts w:hint="eastAsia" w:hAnsi="宋体"/>
                      <w:color w:val="auto"/>
                      <w:szCs w:val="21"/>
                      <w:highlight w:val="none"/>
                    </w:rPr>
                    <w:t>#厂房内</w:t>
                  </w:r>
                  <w:r>
                    <w:rPr>
                      <w:rFonts w:hint="eastAsia" w:hAnsi="宋体"/>
                      <w:color w:val="auto"/>
                      <w:szCs w:val="21"/>
                      <w:highlight w:val="none"/>
                      <w:lang w:val="en-US" w:eastAsia="zh-CN"/>
                    </w:rPr>
                    <w:t>存放焊条、五金件</w:t>
                  </w:r>
                </w:p>
              </w:tc>
            </w:tr>
            <w:tr w14:paraId="2B7823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386B96A3">
                  <w:pPr>
                    <w:pageBreakBefore/>
                    <w:adjustRightInd w:val="0"/>
                    <w:snapToGrid w:val="0"/>
                    <w:jc w:val="center"/>
                    <w:rPr>
                      <w:rFonts w:hAnsi="宋体"/>
                      <w:color w:val="auto"/>
                      <w:szCs w:val="21"/>
                      <w:highlight w:val="none"/>
                    </w:rPr>
                  </w:pPr>
                </w:p>
              </w:tc>
              <w:tc>
                <w:tcPr>
                  <w:tcW w:w="1023" w:type="dxa"/>
                  <w:gridSpan w:val="2"/>
                  <w:vAlign w:val="center"/>
                </w:tcPr>
                <w:p w14:paraId="62BC7F79">
                  <w:pPr>
                    <w:pageBreakBefore/>
                    <w:adjustRightInd w:val="0"/>
                    <w:snapToGrid w:val="0"/>
                    <w:jc w:val="center"/>
                    <w:rPr>
                      <w:rFonts w:hAnsi="宋体"/>
                      <w:color w:val="auto"/>
                      <w:szCs w:val="21"/>
                      <w:highlight w:val="none"/>
                    </w:rPr>
                  </w:pPr>
                  <w:r>
                    <w:rPr>
                      <w:rFonts w:hint="eastAsia"/>
                      <w:color w:val="auto"/>
                      <w:szCs w:val="21"/>
                      <w:highlight w:val="none"/>
                    </w:rPr>
                    <w:t>成品仓库</w:t>
                  </w:r>
                </w:p>
              </w:tc>
              <w:tc>
                <w:tcPr>
                  <w:tcW w:w="1305" w:type="dxa"/>
                  <w:vAlign w:val="center"/>
                </w:tcPr>
                <w:p w14:paraId="6E61E0F6">
                  <w:pPr>
                    <w:pageBreakBefore/>
                    <w:adjustRightInd w:val="0"/>
                    <w:snapToGrid w:val="0"/>
                    <w:jc w:val="center"/>
                    <w:rPr>
                      <w:color w:val="auto"/>
                      <w:szCs w:val="21"/>
                      <w:highlight w:val="none"/>
                    </w:rPr>
                  </w:pPr>
                  <w:r>
                    <w:rPr>
                      <w:rFonts w:hint="eastAsia"/>
                      <w:color w:val="auto"/>
                      <w:szCs w:val="21"/>
                      <w:highlight w:val="none"/>
                      <w:lang w:val="en-US" w:eastAsia="zh-CN"/>
                    </w:rPr>
                    <w:t>1500</w:t>
                  </w:r>
                  <w:r>
                    <w:rPr>
                      <w:color w:val="auto"/>
                      <w:szCs w:val="21"/>
                      <w:highlight w:val="none"/>
                    </w:rPr>
                    <w:t>m</w:t>
                  </w:r>
                  <w:r>
                    <w:rPr>
                      <w:color w:val="auto"/>
                      <w:szCs w:val="21"/>
                      <w:highlight w:val="none"/>
                      <w:vertAlign w:val="superscript"/>
                    </w:rPr>
                    <w:t>2</w:t>
                  </w:r>
                </w:p>
              </w:tc>
              <w:tc>
                <w:tcPr>
                  <w:tcW w:w="1152" w:type="dxa"/>
                  <w:vAlign w:val="center"/>
                </w:tcPr>
                <w:p w14:paraId="773EF235">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140" w:type="dxa"/>
                  <w:vAlign w:val="center"/>
                </w:tcPr>
                <w:p w14:paraId="191B16CD">
                  <w:pPr>
                    <w:pageBreakBefore/>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1500</w:t>
                  </w:r>
                  <w:r>
                    <w:rPr>
                      <w:color w:val="auto"/>
                      <w:szCs w:val="21"/>
                      <w:highlight w:val="none"/>
                    </w:rPr>
                    <w:t>m</w:t>
                  </w:r>
                  <w:r>
                    <w:rPr>
                      <w:color w:val="auto"/>
                      <w:szCs w:val="21"/>
                      <w:highlight w:val="none"/>
                      <w:vertAlign w:val="superscript"/>
                    </w:rPr>
                    <w:t>2</w:t>
                  </w:r>
                </w:p>
              </w:tc>
              <w:tc>
                <w:tcPr>
                  <w:tcW w:w="2478" w:type="dxa"/>
                  <w:vAlign w:val="center"/>
                </w:tcPr>
                <w:p w14:paraId="0988A6DD">
                  <w:pPr>
                    <w:pageBreakBefore/>
                    <w:adjustRightInd w:val="0"/>
                    <w:snapToGrid w:val="0"/>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依托现有，</w:t>
                  </w:r>
                  <w:r>
                    <w:rPr>
                      <w:rFonts w:hint="eastAsia" w:hAnsi="宋体"/>
                      <w:color w:val="auto"/>
                      <w:szCs w:val="21"/>
                      <w:highlight w:val="none"/>
                    </w:rPr>
                    <w:t>位于</w:t>
                  </w:r>
                  <w:r>
                    <w:rPr>
                      <w:rFonts w:hint="eastAsia" w:hAnsi="宋体"/>
                      <w:color w:val="auto"/>
                      <w:szCs w:val="21"/>
                      <w:highlight w:val="none"/>
                      <w:lang w:val="en-US" w:eastAsia="zh-CN"/>
                    </w:rPr>
                    <w:t>3</w:t>
                  </w:r>
                  <w:r>
                    <w:rPr>
                      <w:rFonts w:hint="eastAsia" w:hAnsi="宋体"/>
                      <w:color w:val="auto"/>
                      <w:szCs w:val="21"/>
                      <w:highlight w:val="none"/>
                    </w:rPr>
                    <w:t>#厂房内</w:t>
                  </w:r>
                  <w:r>
                    <w:rPr>
                      <w:rFonts w:hint="eastAsia" w:hAnsi="宋体"/>
                      <w:color w:val="auto"/>
                      <w:szCs w:val="21"/>
                      <w:highlight w:val="none"/>
                      <w:lang w:eastAsia="zh-CN"/>
                    </w:rPr>
                    <w:t>，</w:t>
                  </w:r>
                  <w:r>
                    <w:rPr>
                      <w:rFonts w:hint="eastAsia" w:hAnsi="宋体"/>
                      <w:color w:val="auto"/>
                      <w:szCs w:val="21"/>
                      <w:highlight w:val="none"/>
                      <w:lang w:val="en-US" w:eastAsia="zh-CN"/>
                    </w:rPr>
                    <w:t>存放产品</w:t>
                  </w:r>
                </w:p>
              </w:tc>
            </w:tr>
            <w:tr w14:paraId="6E13FB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69962E18">
                  <w:pPr>
                    <w:pageBreakBefore/>
                    <w:adjustRightInd w:val="0"/>
                    <w:snapToGrid w:val="0"/>
                    <w:jc w:val="center"/>
                    <w:rPr>
                      <w:rFonts w:hAnsi="宋体"/>
                      <w:color w:val="auto"/>
                      <w:szCs w:val="21"/>
                      <w:highlight w:val="none"/>
                    </w:rPr>
                  </w:pPr>
                </w:p>
              </w:tc>
              <w:tc>
                <w:tcPr>
                  <w:tcW w:w="1023" w:type="dxa"/>
                  <w:gridSpan w:val="2"/>
                  <w:vAlign w:val="center"/>
                </w:tcPr>
                <w:p w14:paraId="2C02E5CA">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盐酸储罐</w:t>
                  </w:r>
                </w:p>
              </w:tc>
              <w:tc>
                <w:tcPr>
                  <w:tcW w:w="1305" w:type="dxa"/>
                  <w:vAlign w:val="center"/>
                </w:tcPr>
                <w:p w14:paraId="43A1DEC3">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共3个，30m</w:t>
                  </w:r>
                  <w:r>
                    <w:rPr>
                      <w:rFonts w:hint="eastAsia"/>
                      <w:color w:val="auto"/>
                      <w:szCs w:val="21"/>
                      <w:highlight w:val="none"/>
                      <w:vertAlign w:val="superscript"/>
                      <w:lang w:val="en-US" w:eastAsia="zh-CN"/>
                    </w:rPr>
                    <w:t>3</w:t>
                  </w:r>
                  <w:r>
                    <w:rPr>
                      <w:rFonts w:hint="eastAsia"/>
                      <w:color w:val="auto"/>
                      <w:szCs w:val="21"/>
                      <w:highlight w:val="none"/>
                      <w:vertAlign w:val="baseline"/>
                      <w:lang w:val="en-US" w:eastAsia="zh-CN"/>
                    </w:rPr>
                    <w:t>/个</w:t>
                  </w:r>
                </w:p>
              </w:tc>
              <w:tc>
                <w:tcPr>
                  <w:tcW w:w="1152" w:type="dxa"/>
                  <w:vAlign w:val="center"/>
                </w:tcPr>
                <w:p w14:paraId="23434BB6">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40" w:type="dxa"/>
                  <w:vAlign w:val="center"/>
                </w:tcPr>
                <w:p w14:paraId="75BCA320">
                  <w:pPr>
                    <w:pageBreakBefore/>
                    <w:adjustRightInd w:val="0"/>
                    <w:snapToGrid w:val="0"/>
                    <w:jc w:val="center"/>
                    <w:rPr>
                      <w:rFonts w:hint="eastAsia"/>
                      <w:color w:val="auto"/>
                      <w:szCs w:val="21"/>
                      <w:highlight w:val="none"/>
                      <w:lang w:val="en-US" w:eastAsia="zh-CN"/>
                    </w:rPr>
                  </w:pPr>
                </w:p>
              </w:tc>
              <w:tc>
                <w:tcPr>
                  <w:tcW w:w="2478" w:type="dxa"/>
                  <w:vAlign w:val="center"/>
                </w:tcPr>
                <w:p w14:paraId="643678B7">
                  <w:pPr>
                    <w:pageBreakBefore/>
                    <w:adjustRightInd w:val="0"/>
                    <w:snapToGrid w:val="0"/>
                    <w:jc w:val="center"/>
                    <w:rPr>
                      <w:rFonts w:hint="default" w:hAnsi="宋体"/>
                      <w:color w:val="auto"/>
                      <w:szCs w:val="21"/>
                      <w:highlight w:val="none"/>
                      <w:lang w:val="en-US" w:eastAsia="zh-CN"/>
                    </w:rPr>
                  </w:pPr>
                  <w:r>
                    <w:rPr>
                      <w:rFonts w:hint="eastAsia" w:hAnsi="宋体"/>
                      <w:color w:val="auto"/>
                      <w:szCs w:val="21"/>
                      <w:highlight w:val="none"/>
                      <w:lang w:val="en-US" w:eastAsia="zh-CN"/>
                    </w:rPr>
                    <w:t>现有项目，2用1备</w:t>
                  </w:r>
                </w:p>
              </w:tc>
            </w:tr>
            <w:tr w14:paraId="4480C5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restart"/>
                  <w:vAlign w:val="center"/>
                </w:tcPr>
                <w:p w14:paraId="59F9F87A">
                  <w:pPr>
                    <w:pageBreakBefore/>
                    <w:adjustRightInd w:val="0"/>
                    <w:snapToGrid w:val="0"/>
                    <w:spacing w:line="280" w:lineRule="exact"/>
                    <w:jc w:val="center"/>
                    <w:rPr>
                      <w:color w:val="auto"/>
                      <w:szCs w:val="21"/>
                      <w:highlight w:val="none"/>
                    </w:rPr>
                  </w:pPr>
                  <w:r>
                    <w:rPr>
                      <w:rFonts w:hAnsi="宋体"/>
                      <w:color w:val="auto"/>
                      <w:szCs w:val="21"/>
                      <w:highlight w:val="none"/>
                    </w:rPr>
                    <w:t>公用工程</w:t>
                  </w:r>
                </w:p>
              </w:tc>
              <w:tc>
                <w:tcPr>
                  <w:tcW w:w="1023" w:type="dxa"/>
                  <w:gridSpan w:val="2"/>
                  <w:vAlign w:val="center"/>
                </w:tcPr>
                <w:p w14:paraId="2A0A80E7">
                  <w:pPr>
                    <w:pageBreakBefore/>
                    <w:adjustRightInd w:val="0"/>
                    <w:snapToGrid w:val="0"/>
                    <w:spacing w:line="280" w:lineRule="exact"/>
                    <w:jc w:val="center"/>
                    <w:rPr>
                      <w:color w:val="auto"/>
                      <w:szCs w:val="21"/>
                      <w:highlight w:val="none"/>
                    </w:rPr>
                  </w:pPr>
                  <w:r>
                    <w:rPr>
                      <w:rFonts w:hAnsi="宋体"/>
                      <w:color w:val="auto"/>
                      <w:szCs w:val="21"/>
                      <w:highlight w:val="none"/>
                    </w:rPr>
                    <w:t>给水</w:t>
                  </w:r>
                </w:p>
              </w:tc>
              <w:tc>
                <w:tcPr>
                  <w:tcW w:w="1305" w:type="dxa"/>
                  <w:vAlign w:val="center"/>
                </w:tcPr>
                <w:p w14:paraId="3931C8F2">
                  <w:pPr>
                    <w:pageBreakBefore/>
                    <w:adjustRightInd w:val="0"/>
                    <w:snapToGrid w:val="0"/>
                    <w:spacing w:line="280" w:lineRule="exact"/>
                    <w:jc w:val="center"/>
                    <w:rPr>
                      <w:color w:val="auto"/>
                      <w:szCs w:val="21"/>
                      <w:highlight w:val="none"/>
                    </w:rPr>
                  </w:pPr>
                  <w:r>
                    <w:rPr>
                      <w:rFonts w:hint="eastAsia"/>
                      <w:color w:val="auto"/>
                      <w:szCs w:val="21"/>
                      <w:highlight w:val="none"/>
                      <w:lang w:val="en-US" w:eastAsia="zh-CN"/>
                    </w:rPr>
                    <w:t>11593.6</w:t>
                  </w:r>
                  <w:r>
                    <w:rPr>
                      <w:rFonts w:hint="eastAsia"/>
                      <w:color w:val="auto"/>
                      <w:szCs w:val="21"/>
                      <w:highlight w:val="none"/>
                    </w:rPr>
                    <w:t>m</w:t>
                  </w:r>
                  <w:r>
                    <w:rPr>
                      <w:rFonts w:hint="eastAsia"/>
                      <w:color w:val="auto"/>
                      <w:szCs w:val="21"/>
                      <w:highlight w:val="none"/>
                      <w:vertAlign w:val="superscript"/>
                    </w:rPr>
                    <w:t>3</w:t>
                  </w:r>
                  <w:r>
                    <w:rPr>
                      <w:color w:val="auto"/>
                      <w:szCs w:val="21"/>
                      <w:highlight w:val="none"/>
                    </w:rPr>
                    <w:t>/a</w:t>
                  </w:r>
                </w:p>
              </w:tc>
              <w:tc>
                <w:tcPr>
                  <w:tcW w:w="1152" w:type="dxa"/>
                  <w:vAlign w:val="center"/>
                </w:tcPr>
                <w:p w14:paraId="7F7DD88F">
                  <w:pPr>
                    <w:pageBreakBefore/>
                    <w:adjustRightInd w:val="0"/>
                    <w:snapToGrid w:val="0"/>
                    <w:spacing w:line="280" w:lineRule="exact"/>
                    <w:jc w:val="center"/>
                    <w:rPr>
                      <w:rFonts w:hint="default"/>
                      <w:color w:val="auto"/>
                      <w:szCs w:val="21"/>
                      <w:highlight w:val="none"/>
                      <w:lang w:val="en-US" w:eastAsia="zh-CN"/>
                    </w:rPr>
                  </w:pPr>
                  <w:r>
                    <w:rPr>
                      <w:rFonts w:hint="eastAsia"/>
                      <w:color w:val="auto"/>
                      <w:szCs w:val="21"/>
                      <w:highlight w:val="none"/>
                      <w:lang w:val="en-US" w:eastAsia="zh-CN"/>
                    </w:rPr>
                    <w:t>1715</w:t>
                  </w:r>
                  <w:r>
                    <w:rPr>
                      <w:rFonts w:hint="eastAsia"/>
                      <w:color w:val="auto"/>
                      <w:szCs w:val="21"/>
                      <w:highlight w:val="none"/>
                    </w:rPr>
                    <w:t>m</w:t>
                  </w:r>
                  <w:r>
                    <w:rPr>
                      <w:rFonts w:hint="eastAsia"/>
                      <w:color w:val="auto"/>
                      <w:szCs w:val="21"/>
                      <w:highlight w:val="none"/>
                      <w:vertAlign w:val="superscript"/>
                    </w:rPr>
                    <w:t>3</w:t>
                  </w:r>
                  <w:r>
                    <w:rPr>
                      <w:color w:val="auto"/>
                      <w:szCs w:val="21"/>
                      <w:highlight w:val="none"/>
                    </w:rPr>
                    <w:t>/a</w:t>
                  </w:r>
                </w:p>
              </w:tc>
              <w:tc>
                <w:tcPr>
                  <w:tcW w:w="1140" w:type="dxa"/>
                  <w:vAlign w:val="center"/>
                </w:tcPr>
                <w:p w14:paraId="04F11D70">
                  <w:pPr>
                    <w:pageBreakBefore/>
                    <w:adjustRightInd w:val="0"/>
                    <w:snapToGrid w:val="0"/>
                    <w:spacing w:line="280" w:lineRule="exact"/>
                    <w:jc w:val="center"/>
                    <w:rPr>
                      <w:rFonts w:hint="default"/>
                      <w:color w:val="auto"/>
                      <w:szCs w:val="21"/>
                      <w:highlight w:val="none"/>
                      <w:lang w:val="en-US" w:eastAsia="zh-CN"/>
                    </w:rPr>
                  </w:pPr>
                  <w:r>
                    <w:rPr>
                      <w:rFonts w:hint="eastAsia"/>
                      <w:color w:val="auto"/>
                      <w:szCs w:val="21"/>
                      <w:highlight w:val="none"/>
                      <w:lang w:val="en-US" w:eastAsia="zh-CN"/>
                    </w:rPr>
                    <w:t>13383.6</w:t>
                  </w:r>
                  <w:r>
                    <w:rPr>
                      <w:rFonts w:hint="eastAsia"/>
                      <w:color w:val="auto"/>
                      <w:szCs w:val="21"/>
                      <w:highlight w:val="none"/>
                    </w:rPr>
                    <w:t>m</w:t>
                  </w:r>
                  <w:r>
                    <w:rPr>
                      <w:rFonts w:hint="eastAsia"/>
                      <w:color w:val="auto"/>
                      <w:szCs w:val="21"/>
                      <w:highlight w:val="none"/>
                      <w:vertAlign w:val="superscript"/>
                    </w:rPr>
                    <w:t>3</w:t>
                  </w:r>
                  <w:r>
                    <w:rPr>
                      <w:color w:val="auto"/>
                      <w:szCs w:val="21"/>
                      <w:highlight w:val="none"/>
                    </w:rPr>
                    <w:t>/a</w:t>
                  </w:r>
                </w:p>
              </w:tc>
              <w:tc>
                <w:tcPr>
                  <w:tcW w:w="2478" w:type="dxa"/>
                  <w:vAlign w:val="center"/>
                </w:tcPr>
                <w:p w14:paraId="54E30019">
                  <w:pPr>
                    <w:pageBreakBefore/>
                    <w:adjustRightInd w:val="0"/>
                    <w:snapToGrid w:val="0"/>
                    <w:spacing w:line="280" w:lineRule="exact"/>
                    <w:jc w:val="center"/>
                    <w:rPr>
                      <w:color w:val="auto"/>
                      <w:szCs w:val="21"/>
                      <w:highlight w:val="none"/>
                    </w:rPr>
                  </w:pPr>
                  <w:r>
                    <w:rPr>
                      <w:rFonts w:hint="eastAsia" w:hAnsi="宋体"/>
                      <w:color w:val="auto"/>
                      <w:szCs w:val="21"/>
                      <w:highlight w:val="none"/>
                    </w:rPr>
                    <w:t>来自</w:t>
                  </w:r>
                  <w:r>
                    <w:rPr>
                      <w:rFonts w:hAnsi="宋体"/>
                      <w:color w:val="auto"/>
                      <w:szCs w:val="21"/>
                      <w:highlight w:val="none"/>
                    </w:rPr>
                    <w:t>市政管网</w:t>
                  </w:r>
                </w:p>
              </w:tc>
            </w:tr>
            <w:tr w14:paraId="767D23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7DE4DAA1">
                  <w:pPr>
                    <w:pageBreakBefore/>
                    <w:adjustRightInd w:val="0"/>
                    <w:snapToGrid w:val="0"/>
                    <w:spacing w:line="280" w:lineRule="exact"/>
                    <w:jc w:val="center"/>
                    <w:rPr>
                      <w:color w:val="auto"/>
                      <w:szCs w:val="21"/>
                      <w:highlight w:val="none"/>
                    </w:rPr>
                  </w:pPr>
                </w:p>
              </w:tc>
              <w:tc>
                <w:tcPr>
                  <w:tcW w:w="1023" w:type="dxa"/>
                  <w:gridSpan w:val="2"/>
                  <w:vAlign w:val="center"/>
                </w:tcPr>
                <w:p w14:paraId="2D3A1F33">
                  <w:pPr>
                    <w:pageBreakBefore/>
                    <w:adjustRightInd w:val="0"/>
                    <w:snapToGrid w:val="0"/>
                    <w:spacing w:line="280" w:lineRule="exact"/>
                    <w:jc w:val="center"/>
                    <w:rPr>
                      <w:color w:val="auto"/>
                      <w:szCs w:val="21"/>
                      <w:highlight w:val="none"/>
                    </w:rPr>
                  </w:pPr>
                  <w:r>
                    <w:rPr>
                      <w:rFonts w:hAnsi="宋体"/>
                      <w:color w:val="auto"/>
                      <w:szCs w:val="21"/>
                      <w:highlight w:val="none"/>
                    </w:rPr>
                    <w:t>排水</w:t>
                  </w:r>
                </w:p>
              </w:tc>
              <w:tc>
                <w:tcPr>
                  <w:tcW w:w="3597" w:type="dxa"/>
                  <w:gridSpan w:val="3"/>
                  <w:vAlign w:val="center"/>
                </w:tcPr>
                <w:p w14:paraId="7EA44B7C">
                  <w:pPr>
                    <w:pageBreakBefore/>
                    <w:adjustRightInd w:val="0"/>
                    <w:snapToGrid w:val="0"/>
                    <w:spacing w:line="280" w:lineRule="exact"/>
                    <w:jc w:val="center"/>
                    <w:rPr>
                      <w:rFonts w:hint="eastAsia" w:eastAsia="宋体"/>
                      <w:color w:val="auto"/>
                      <w:szCs w:val="21"/>
                      <w:highlight w:val="none"/>
                      <w:lang w:val="en-US" w:eastAsia="zh-CN"/>
                    </w:rPr>
                  </w:pPr>
                  <w:r>
                    <w:rPr>
                      <w:rFonts w:ascii="Times New Roman"/>
                      <w:color w:val="auto"/>
                      <w:sz w:val="21"/>
                      <w:szCs w:val="21"/>
                      <w:highlight w:val="none"/>
                    </w:rPr>
                    <w:t>设雨污分流、清污分流系统</w:t>
                  </w:r>
                </w:p>
              </w:tc>
              <w:tc>
                <w:tcPr>
                  <w:tcW w:w="2478" w:type="dxa"/>
                  <w:vAlign w:val="center"/>
                </w:tcPr>
                <w:p w14:paraId="6E8D128E">
                  <w:pPr>
                    <w:pageBreakBefore/>
                    <w:adjustRightInd w:val="0"/>
                    <w:snapToGrid w:val="0"/>
                    <w:spacing w:line="280" w:lineRule="exact"/>
                    <w:jc w:val="center"/>
                    <w:rPr>
                      <w:rFonts w:hint="eastAsia" w:eastAsia="宋体"/>
                      <w:color w:val="auto"/>
                      <w:szCs w:val="21"/>
                      <w:highlight w:val="none"/>
                      <w:lang w:eastAsia="zh-CN"/>
                    </w:rPr>
                  </w:pPr>
                  <w:r>
                    <w:rPr>
                      <w:rFonts w:hint="eastAsia"/>
                      <w:color w:val="auto"/>
                      <w:sz w:val="21"/>
                      <w:szCs w:val="21"/>
                      <w:highlight w:val="none"/>
                      <w:lang w:val="en-US" w:eastAsia="zh-CN"/>
                    </w:rPr>
                    <w:t>厂区项目</w:t>
                  </w:r>
                  <w:r>
                    <w:rPr>
                      <w:rFonts w:hint="default" w:ascii="Times New Roman" w:hAnsi="Times New Roman" w:eastAsia="宋体" w:cs="Times New Roman"/>
                      <w:color w:val="auto"/>
                      <w:sz w:val="21"/>
                      <w:szCs w:val="21"/>
                      <w:highlight w:val="none"/>
                    </w:rPr>
                    <w:t>雨水进厂区雨水管网，污水</w:t>
                  </w:r>
                  <w:r>
                    <w:rPr>
                      <w:rFonts w:hint="eastAsia"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rPr>
                    <w:t>厂内污水处理站处理后接管</w:t>
                  </w:r>
                  <w:r>
                    <w:rPr>
                      <w:rFonts w:hint="eastAsia" w:cs="Times New Roman"/>
                      <w:color w:val="auto"/>
                      <w:sz w:val="21"/>
                      <w:szCs w:val="21"/>
                      <w:highlight w:val="none"/>
                      <w:lang w:val="en-US" w:eastAsia="zh-CN"/>
                    </w:rPr>
                    <w:t>李口镇污水处理厂处理</w:t>
                  </w:r>
                </w:p>
              </w:tc>
            </w:tr>
            <w:tr w14:paraId="748E46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20CD6DA3">
                  <w:pPr>
                    <w:pageBreakBefore/>
                    <w:adjustRightInd w:val="0"/>
                    <w:snapToGrid w:val="0"/>
                    <w:spacing w:line="280" w:lineRule="exact"/>
                    <w:jc w:val="center"/>
                    <w:rPr>
                      <w:color w:val="auto"/>
                      <w:szCs w:val="21"/>
                      <w:highlight w:val="none"/>
                    </w:rPr>
                  </w:pPr>
                </w:p>
              </w:tc>
              <w:tc>
                <w:tcPr>
                  <w:tcW w:w="1023" w:type="dxa"/>
                  <w:gridSpan w:val="2"/>
                  <w:vAlign w:val="center"/>
                </w:tcPr>
                <w:p w14:paraId="3474F74C">
                  <w:pPr>
                    <w:pageBreakBefore/>
                    <w:adjustRightInd w:val="0"/>
                    <w:snapToGrid w:val="0"/>
                    <w:spacing w:line="280" w:lineRule="exact"/>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天然气</w:t>
                  </w:r>
                </w:p>
              </w:tc>
              <w:tc>
                <w:tcPr>
                  <w:tcW w:w="1305" w:type="dxa"/>
                  <w:vAlign w:val="center"/>
                </w:tcPr>
                <w:p w14:paraId="022DB0A7">
                  <w:pPr>
                    <w:pageBreakBefore/>
                    <w:adjustRightInd w:val="0"/>
                    <w:snapToGrid w:val="0"/>
                    <w:spacing w:line="280" w:lineRule="exact"/>
                    <w:jc w:val="center"/>
                    <w:rPr>
                      <w:rFonts w:hint="default" w:eastAsia="宋体"/>
                      <w:color w:val="auto"/>
                      <w:szCs w:val="21"/>
                      <w:highlight w:val="none"/>
                      <w:lang w:val="en-US" w:eastAsia="zh-CN"/>
                    </w:rPr>
                  </w:pPr>
                  <w:r>
                    <w:rPr>
                      <w:rFonts w:hint="eastAsia"/>
                      <w:color w:val="auto"/>
                      <w:szCs w:val="21"/>
                      <w:highlight w:val="none"/>
                      <w:lang w:val="en-US" w:eastAsia="zh-CN"/>
                    </w:rPr>
                    <w:t>10万</w:t>
                  </w:r>
                  <w:r>
                    <w:rPr>
                      <w:rFonts w:hint="eastAsia"/>
                      <w:color w:val="auto"/>
                      <w:kern w:val="0"/>
                      <w:szCs w:val="21"/>
                      <w:highlight w:val="none"/>
                      <w:lang w:val="en-US" w:eastAsia="zh-CN"/>
                    </w:rPr>
                    <w:t>m</w:t>
                  </w:r>
                  <w:r>
                    <w:rPr>
                      <w:rFonts w:hint="eastAsia"/>
                      <w:color w:val="auto"/>
                      <w:kern w:val="0"/>
                      <w:szCs w:val="21"/>
                      <w:highlight w:val="none"/>
                      <w:vertAlign w:val="superscript"/>
                      <w:lang w:val="en-US" w:eastAsia="zh-CN"/>
                    </w:rPr>
                    <w:t>3</w:t>
                  </w:r>
                  <w:r>
                    <w:rPr>
                      <w:rFonts w:hint="eastAsia"/>
                      <w:color w:val="auto"/>
                      <w:kern w:val="0"/>
                      <w:szCs w:val="21"/>
                      <w:highlight w:val="none"/>
                      <w:lang w:val="en-US" w:eastAsia="zh-CN"/>
                    </w:rPr>
                    <w:t>/a</w:t>
                  </w:r>
                </w:p>
              </w:tc>
              <w:tc>
                <w:tcPr>
                  <w:tcW w:w="1152" w:type="dxa"/>
                  <w:vAlign w:val="center"/>
                </w:tcPr>
                <w:p w14:paraId="64C185F7">
                  <w:pPr>
                    <w:pageBreakBefore/>
                    <w:adjustRightInd w:val="0"/>
                    <w:snapToGrid w:val="0"/>
                    <w:spacing w:line="280" w:lineRule="exact"/>
                    <w:jc w:val="center"/>
                    <w:rPr>
                      <w:rFonts w:hint="default" w:eastAsia="宋体"/>
                      <w:color w:val="auto"/>
                      <w:szCs w:val="21"/>
                      <w:highlight w:val="none"/>
                      <w:lang w:val="en-US" w:eastAsia="zh-CN"/>
                    </w:rPr>
                  </w:pPr>
                  <w:r>
                    <w:rPr>
                      <w:rFonts w:hint="eastAsia"/>
                      <w:color w:val="auto"/>
                      <w:szCs w:val="21"/>
                      <w:highlight w:val="none"/>
                      <w:lang w:val="en-US" w:eastAsia="zh-CN"/>
                    </w:rPr>
                    <w:t>14万</w:t>
                  </w:r>
                  <w:r>
                    <w:rPr>
                      <w:rFonts w:hint="eastAsia"/>
                      <w:color w:val="auto"/>
                      <w:kern w:val="0"/>
                      <w:szCs w:val="21"/>
                      <w:highlight w:val="none"/>
                      <w:lang w:val="en-US" w:eastAsia="zh-CN"/>
                    </w:rPr>
                    <w:t>m</w:t>
                  </w:r>
                  <w:r>
                    <w:rPr>
                      <w:rFonts w:hint="eastAsia"/>
                      <w:color w:val="auto"/>
                      <w:kern w:val="0"/>
                      <w:szCs w:val="21"/>
                      <w:highlight w:val="none"/>
                      <w:vertAlign w:val="superscript"/>
                      <w:lang w:val="en-US" w:eastAsia="zh-CN"/>
                    </w:rPr>
                    <w:t>3</w:t>
                  </w:r>
                  <w:r>
                    <w:rPr>
                      <w:rFonts w:hint="eastAsia"/>
                      <w:color w:val="auto"/>
                      <w:kern w:val="0"/>
                      <w:szCs w:val="21"/>
                      <w:highlight w:val="none"/>
                      <w:lang w:val="en-US" w:eastAsia="zh-CN"/>
                    </w:rPr>
                    <w:t>/a</w:t>
                  </w:r>
                </w:p>
              </w:tc>
              <w:tc>
                <w:tcPr>
                  <w:tcW w:w="1140" w:type="dxa"/>
                  <w:vAlign w:val="center"/>
                </w:tcPr>
                <w:p w14:paraId="4B8733B3">
                  <w:pPr>
                    <w:pageBreakBefore/>
                    <w:adjustRightInd w:val="0"/>
                    <w:snapToGrid w:val="0"/>
                    <w:spacing w:line="280" w:lineRule="exact"/>
                    <w:jc w:val="center"/>
                    <w:rPr>
                      <w:rFonts w:hint="default" w:eastAsia="宋体"/>
                      <w:color w:val="auto"/>
                      <w:szCs w:val="21"/>
                      <w:highlight w:val="none"/>
                      <w:lang w:val="en-US" w:eastAsia="zh-CN"/>
                    </w:rPr>
                  </w:pPr>
                  <w:r>
                    <w:rPr>
                      <w:rFonts w:hint="eastAsia"/>
                      <w:color w:val="auto"/>
                      <w:szCs w:val="21"/>
                      <w:highlight w:val="none"/>
                      <w:lang w:val="en-US" w:eastAsia="zh-CN"/>
                    </w:rPr>
                    <w:t>24万</w:t>
                  </w:r>
                  <w:r>
                    <w:rPr>
                      <w:rFonts w:hint="eastAsia"/>
                      <w:color w:val="auto"/>
                      <w:kern w:val="0"/>
                      <w:szCs w:val="21"/>
                      <w:highlight w:val="none"/>
                      <w:lang w:val="en-US" w:eastAsia="zh-CN"/>
                    </w:rPr>
                    <w:t>m</w:t>
                  </w:r>
                  <w:r>
                    <w:rPr>
                      <w:rFonts w:hint="eastAsia"/>
                      <w:color w:val="auto"/>
                      <w:kern w:val="0"/>
                      <w:szCs w:val="21"/>
                      <w:highlight w:val="none"/>
                      <w:vertAlign w:val="superscript"/>
                      <w:lang w:val="en-US" w:eastAsia="zh-CN"/>
                    </w:rPr>
                    <w:t>3</w:t>
                  </w:r>
                  <w:r>
                    <w:rPr>
                      <w:rFonts w:hint="eastAsia"/>
                      <w:color w:val="auto"/>
                      <w:kern w:val="0"/>
                      <w:szCs w:val="21"/>
                      <w:highlight w:val="none"/>
                      <w:lang w:val="en-US" w:eastAsia="zh-CN"/>
                    </w:rPr>
                    <w:t>/a</w:t>
                  </w:r>
                </w:p>
              </w:tc>
              <w:tc>
                <w:tcPr>
                  <w:tcW w:w="2478" w:type="dxa"/>
                  <w:vAlign w:val="center"/>
                </w:tcPr>
                <w:p w14:paraId="224AD48F">
                  <w:pPr>
                    <w:pageBreakBefore/>
                    <w:adjustRightInd w:val="0"/>
                    <w:snapToGrid w:val="0"/>
                    <w:spacing w:line="280" w:lineRule="exact"/>
                    <w:jc w:val="center"/>
                    <w:rPr>
                      <w:color w:val="auto"/>
                      <w:szCs w:val="21"/>
                      <w:highlight w:val="none"/>
                    </w:rPr>
                  </w:pPr>
                  <w:r>
                    <w:rPr>
                      <w:rFonts w:hAnsi="宋体"/>
                      <w:color w:val="auto"/>
                      <w:sz w:val="21"/>
                      <w:szCs w:val="21"/>
                      <w:highlight w:val="none"/>
                    </w:rPr>
                    <w:t>由园区管网供给</w:t>
                  </w:r>
                </w:p>
              </w:tc>
            </w:tr>
            <w:tr w14:paraId="117A3A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2F40EA27">
                  <w:pPr>
                    <w:pageBreakBefore/>
                    <w:adjustRightInd w:val="0"/>
                    <w:snapToGrid w:val="0"/>
                    <w:spacing w:line="280" w:lineRule="exact"/>
                    <w:jc w:val="center"/>
                    <w:rPr>
                      <w:color w:val="auto"/>
                      <w:szCs w:val="21"/>
                      <w:highlight w:val="none"/>
                    </w:rPr>
                  </w:pPr>
                </w:p>
              </w:tc>
              <w:tc>
                <w:tcPr>
                  <w:tcW w:w="1023" w:type="dxa"/>
                  <w:gridSpan w:val="2"/>
                  <w:vAlign w:val="center"/>
                </w:tcPr>
                <w:p w14:paraId="100CB1A3">
                  <w:pPr>
                    <w:pageBreakBefore/>
                    <w:adjustRightInd w:val="0"/>
                    <w:snapToGrid w:val="0"/>
                    <w:spacing w:line="280" w:lineRule="exact"/>
                    <w:jc w:val="center"/>
                    <w:rPr>
                      <w:color w:val="auto"/>
                      <w:szCs w:val="21"/>
                      <w:highlight w:val="none"/>
                    </w:rPr>
                  </w:pPr>
                  <w:r>
                    <w:rPr>
                      <w:rFonts w:hAnsi="宋体"/>
                      <w:color w:val="auto"/>
                      <w:szCs w:val="21"/>
                      <w:highlight w:val="none"/>
                    </w:rPr>
                    <w:t>供电</w:t>
                  </w:r>
                </w:p>
              </w:tc>
              <w:tc>
                <w:tcPr>
                  <w:tcW w:w="1305" w:type="dxa"/>
                  <w:tcMar>
                    <w:left w:w="0" w:type="dxa"/>
                    <w:right w:w="0" w:type="dxa"/>
                  </w:tcMar>
                  <w:vAlign w:val="center"/>
                </w:tcPr>
                <w:p w14:paraId="6F612B13">
                  <w:pPr>
                    <w:pageBreakBefore/>
                    <w:adjustRightInd w:val="0"/>
                    <w:snapToGrid w:val="0"/>
                    <w:spacing w:line="280" w:lineRule="exact"/>
                    <w:jc w:val="center"/>
                    <w:rPr>
                      <w:color w:val="auto"/>
                      <w:spacing w:val="-10"/>
                      <w:szCs w:val="21"/>
                      <w:highlight w:val="none"/>
                    </w:rPr>
                  </w:pPr>
                  <w:r>
                    <w:rPr>
                      <w:rFonts w:hint="eastAsia"/>
                      <w:color w:val="auto"/>
                      <w:sz w:val="21"/>
                      <w:szCs w:val="21"/>
                      <w:highlight w:val="none"/>
                      <w:lang w:val="en-US" w:eastAsia="zh-CN"/>
                    </w:rPr>
                    <w:t>332</w:t>
                  </w:r>
                  <w:r>
                    <w:rPr>
                      <w:rFonts w:hint="eastAsia"/>
                      <w:color w:val="auto"/>
                      <w:sz w:val="21"/>
                      <w:szCs w:val="21"/>
                      <w:highlight w:val="none"/>
                    </w:rPr>
                    <w:t>万</w:t>
                  </w:r>
                  <w:r>
                    <w:rPr>
                      <w:color w:val="auto"/>
                      <w:kern w:val="0"/>
                      <w:sz w:val="21"/>
                      <w:szCs w:val="21"/>
                      <w:highlight w:val="none"/>
                    </w:rPr>
                    <w:t>kWh</w:t>
                  </w:r>
                  <w:r>
                    <w:rPr>
                      <w:color w:val="auto"/>
                      <w:sz w:val="21"/>
                      <w:szCs w:val="21"/>
                      <w:highlight w:val="none"/>
                    </w:rPr>
                    <w:t>/a</w:t>
                  </w:r>
                </w:p>
              </w:tc>
              <w:tc>
                <w:tcPr>
                  <w:tcW w:w="1152" w:type="dxa"/>
                  <w:tcMar>
                    <w:left w:w="0" w:type="dxa"/>
                    <w:right w:w="0" w:type="dxa"/>
                  </w:tcMar>
                  <w:vAlign w:val="center"/>
                </w:tcPr>
                <w:p w14:paraId="5FE3EF2B">
                  <w:pPr>
                    <w:pageBreakBefore/>
                    <w:adjustRightInd w:val="0"/>
                    <w:snapToGrid w:val="0"/>
                    <w:spacing w:line="280" w:lineRule="exact"/>
                    <w:jc w:val="center"/>
                    <w:rPr>
                      <w:rFonts w:hint="eastAsia"/>
                      <w:color w:val="auto"/>
                      <w:szCs w:val="21"/>
                      <w:highlight w:val="none"/>
                    </w:rPr>
                  </w:pPr>
                  <w:r>
                    <w:rPr>
                      <w:rFonts w:hint="eastAsia"/>
                      <w:color w:val="auto"/>
                      <w:sz w:val="21"/>
                      <w:szCs w:val="21"/>
                      <w:highlight w:val="none"/>
                      <w:lang w:val="en-US" w:eastAsia="zh-CN"/>
                    </w:rPr>
                    <w:t>20</w:t>
                  </w:r>
                  <w:r>
                    <w:rPr>
                      <w:rFonts w:hint="eastAsia"/>
                      <w:color w:val="auto"/>
                      <w:sz w:val="21"/>
                      <w:szCs w:val="21"/>
                      <w:highlight w:val="none"/>
                    </w:rPr>
                    <w:t>万</w:t>
                  </w:r>
                  <w:r>
                    <w:rPr>
                      <w:color w:val="auto"/>
                      <w:kern w:val="0"/>
                      <w:sz w:val="21"/>
                      <w:szCs w:val="21"/>
                      <w:highlight w:val="none"/>
                    </w:rPr>
                    <w:t>kWh</w:t>
                  </w:r>
                  <w:r>
                    <w:rPr>
                      <w:color w:val="auto"/>
                      <w:sz w:val="21"/>
                      <w:szCs w:val="21"/>
                      <w:highlight w:val="none"/>
                    </w:rPr>
                    <w:t>/a</w:t>
                  </w:r>
                </w:p>
              </w:tc>
              <w:tc>
                <w:tcPr>
                  <w:tcW w:w="1140" w:type="dxa"/>
                  <w:tcMar>
                    <w:left w:w="0" w:type="dxa"/>
                    <w:right w:w="0" w:type="dxa"/>
                  </w:tcMar>
                  <w:vAlign w:val="center"/>
                </w:tcPr>
                <w:p w14:paraId="44A27F02">
                  <w:pPr>
                    <w:pageBreakBefore/>
                    <w:adjustRightInd w:val="0"/>
                    <w:snapToGrid w:val="0"/>
                    <w:spacing w:line="280" w:lineRule="exact"/>
                    <w:jc w:val="center"/>
                    <w:rPr>
                      <w:rFonts w:hint="eastAsia"/>
                      <w:color w:val="auto"/>
                      <w:szCs w:val="21"/>
                      <w:highlight w:val="none"/>
                    </w:rPr>
                  </w:pPr>
                  <w:r>
                    <w:rPr>
                      <w:rFonts w:hint="eastAsia"/>
                      <w:color w:val="auto"/>
                      <w:sz w:val="21"/>
                      <w:szCs w:val="21"/>
                      <w:highlight w:val="none"/>
                      <w:lang w:val="en-US" w:eastAsia="zh-CN"/>
                    </w:rPr>
                    <w:t>352</w:t>
                  </w:r>
                  <w:r>
                    <w:rPr>
                      <w:rFonts w:hint="eastAsia"/>
                      <w:color w:val="auto"/>
                      <w:sz w:val="21"/>
                      <w:szCs w:val="21"/>
                      <w:highlight w:val="none"/>
                    </w:rPr>
                    <w:t>万</w:t>
                  </w:r>
                  <w:r>
                    <w:rPr>
                      <w:color w:val="auto"/>
                      <w:kern w:val="0"/>
                      <w:sz w:val="21"/>
                      <w:szCs w:val="21"/>
                      <w:highlight w:val="none"/>
                    </w:rPr>
                    <w:t>kWh</w:t>
                  </w:r>
                  <w:r>
                    <w:rPr>
                      <w:color w:val="auto"/>
                      <w:sz w:val="21"/>
                      <w:szCs w:val="21"/>
                      <w:highlight w:val="none"/>
                    </w:rPr>
                    <w:t>/a</w:t>
                  </w:r>
                </w:p>
              </w:tc>
              <w:tc>
                <w:tcPr>
                  <w:tcW w:w="2478" w:type="dxa"/>
                  <w:tcMar>
                    <w:left w:w="0" w:type="dxa"/>
                    <w:right w:w="0" w:type="dxa"/>
                  </w:tcMar>
                  <w:vAlign w:val="center"/>
                </w:tcPr>
                <w:p w14:paraId="23E8A7F1">
                  <w:pPr>
                    <w:pageBreakBefore/>
                    <w:adjustRightInd w:val="0"/>
                    <w:snapToGrid w:val="0"/>
                    <w:spacing w:line="280" w:lineRule="exact"/>
                    <w:ind w:firstLine="105" w:firstLineChars="50"/>
                    <w:jc w:val="center"/>
                    <w:rPr>
                      <w:color w:val="auto"/>
                      <w:szCs w:val="21"/>
                      <w:highlight w:val="none"/>
                    </w:rPr>
                  </w:pPr>
                  <w:r>
                    <w:rPr>
                      <w:rFonts w:hAnsi="宋体"/>
                      <w:color w:val="auto"/>
                      <w:szCs w:val="21"/>
                      <w:highlight w:val="none"/>
                    </w:rPr>
                    <w:t>来自</w:t>
                  </w:r>
                  <w:r>
                    <w:rPr>
                      <w:rFonts w:hint="eastAsia" w:hAnsi="宋体"/>
                      <w:color w:val="auto"/>
                      <w:szCs w:val="21"/>
                      <w:highlight w:val="none"/>
                    </w:rPr>
                    <w:t>市政电网</w:t>
                  </w:r>
                </w:p>
              </w:tc>
            </w:tr>
            <w:tr w14:paraId="0B7D25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restart"/>
                  <w:vAlign w:val="center"/>
                </w:tcPr>
                <w:p w14:paraId="23FD372B">
                  <w:pPr>
                    <w:pageBreakBefore/>
                    <w:adjustRightInd w:val="0"/>
                    <w:snapToGrid w:val="0"/>
                    <w:spacing w:line="280" w:lineRule="exact"/>
                    <w:jc w:val="center"/>
                    <w:rPr>
                      <w:color w:val="auto"/>
                      <w:szCs w:val="21"/>
                      <w:highlight w:val="none"/>
                    </w:rPr>
                  </w:pPr>
                  <w:r>
                    <w:rPr>
                      <w:rFonts w:hAnsi="宋体"/>
                      <w:color w:val="auto"/>
                      <w:szCs w:val="21"/>
                      <w:highlight w:val="none"/>
                    </w:rPr>
                    <w:t>环保工程</w:t>
                  </w:r>
                </w:p>
              </w:tc>
              <w:tc>
                <w:tcPr>
                  <w:tcW w:w="1023" w:type="dxa"/>
                  <w:gridSpan w:val="2"/>
                  <w:vMerge w:val="restart"/>
                  <w:vAlign w:val="center"/>
                </w:tcPr>
                <w:p w14:paraId="15AEDBD8">
                  <w:pPr>
                    <w:pageBreakBefore/>
                    <w:adjustRightInd w:val="0"/>
                    <w:snapToGrid w:val="0"/>
                    <w:spacing w:line="280" w:lineRule="exact"/>
                    <w:jc w:val="center"/>
                    <w:rPr>
                      <w:rFonts w:hint="default" w:eastAsia="宋体"/>
                      <w:color w:val="auto"/>
                      <w:szCs w:val="21"/>
                      <w:highlight w:val="none"/>
                      <w:lang w:val="en-US" w:eastAsia="zh-CN"/>
                    </w:rPr>
                  </w:pPr>
                  <w:r>
                    <w:rPr>
                      <w:rFonts w:hAnsi="宋体"/>
                      <w:color w:val="auto"/>
                      <w:szCs w:val="21"/>
                      <w:highlight w:val="none"/>
                    </w:rPr>
                    <w:t>废气</w:t>
                  </w:r>
                </w:p>
              </w:tc>
              <w:tc>
                <w:tcPr>
                  <w:tcW w:w="3597" w:type="dxa"/>
                  <w:gridSpan w:val="3"/>
                  <w:tcBorders>
                    <w:bottom w:val="single" w:color="auto" w:sz="4" w:space="0"/>
                  </w:tcBorders>
                  <w:tcMar>
                    <w:left w:w="0" w:type="dxa"/>
                    <w:right w:w="0" w:type="dxa"/>
                  </w:tcMar>
                  <w:vAlign w:val="center"/>
                </w:tcPr>
                <w:p w14:paraId="6845E5CA">
                  <w:pPr>
                    <w:pageBreakBefore/>
                    <w:adjustRightInd w:val="0"/>
                    <w:snapToGrid w:val="0"/>
                    <w:spacing w:line="280" w:lineRule="exact"/>
                    <w:jc w:val="center"/>
                    <w:rPr>
                      <w:rFonts w:hint="default" w:eastAsia="宋体"/>
                      <w:color w:val="auto"/>
                      <w:szCs w:val="21"/>
                      <w:highlight w:val="none"/>
                      <w:lang w:val="en-US" w:eastAsia="zh-CN"/>
                    </w:rPr>
                  </w:pPr>
                  <w:r>
                    <w:rPr>
                      <w:rFonts w:hint="default" w:ascii="Times New Roman" w:hAnsi="Times New Roman" w:eastAsia="宋体" w:cs="Times New Roman"/>
                      <w:color w:val="auto"/>
                      <w:sz w:val="21"/>
                      <w:szCs w:val="21"/>
                      <w:lang w:val="en-US" w:eastAsia="zh-CN"/>
                    </w:rPr>
                    <w:t>焊接烟尘通过布袋除尘器处理后经1根（</w:t>
                  </w:r>
                  <w:r>
                    <w:rPr>
                      <w:rFonts w:hint="eastAsia" w:ascii="Times New Roman" w:hAnsi="Times New Roman" w:eastAsia="宋体" w:cs="Times New Roman"/>
                      <w:color w:val="auto"/>
                      <w:sz w:val="21"/>
                      <w:szCs w:val="21"/>
                      <w:lang w:val="en-US" w:eastAsia="zh-CN"/>
                    </w:rPr>
                    <w:t>DA001</w:t>
                  </w:r>
                  <w:r>
                    <w:rPr>
                      <w:rFonts w:hint="default" w:ascii="Times New Roman" w:hAnsi="Times New Roman" w:eastAsia="宋体" w:cs="Times New Roman"/>
                      <w:color w:val="auto"/>
                      <w:sz w:val="21"/>
                      <w:szCs w:val="21"/>
                      <w:lang w:val="en-US" w:eastAsia="zh-CN"/>
                    </w:rPr>
                    <w:t>）15米高排气筒高空排放</w:t>
                  </w:r>
                </w:p>
              </w:tc>
              <w:tc>
                <w:tcPr>
                  <w:tcW w:w="2478" w:type="dxa"/>
                  <w:tcMar>
                    <w:left w:w="0" w:type="dxa"/>
                    <w:right w:w="0" w:type="dxa"/>
                  </w:tcMar>
                  <w:vAlign w:val="center"/>
                </w:tcPr>
                <w:p w14:paraId="2E8917B0">
                  <w:pPr>
                    <w:pageBreakBefore/>
                    <w:adjustRightInd w:val="0"/>
                    <w:snapToGrid w:val="0"/>
                    <w:spacing w:line="280" w:lineRule="exact"/>
                    <w:ind w:firstLine="105" w:firstLineChars="50"/>
                    <w:jc w:val="center"/>
                    <w:rPr>
                      <w:rFonts w:hint="eastAsia" w:eastAsia="宋体"/>
                      <w:color w:val="auto"/>
                      <w:szCs w:val="21"/>
                      <w:highlight w:val="none"/>
                      <w:lang w:val="en-US" w:eastAsia="zh-CN"/>
                    </w:rPr>
                  </w:pPr>
                  <w:r>
                    <w:rPr>
                      <w:rFonts w:hint="eastAsia"/>
                      <w:color w:val="auto"/>
                      <w:szCs w:val="21"/>
                      <w:highlight w:val="none"/>
                      <w:lang w:val="en-US" w:eastAsia="zh-CN"/>
                    </w:rPr>
                    <w:t>现有项目</w:t>
                  </w:r>
                </w:p>
              </w:tc>
            </w:tr>
            <w:tr w14:paraId="562FA6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690A4134">
                  <w:pPr>
                    <w:pageBreakBefore/>
                    <w:adjustRightInd w:val="0"/>
                    <w:snapToGrid w:val="0"/>
                    <w:spacing w:line="280" w:lineRule="exact"/>
                    <w:jc w:val="center"/>
                    <w:rPr>
                      <w:rFonts w:hAnsi="宋体"/>
                      <w:color w:val="auto"/>
                      <w:szCs w:val="21"/>
                      <w:highlight w:val="none"/>
                    </w:rPr>
                  </w:pPr>
                </w:p>
              </w:tc>
              <w:tc>
                <w:tcPr>
                  <w:tcW w:w="1023" w:type="dxa"/>
                  <w:gridSpan w:val="2"/>
                  <w:vMerge w:val="continue"/>
                  <w:vAlign w:val="center"/>
                </w:tcPr>
                <w:p w14:paraId="0AF36400">
                  <w:pPr>
                    <w:pageBreakBefore/>
                    <w:adjustRightInd w:val="0"/>
                    <w:snapToGrid w:val="0"/>
                    <w:spacing w:line="280" w:lineRule="exact"/>
                    <w:jc w:val="center"/>
                    <w:rPr>
                      <w:rFonts w:hAnsi="宋体"/>
                      <w:color w:val="auto"/>
                      <w:szCs w:val="21"/>
                      <w:highlight w:val="none"/>
                    </w:rPr>
                  </w:pPr>
                </w:p>
              </w:tc>
              <w:tc>
                <w:tcPr>
                  <w:tcW w:w="3597" w:type="dxa"/>
                  <w:gridSpan w:val="3"/>
                  <w:tcBorders>
                    <w:bottom w:val="single" w:color="auto" w:sz="4" w:space="0"/>
                  </w:tcBorders>
                  <w:tcMar>
                    <w:left w:w="0" w:type="dxa"/>
                    <w:right w:w="0" w:type="dxa"/>
                  </w:tcMar>
                  <w:vAlign w:val="center"/>
                </w:tcPr>
                <w:p w14:paraId="3B4E51AC">
                  <w:pPr>
                    <w:pageBreakBefore/>
                    <w:adjustRightInd w:val="0"/>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喷塑</w:t>
                  </w:r>
                  <w:r>
                    <w:rPr>
                      <w:rFonts w:hint="eastAsia" w:cs="Times New Roman"/>
                      <w:color w:val="auto"/>
                      <w:sz w:val="21"/>
                      <w:szCs w:val="21"/>
                      <w:lang w:val="en-US" w:eastAsia="zh-CN"/>
                    </w:rPr>
                    <w:t>废气</w:t>
                  </w:r>
                  <w:r>
                    <w:rPr>
                      <w:rFonts w:hint="eastAsia" w:ascii="Times New Roman" w:hAnsi="Times New Roman" w:eastAsia="宋体"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塑粉回收装置</w:t>
                  </w:r>
                  <w:r>
                    <w:rPr>
                      <w:rFonts w:hint="eastAsia" w:ascii="Times New Roman" w:hAnsi="Times New Roman" w:eastAsia="宋体" w:cs="Times New Roman"/>
                      <w:color w:val="auto"/>
                      <w:sz w:val="21"/>
                      <w:szCs w:val="21"/>
                      <w:lang w:val="en-US" w:eastAsia="zh-CN"/>
                    </w:rPr>
                    <w:t>（旋风+布袋）</w:t>
                  </w:r>
                  <w:r>
                    <w:rPr>
                      <w:rFonts w:hint="default" w:ascii="Times New Roman" w:hAnsi="Times New Roman" w:eastAsia="宋体" w:cs="Times New Roman"/>
                      <w:color w:val="auto"/>
                      <w:sz w:val="21"/>
                      <w:szCs w:val="21"/>
                      <w:lang w:val="en-US" w:eastAsia="zh-CN"/>
                    </w:rPr>
                    <w:t>收集</w:t>
                  </w:r>
                  <w:r>
                    <w:rPr>
                      <w:rFonts w:hint="eastAsia" w:cs="Times New Roman"/>
                      <w:color w:val="auto"/>
                      <w:sz w:val="21"/>
                      <w:szCs w:val="21"/>
                      <w:lang w:val="en-US" w:eastAsia="zh-CN"/>
                    </w:rPr>
                    <w:t>处理</w:t>
                  </w:r>
                  <w:r>
                    <w:rPr>
                      <w:rFonts w:hint="default" w:ascii="Times New Roman" w:hAnsi="Times New Roman" w:eastAsia="宋体" w:cs="Times New Roman"/>
                      <w:color w:val="auto"/>
                      <w:sz w:val="21"/>
                      <w:szCs w:val="21"/>
                      <w:lang w:val="en-US" w:eastAsia="zh-CN"/>
                    </w:rPr>
                    <w:t>后</w:t>
                  </w:r>
                  <w:r>
                    <w:rPr>
                      <w:rFonts w:hint="eastAsia" w:cs="Times New Roman"/>
                      <w:color w:val="auto"/>
                      <w:sz w:val="21"/>
                      <w:szCs w:val="21"/>
                      <w:lang w:val="en-US" w:eastAsia="zh-CN"/>
                    </w:rPr>
                    <w:t>于喷塑工序循环使用不外排</w:t>
                  </w:r>
                </w:p>
              </w:tc>
              <w:tc>
                <w:tcPr>
                  <w:tcW w:w="2478" w:type="dxa"/>
                  <w:tcMar>
                    <w:left w:w="0" w:type="dxa"/>
                    <w:right w:w="0" w:type="dxa"/>
                  </w:tcMar>
                  <w:vAlign w:val="center"/>
                </w:tcPr>
                <w:p w14:paraId="3624B3BA">
                  <w:pPr>
                    <w:pageBreakBefore/>
                    <w:adjustRightInd w:val="0"/>
                    <w:snapToGrid w:val="0"/>
                    <w:spacing w:line="280" w:lineRule="exact"/>
                    <w:ind w:firstLine="105" w:firstLineChars="50"/>
                    <w:jc w:val="center"/>
                    <w:rPr>
                      <w:rFonts w:hint="eastAsia"/>
                      <w:color w:val="auto"/>
                      <w:szCs w:val="21"/>
                      <w:highlight w:val="none"/>
                      <w:lang w:val="en-US" w:eastAsia="zh-CN"/>
                    </w:rPr>
                  </w:pPr>
                  <w:r>
                    <w:rPr>
                      <w:rFonts w:hint="eastAsia"/>
                      <w:color w:val="auto"/>
                      <w:szCs w:val="21"/>
                      <w:highlight w:val="none"/>
                      <w:lang w:val="en-US" w:eastAsia="zh-CN"/>
                    </w:rPr>
                    <w:t>现有项目</w:t>
                  </w:r>
                </w:p>
              </w:tc>
            </w:tr>
            <w:tr w14:paraId="409D2F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78CC5CCC">
                  <w:pPr>
                    <w:pageBreakBefore/>
                    <w:adjustRightInd w:val="0"/>
                    <w:snapToGrid w:val="0"/>
                    <w:spacing w:line="280" w:lineRule="exact"/>
                    <w:jc w:val="center"/>
                    <w:rPr>
                      <w:rFonts w:hAnsi="宋体"/>
                      <w:color w:val="auto"/>
                      <w:szCs w:val="21"/>
                      <w:highlight w:val="none"/>
                    </w:rPr>
                  </w:pPr>
                </w:p>
              </w:tc>
              <w:tc>
                <w:tcPr>
                  <w:tcW w:w="1023" w:type="dxa"/>
                  <w:gridSpan w:val="2"/>
                  <w:vMerge w:val="continue"/>
                  <w:vAlign w:val="center"/>
                </w:tcPr>
                <w:p w14:paraId="7F81CD5A">
                  <w:pPr>
                    <w:pageBreakBefore/>
                    <w:adjustRightInd w:val="0"/>
                    <w:snapToGrid w:val="0"/>
                    <w:spacing w:line="280" w:lineRule="exact"/>
                    <w:jc w:val="center"/>
                    <w:rPr>
                      <w:rFonts w:hAnsi="宋体"/>
                      <w:color w:val="auto"/>
                      <w:szCs w:val="21"/>
                      <w:highlight w:val="none"/>
                    </w:rPr>
                  </w:pPr>
                </w:p>
              </w:tc>
              <w:tc>
                <w:tcPr>
                  <w:tcW w:w="3597" w:type="dxa"/>
                  <w:gridSpan w:val="3"/>
                  <w:tcBorders>
                    <w:bottom w:val="single" w:color="auto" w:sz="4" w:space="0"/>
                  </w:tcBorders>
                  <w:tcMar>
                    <w:left w:w="0" w:type="dxa"/>
                    <w:right w:w="0" w:type="dxa"/>
                  </w:tcMar>
                  <w:vAlign w:val="center"/>
                </w:tcPr>
                <w:p w14:paraId="751C56CC">
                  <w:pPr>
                    <w:pageBreakBefore/>
                    <w:adjustRightInd w:val="0"/>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粉末固化废气</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水分烘干炉、粉末固化炉天然气</w:t>
                  </w:r>
                  <w:r>
                    <w:rPr>
                      <w:rFonts w:hint="default" w:ascii="Times New Roman" w:hAnsi="Times New Roman" w:eastAsia="宋体" w:cs="Times New Roman"/>
                      <w:color w:val="auto"/>
                      <w:sz w:val="21"/>
                      <w:szCs w:val="21"/>
                      <w:lang w:val="en-US" w:eastAsia="zh-CN"/>
                    </w:rPr>
                    <w:t>燃烧废气</w:t>
                  </w:r>
                  <w:r>
                    <w:rPr>
                      <w:rFonts w:hint="eastAsia"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UV光催化氧化</w:t>
                  </w:r>
                  <w:r>
                    <w:rPr>
                      <w:rFonts w:hint="eastAsia" w:ascii="Times New Roman" w:hAnsi="Times New Roman" w:eastAsia="宋体" w:cs="Times New Roman"/>
                      <w:color w:val="auto"/>
                      <w:sz w:val="21"/>
                      <w:szCs w:val="21"/>
                      <w:lang w:val="en-US" w:eastAsia="zh-CN"/>
                    </w:rPr>
                    <w:t>+二级活性炭吸附</w:t>
                  </w:r>
                  <w:r>
                    <w:rPr>
                      <w:rFonts w:hint="default" w:ascii="Times New Roman" w:hAnsi="Times New Roman" w:eastAsia="宋体" w:cs="Times New Roman"/>
                      <w:color w:val="auto"/>
                      <w:sz w:val="21"/>
                      <w:szCs w:val="21"/>
                      <w:lang w:val="en-US" w:eastAsia="zh-CN"/>
                    </w:rPr>
                    <w:t>装置处理后</w:t>
                  </w:r>
                  <w:r>
                    <w:rPr>
                      <w:rFonts w:hint="eastAsia" w:ascii="Times New Roman" w:hAnsi="Times New Roman" w:cs="Times New Roman"/>
                      <w:color w:val="auto"/>
                      <w:sz w:val="21"/>
                      <w:szCs w:val="21"/>
                      <w:lang w:val="en-US" w:eastAsia="zh-CN"/>
                    </w:rPr>
                    <w:t>一起</w:t>
                  </w:r>
                  <w:r>
                    <w:rPr>
                      <w:rFonts w:hint="default" w:ascii="Times New Roman" w:hAnsi="Times New Roman" w:eastAsia="宋体" w:cs="Times New Roman"/>
                      <w:color w:val="auto"/>
                      <w:sz w:val="21"/>
                      <w:szCs w:val="21"/>
                      <w:lang w:val="en-US" w:eastAsia="zh-CN"/>
                    </w:rPr>
                    <w:t>通过1根（</w:t>
                  </w:r>
                  <w:r>
                    <w:rPr>
                      <w:rFonts w:hint="eastAsia" w:ascii="Times New Roman" w:hAnsi="Times New Roman" w:eastAsia="宋体" w:cs="Times New Roman"/>
                      <w:color w:val="auto"/>
                      <w:sz w:val="21"/>
                      <w:szCs w:val="21"/>
                      <w:lang w:val="en-US" w:eastAsia="zh-CN"/>
                    </w:rPr>
                    <w:t>DA002</w:t>
                  </w:r>
                  <w:r>
                    <w:rPr>
                      <w:rFonts w:hint="default" w:ascii="Times New Roman" w:hAnsi="Times New Roman" w:eastAsia="宋体" w:cs="Times New Roman"/>
                      <w:color w:val="auto"/>
                      <w:sz w:val="21"/>
                      <w:szCs w:val="21"/>
                      <w:lang w:val="en-US" w:eastAsia="zh-CN"/>
                    </w:rPr>
                    <w:t>）15米高排气筒</w:t>
                  </w:r>
                  <w:r>
                    <w:rPr>
                      <w:rFonts w:hint="eastAsia" w:ascii="Times New Roman" w:hAnsi="Times New Roman" w:eastAsia="宋体" w:cs="Times New Roman"/>
                      <w:color w:val="auto"/>
                      <w:sz w:val="21"/>
                      <w:szCs w:val="21"/>
                      <w:lang w:val="en-US" w:eastAsia="zh-CN"/>
                    </w:rPr>
                    <w:t>高空排放</w:t>
                  </w:r>
                </w:p>
              </w:tc>
              <w:tc>
                <w:tcPr>
                  <w:tcW w:w="2478" w:type="dxa"/>
                  <w:tcMar>
                    <w:left w:w="0" w:type="dxa"/>
                    <w:right w:w="0" w:type="dxa"/>
                  </w:tcMar>
                  <w:vAlign w:val="center"/>
                </w:tcPr>
                <w:p w14:paraId="084E7258">
                  <w:pPr>
                    <w:pageBreakBefore/>
                    <w:adjustRightInd w:val="0"/>
                    <w:snapToGrid w:val="0"/>
                    <w:spacing w:line="280" w:lineRule="exact"/>
                    <w:ind w:firstLine="105" w:firstLineChars="50"/>
                    <w:jc w:val="center"/>
                    <w:rPr>
                      <w:rFonts w:hint="eastAsia"/>
                      <w:color w:val="auto"/>
                      <w:szCs w:val="21"/>
                      <w:highlight w:val="none"/>
                      <w:lang w:val="en-US" w:eastAsia="zh-CN"/>
                    </w:rPr>
                  </w:pPr>
                  <w:r>
                    <w:rPr>
                      <w:rFonts w:hint="eastAsia"/>
                      <w:color w:val="auto"/>
                      <w:szCs w:val="21"/>
                      <w:highlight w:val="none"/>
                      <w:lang w:val="en-US" w:eastAsia="zh-CN"/>
                    </w:rPr>
                    <w:t>现有项目</w:t>
                  </w:r>
                </w:p>
              </w:tc>
            </w:tr>
            <w:tr w14:paraId="270DBB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61E2AA97">
                  <w:pPr>
                    <w:pageBreakBefore/>
                    <w:adjustRightInd w:val="0"/>
                    <w:snapToGrid w:val="0"/>
                    <w:spacing w:line="280" w:lineRule="exact"/>
                    <w:jc w:val="center"/>
                    <w:rPr>
                      <w:rFonts w:hAnsi="宋体"/>
                      <w:color w:val="auto"/>
                      <w:szCs w:val="21"/>
                      <w:highlight w:val="none"/>
                    </w:rPr>
                  </w:pPr>
                </w:p>
              </w:tc>
              <w:tc>
                <w:tcPr>
                  <w:tcW w:w="1023" w:type="dxa"/>
                  <w:gridSpan w:val="2"/>
                  <w:vMerge w:val="continue"/>
                  <w:vAlign w:val="center"/>
                </w:tcPr>
                <w:p w14:paraId="40DD7EBB">
                  <w:pPr>
                    <w:pageBreakBefore/>
                    <w:adjustRightInd w:val="0"/>
                    <w:snapToGrid w:val="0"/>
                    <w:spacing w:line="280" w:lineRule="exact"/>
                    <w:jc w:val="center"/>
                    <w:rPr>
                      <w:rFonts w:hint="default" w:eastAsia="宋体"/>
                      <w:color w:val="auto"/>
                      <w:szCs w:val="21"/>
                      <w:highlight w:val="none"/>
                      <w:lang w:val="en-US" w:eastAsia="zh-CN"/>
                    </w:rPr>
                  </w:pPr>
                </w:p>
              </w:tc>
              <w:tc>
                <w:tcPr>
                  <w:tcW w:w="3597" w:type="dxa"/>
                  <w:gridSpan w:val="3"/>
                  <w:tcBorders>
                    <w:bottom w:val="single" w:color="auto" w:sz="4" w:space="0"/>
                  </w:tcBorders>
                  <w:tcMar>
                    <w:left w:w="0" w:type="dxa"/>
                    <w:right w:w="0" w:type="dxa"/>
                  </w:tcMar>
                  <w:vAlign w:val="center"/>
                </w:tcPr>
                <w:p w14:paraId="2D45379C">
                  <w:pPr>
                    <w:pageBreakBefore/>
                    <w:adjustRightInd w:val="0"/>
                    <w:snapToGrid w:val="0"/>
                    <w:spacing w:line="280" w:lineRule="exact"/>
                    <w:jc w:val="center"/>
                    <w:rPr>
                      <w:rFonts w:hint="eastAsia" w:eastAsia="宋体"/>
                      <w:color w:val="auto"/>
                      <w:szCs w:val="21"/>
                      <w:highlight w:val="none"/>
                      <w:lang w:val="en-US" w:eastAsia="zh-CN"/>
                    </w:rPr>
                  </w:pPr>
                  <w:r>
                    <w:rPr>
                      <w:rFonts w:hint="default" w:ascii="Times New Roman" w:hAnsi="Times New Roman" w:eastAsia="宋体" w:cs="Times New Roman"/>
                      <w:color w:val="auto"/>
                      <w:sz w:val="21"/>
                      <w:szCs w:val="21"/>
                    </w:rPr>
                    <w:t>酸洗区HCl废气分别经酸洗槽两端设置的2台酸雾塔（内设碱液喷淋装置）处理后分别经</w:t>
                  </w:r>
                  <w:r>
                    <w:rPr>
                      <w:rFonts w:hint="default" w:ascii="Times New Roman" w:hAnsi="Times New Roman" w:eastAsia="宋体" w:cs="Times New Roman"/>
                      <w:color w:val="auto"/>
                      <w:sz w:val="21"/>
                      <w:szCs w:val="21"/>
                      <w:lang w:val="en-US" w:eastAsia="zh-CN"/>
                    </w:rPr>
                    <w:t>2根</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DA003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DA004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sz w:val="21"/>
                      <w:szCs w:val="21"/>
                      <w:lang w:val="en-US" w:eastAsia="zh-CN"/>
                    </w:rPr>
                    <w:t>米</w:t>
                  </w:r>
                  <w:r>
                    <w:rPr>
                      <w:rFonts w:hint="default" w:ascii="Times New Roman" w:hAnsi="Times New Roman" w:eastAsia="宋体" w:cs="Times New Roman"/>
                      <w:color w:val="auto"/>
                      <w:sz w:val="21"/>
                      <w:szCs w:val="21"/>
                    </w:rPr>
                    <w:t>高排气筒排出</w:t>
                  </w:r>
                </w:p>
              </w:tc>
              <w:tc>
                <w:tcPr>
                  <w:tcW w:w="2478" w:type="dxa"/>
                  <w:tcMar>
                    <w:left w:w="0" w:type="dxa"/>
                    <w:right w:w="0" w:type="dxa"/>
                  </w:tcMar>
                  <w:vAlign w:val="center"/>
                </w:tcPr>
                <w:p w14:paraId="0A66532E">
                  <w:pPr>
                    <w:pageBreakBefore/>
                    <w:adjustRightInd w:val="0"/>
                    <w:snapToGrid w:val="0"/>
                    <w:spacing w:line="280" w:lineRule="exact"/>
                    <w:ind w:firstLine="105" w:firstLineChars="50"/>
                    <w:jc w:val="center"/>
                    <w:rPr>
                      <w:rFonts w:hint="eastAsia" w:hAnsi="宋体" w:eastAsia="宋体"/>
                      <w:color w:val="auto"/>
                      <w:szCs w:val="21"/>
                      <w:highlight w:val="none"/>
                      <w:lang w:val="en-US" w:eastAsia="zh-CN"/>
                    </w:rPr>
                  </w:pPr>
                  <w:r>
                    <w:rPr>
                      <w:rFonts w:hint="eastAsia" w:hAnsi="宋体"/>
                      <w:color w:val="auto"/>
                      <w:szCs w:val="21"/>
                      <w:highlight w:val="none"/>
                      <w:lang w:val="en-US" w:eastAsia="zh-CN"/>
                    </w:rPr>
                    <w:t>现有项目</w:t>
                  </w:r>
                </w:p>
              </w:tc>
            </w:tr>
            <w:tr w14:paraId="788087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5BA9FF5E">
                  <w:pPr>
                    <w:pageBreakBefore/>
                    <w:adjustRightInd w:val="0"/>
                    <w:snapToGrid w:val="0"/>
                    <w:spacing w:line="280" w:lineRule="exact"/>
                    <w:jc w:val="center"/>
                    <w:rPr>
                      <w:rFonts w:hAnsi="宋体"/>
                      <w:color w:val="auto"/>
                      <w:szCs w:val="21"/>
                      <w:highlight w:val="none"/>
                    </w:rPr>
                  </w:pPr>
                </w:p>
              </w:tc>
              <w:tc>
                <w:tcPr>
                  <w:tcW w:w="1023" w:type="dxa"/>
                  <w:gridSpan w:val="2"/>
                  <w:vMerge w:val="continue"/>
                  <w:vAlign w:val="center"/>
                </w:tcPr>
                <w:p w14:paraId="5910A91A">
                  <w:pPr>
                    <w:pageBreakBefore/>
                    <w:adjustRightInd w:val="0"/>
                    <w:snapToGrid w:val="0"/>
                    <w:spacing w:line="280" w:lineRule="exact"/>
                    <w:jc w:val="center"/>
                    <w:rPr>
                      <w:rFonts w:hint="default" w:eastAsia="宋体"/>
                      <w:color w:val="auto"/>
                      <w:szCs w:val="21"/>
                      <w:highlight w:val="none"/>
                      <w:lang w:val="en-US" w:eastAsia="zh-CN"/>
                    </w:rPr>
                  </w:pPr>
                </w:p>
              </w:tc>
              <w:tc>
                <w:tcPr>
                  <w:tcW w:w="3597" w:type="dxa"/>
                  <w:gridSpan w:val="3"/>
                  <w:tcBorders>
                    <w:bottom w:val="single" w:color="auto" w:sz="4" w:space="0"/>
                  </w:tcBorders>
                  <w:tcMar>
                    <w:left w:w="0" w:type="dxa"/>
                    <w:right w:w="0" w:type="dxa"/>
                  </w:tcMar>
                  <w:vAlign w:val="center"/>
                </w:tcPr>
                <w:p w14:paraId="57056C88">
                  <w:pPr>
                    <w:pageBreakBefore/>
                    <w:adjustRightInd w:val="0"/>
                    <w:snapToGrid w:val="0"/>
                    <w:spacing w:line="280" w:lineRule="exact"/>
                    <w:jc w:val="center"/>
                    <w:rPr>
                      <w:rFonts w:hint="eastAsia" w:eastAsia="宋体"/>
                      <w:color w:val="auto"/>
                      <w:szCs w:val="21"/>
                      <w:highlight w:val="none"/>
                      <w:lang w:val="en-US" w:eastAsia="zh-CN"/>
                    </w:rPr>
                  </w:pPr>
                  <w:r>
                    <w:rPr>
                      <w:rFonts w:hint="eastAsia" w:cs="Times New Roman"/>
                      <w:color w:val="auto"/>
                      <w:sz w:val="21"/>
                      <w:szCs w:val="21"/>
                      <w:lang w:val="en-US" w:eastAsia="zh-CN"/>
                    </w:rPr>
                    <w:t>锅炉燃烧废气经15m高（DA005）排气筒排放</w:t>
                  </w:r>
                  <w:r>
                    <w:rPr>
                      <w:rFonts w:hint="default" w:ascii="Times New Roman" w:hAnsi="Times New Roman" w:eastAsia="宋体" w:cs="Times New Roman"/>
                      <w:color w:val="auto"/>
                      <w:sz w:val="21"/>
                      <w:szCs w:val="21"/>
                      <w:lang w:val="en-US" w:eastAsia="zh-CN"/>
                    </w:rPr>
                    <w:t>。</w:t>
                  </w:r>
                </w:p>
              </w:tc>
              <w:tc>
                <w:tcPr>
                  <w:tcW w:w="2478" w:type="dxa"/>
                  <w:tcMar>
                    <w:left w:w="0" w:type="dxa"/>
                    <w:right w:w="0" w:type="dxa"/>
                  </w:tcMar>
                  <w:vAlign w:val="center"/>
                </w:tcPr>
                <w:p w14:paraId="3FD26540">
                  <w:pPr>
                    <w:pageBreakBefore/>
                    <w:adjustRightInd w:val="0"/>
                    <w:snapToGrid w:val="0"/>
                    <w:spacing w:line="280" w:lineRule="exact"/>
                    <w:ind w:firstLine="105" w:firstLineChars="50"/>
                    <w:jc w:val="center"/>
                    <w:rPr>
                      <w:rFonts w:hint="eastAsia" w:hAnsi="宋体"/>
                      <w:color w:val="auto"/>
                      <w:szCs w:val="21"/>
                      <w:highlight w:val="none"/>
                    </w:rPr>
                  </w:pPr>
                  <w:r>
                    <w:rPr>
                      <w:rFonts w:hint="eastAsia" w:hAnsi="宋体"/>
                      <w:color w:val="auto"/>
                      <w:szCs w:val="21"/>
                      <w:highlight w:val="none"/>
                      <w:lang w:val="en-US" w:eastAsia="zh-CN"/>
                    </w:rPr>
                    <w:t>现有项目</w:t>
                  </w:r>
                </w:p>
              </w:tc>
            </w:tr>
            <w:tr w14:paraId="2A7480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772F7B21">
                  <w:pPr>
                    <w:pageBreakBefore/>
                    <w:adjustRightInd w:val="0"/>
                    <w:snapToGrid w:val="0"/>
                    <w:spacing w:line="280" w:lineRule="exact"/>
                    <w:jc w:val="center"/>
                    <w:rPr>
                      <w:rFonts w:hAnsi="宋体"/>
                      <w:color w:val="auto"/>
                      <w:szCs w:val="21"/>
                      <w:highlight w:val="none"/>
                    </w:rPr>
                  </w:pPr>
                </w:p>
              </w:tc>
              <w:tc>
                <w:tcPr>
                  <w:tcW w:w="1023" w:type="dxa"/>
                  <w:gridSpan w:val="2"/>
                  <w:vMerge w:val="continue"/>
                  <w:vAlign w:val="center"/>
                </w:tcPr>
                <w:p w14:paraId="07A8CC12">
                  <w:pPr>
                    <w:pageBreakBefore/>
                    <w:adjustRightInd w:val="0"/>
                    <w:snapToGrid w:val="0"/>
                    <w:spacing w:line="280" w:lineRule="exact"/>
                    <w:jc w:val="center"/>
                    <w:rPr>
                      <w:rFonts w:hint="default" w:eastAsia="宋体"/>
                      <w:color w:val="auto"/>
                      <w:szCs w:val="21"/>
                      <w:highlight w:val="none"/>
                      <w:lang w:val="en-US" w:eastAsia="zh-CN"/>
                    </w:rPr>
                  </w:pPr>
                </w:p>
              </w:tc>
              <w:tc>
                <w:tcPr>
                  <w:tcW w:w="3597" w:type="dxa"/>
                  <w:gridSpan w:val="3"/>
                  <w:tcBorders>
                    <w:bottom w:val="single" w:color="auto" w:sz="4" w:space="0"/>
                  </w:tcBorders>
                  <w:tcMar>
                    <w:left w:w="0" w:type="dxa"/>
                    <w:right w:w="0" w:type="dxa"/>
                  </w:tcMar>
                  <w:vAlign w:val="center"/>
                </w:tcPr>
                <w:p w14:paraId="5CFA9916">
                  <w:pPr>
                    <w:pageBreakBefore/>
                    <w:adjustRightInd w:val="0"/>
                    <w:snapToGrid w:val="0"/>
                    <w:spacing w:line="280" w:lineRule="exact"/>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喷塑</w:t>
                  </w:r>
                  <w:r>
                    <w:rPr>
                      <w:rFonts w:hint="eastAsia" w:cs="Times New Roman"/>
                      <w:color w:val="auto"/>
                      <w:sz w:val="21"/>
                      <w:szCs w:val="21"/>
                      <w:lang w:val="en-US" w:eastAsia="zh-CN"/>
                    </w:rPr>
                    <w:t>废气</w:t>
                  </w:r>
                  <w:r>
                    <w:rPr>
                      <w:rFonts w:hint="eastAsia" w:ascii="Times New Roman" w:hAnsi="Times New Roman" w:eastAsia="宋体"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塑粉回收装置</w:t>
                  </w:r>
                  <w:r>
                    <w:rPr>
                      <w:rFonts w:hint="eastAsia" w:ascii="Times New Roman" w:hAnsi="Times New Roman" w:eastAsia="宋体" w:cs="Times New Roman"/>
                      <w:color w:val="auto"/>
                      <w:sz w:val="21"/>
                      <w:szCs w:val="21"/>
                      <w:lang w:val="en-US" w:eastAsia="zh-CN"/>
                    </w:rPr>
                    <w:t>（旋风+布袋）</w:t>
                  </w:r>
                  <w:r>
                    <w:rPr>
                      <w:rFonts w:hint="default" w:ascii="Times New Roman" w:hAnsi="Times New Roman" w:eastAsia="宋体" w:cs="Times New Roman"/>
                      <w:color w:val="auto"/>
                      <w:sz w:val="21"/>
                      <w:szCs w:val="21"/>
                      <w:lang w:val="en-US" w:eastAsia="zh-CN"/>
                    </w:rPr>
                    <w:t>收集</w:t>
                  </w:r>
                  <w:r>
                    <w:rPr>
                      <w:rFonts w:hint="eastAsia" w:cs="Times New Roman"/>
                      <w:color w:val="auto"/>
                      <w:sz w:val="21"/>
                      <w:szCs w:val="21"/>
                      <w:lang w:val="en-US" w:eastAsia="zh-CN"/>
                    </w:rPr>
                    <w:t>处理</w:t>
                  </w:r>
                  <w:r>
                    <w:rPr>
                      <w:rFonts w:hint="default" w:ascii="Times New Roman" w:hAnsi="Times New Roman" w:eastAsia="宋体" w:cs="Times New Roman"/>
                      <w:color w:val="auto"/>
                      <w:sz w:val="21"/>
                      <w:szCs w:val="21"/>
                      <w:lang w:val="en-US" w:eastAsia="zh-CN"/>
                    </w:rPr>
                    <w:t>后</w:t>
                  </w:r>
                  <w:r>
                    <w:rPr>
                      <w:rFonts w:hint="eastAsia" w:cs="Times New Roman"/>
                      <w:color w:val="auto"/>
                      <w:sz w:val="21"/>
                      <w:szCs w:val="21"/>
                      <w:lang w:val="en-US" w:eastAsia="zh-CN"/>
                    </w:rPr>
                    <w:t>于喷塑工序循环使用不外排</w:t>
                  </w:r>
                </w:p>
              </w:tc>
              <w:tc>
                <w:tcPr>
                  <w:tcW w:w="2478" w:type="dxa"/>
                  <w:vMerge w:val="restart"/>
                  <w:tcMar>
                    <w:left w:w="0" w:type="dxa"/>
                    <w:right w:w="0" w:type="dxa"/>
                  </w:tcMar>
                  <w:vAlign w:val="center"/>
                </w:tcPr>
                <w:p w14:paraId="2E57BB9F">
                  <w:pPr>
                    <w:pageBreakBefore/>
                    <w:adjustRightInd w:val="0"/>
                    <w:snapToGrid w:val="0"/>
                    <w:spacing w:line="280" w:lineRule="exact"/>
                    <w:ind w:firstLine="105" w:firstLineChars="50"/>
                    <w:jc w:val="center"/>
                    <w:rPr>
                      <w:rFonts w:hint="eastAsia" w:hAnsi="宋体" w:eastAsia="宋体"/>
                      <w:color w:val="auto"/>
                      <w:szCs w:val="21"/>
                      <w:highlight w:val="none"/>
                      <w:lang w:val="en-US" w:eastAsia="zh-CN"/>
                    </w:rPr>
                  </w:pPr>
                  <w:r>
                    <w:rPr>
                      <w:rFonts w:hint="eastAsia" w:hAnsi="宋体"/>
                      <w:color w:val="auto"/>
                      <w:szCs w:val="21"/>
                      <w:highlight w:val="none"/>
                      <w:lang w:val="en-US" w:eastAsia="zh-CN"/>
                    </w:rPr>
                    <w:t>本项目新建</w:t>
                  </w:r>
                </w:p>
              </w:tc>
            </w:tr>
            <w:tr w14:paraId="13E673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259DC585">
                  <w:pPr>
                    <w:pageBreakBefore/>
                    <w:adjustRightInd w:val="0"/>
                    <w:snapToGrid w:val="0"/>
                    <w:spacing w:line="280" w:lineRule="exact"/>
                    <w:jc w:val="center"/>
                    <w:rPr>
                      <w:rFonts w:hAnsi="宋体"/>
                      <w:color w:val="auto"/>
                      <w:szCs w:val="21"/>
                      <w:highlight w:val="none"/>
                    </w:rPr>
                  </w:pPr>
                </w:p>
              </w:tc>
              <w:tc>
                <w:tcPr>
                  <w:tcW w:w="1023" w:type="dxa"/>
                  <w:gridSpan w:val="2"/>
                  <w:vMerge w:val="continue"/>
                  <w:vAlign w:val="center"/>
                </w:tcPr>
                <w:p w14:paraId="0368521B">
                  <w:pPr>
                    <w:pageBreakBefore/>
                    <w:adjustRightInd w:val="0"/>
                    <w:snapToGrid w:val="0"/>
                    <w:spacing w:line="280" w:lineRule="exact"/>
                    <w:jc w:val="center"/>
                    <w:rPr>
                      <w:rFonts w:hint="default" w:eastAsia="宋体"/>
                      <w:color w:val="auto"/>
                      <w:szCs w:val="21"/>
                      <w:highlight w:val="none"/>
                      <w:lang w:val="en-US" w:eastAsia="zh-CN"/>
                    </w:rPr>
                  </w:pPr>
                </w:p>
              </w:tc>
              <w:tc>
                <w:tcPr>
                  <w:tcW w:w="3597" w:type="dxa"/>
                  <w:gridSpan w:val="3"/>
                  <w:tcMar>
                    <w:left w:w="0" w:type="dxa"/>
                    <w:right w:w="0" w:type="dxa"/>
                  </w:tcMar>
                  <w:vAlign w:val="center"/>
                </w:tcPr>
                <w:p w14:paraId="374CD8A2">
                  <w:pPr>
                    <w:pStyle w:val="21"/>
                    <w:pageBreakBefore/>
                    <w:adjustRightInd w:val="0"/>
                    <w:snapToGrid w:val="0"/>
                    <w:spacing w:line="280" w:lineRule="exact"/>
                    <w:rPr>
                      <w:rFonts w:hint="eastAsia" w:ascii="Times New Roman" w:eastAsia="宋体"/>
                      <w:color w:val="auto"/>
                      <w:highlight w:val="none"/>
                      <w:lang w:val="en-US" w:eastAsia="zh-CN"/>
                    </w:rPr>
                  </w:pPr>
                  <w:r>
                    <w:rPr>
                      <w:rFonts w:hint="eastAsia" w:ascii="Times New Roman" w:hAnsi="Times New Roman" w:eastAsia="宋体" w:cs="Times New Roman"/>
                      <w:color w:val="auto"/>
                      <w:sz w:val="21"/>
                      <w:szCs w:val="21"/>
                      <w:lang w:val="en-US" w:eastAsia="zh-CN"/>
                    </w:rPr>
                    <w:t>水分烘干炉天然气</w:t>
                  </w:r>
                  <w:r>
                    <w:rPr>
                      <w:rFonts w:hint="default" w:ascii="Times New Roman" w:hAnsi="Times New Roman" w:eastAsia="宋体" w:cs="Times New Roman"/>
                      <w:color w:val="auto"/>
                      <w:sz w:val="21"/>
                      <w:szCs w:val="21"/>
                      <w:lang w:val="en-US" w:eastAsia="zh-CN"/>
                    </w:rPr>
                    <w:t>燃烧废气</w:t>
                  </w:r>
                  <w:r>
                    <w:rPr>
                      <w:rFonts w:hint="eastAsia" w:ascii="Times New Roman" w:hAnsi="Times New Roman" w:cs="Times New Roman"/>
                      <w:color w:val="auto"/>
                      <w:sz w:val="21"/>
                      <w:szCs w:val="21"/>
                      <w:lang w:val="en-US" w:eastAsia="zh-CN"/>
                    </w:rPr>
                    <w:t>与</w:t>
                  </w:r>
                  <w:r>
                    <w:rPr>
                      <w:rFonts w:hint="eastAsia" w:cs="Times New Roman"/>
                      <w:color w:val="auto"/>
                      <w:sz w:val="21"/>
                      <w:szCs w:val="21"/>
                      <w:lang w:val="en-US" w:eastAsia="zh-CN"/>
                    </w:rPr>
                    <w:t>经</w:t>
                  </w:r>
                  <w:r>
                    <w:rPr>
                      <w:rFonts w:hint="eastAsia" w:ascii="Times New Roman" w:hAnsi="Times New Roman" w:eastAsia="宋体" w:cs="Times New Roman"/>
                      <w:color w:val="auto"/>
                      <w:sz w:val="21"/>
                      <w:szCs w:val="21"/>
                      <w:lang w:val="en-US" w:eastAsia="zh-CN"/>
                    </w:rPr>
                    <w:t>二级活性炭吸附</w:t>
                  </w:r>
                  <w:r>
                    <w:rPr>
                      <w:rFonts w:hint="default" w:ascii="Times New Roman" w:hAnsi="Times New Roman" w:eastAsia="宋体" w:cs="Times New Roman"/>
                      <w:color w:val="auto"/>
                      <w:sz w:val="21"/>
                      <w:szCs w:val="21"/>
                      <w:lang w:val="en-US" w:eastAsia="zh-CN"/>
                    </w:rPr>
                    <w:t>装置处理后粉末固化废气</w:t>
                  </w:r>
                  <w:r>
                    <w:rPr>
                      <w:rFonts w:hint="eastAsia" w:ascii="Times New Roman" w:hAnsi="Times New Roman"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粉末固化炉天然气</w:t>
                  </w:r>
                  <w:r>
                    <w:rPr>
                      <w:rFonts w:hint="default" w:ascii="Times New Roman" w:hAnsi="Times New Roman" w:eastAsia="宋体" w:cs="Times New Roman"/>
                      <w:color w:val="auto"/>
                      <w:sz w:val="21"/>
                      <w:szCs w:val="21"/>
                      <w:lang w:val="en-US" w:eastAsia="zh-CN"/>
                    </w:rPr>
                    <w:t>燃烧废气</w:t>
                  </w:r>
                  <w:r>
                    <w:rPr>
                      <w:rFonts w:hint="eastAsia" w:ascii="Times New Roman" w:hAnsi="Times New Roman" w:cs="Times New Roman"/>
                      <w:color w:val="auto"/>
                      <w:sz w:val="21"/>
                      <w:szCs w:val="21"/>
                      <w:lang w:val="en-US" w:eastAsia="zh-CN"/>
                    </w:rPr>
                    <w:t>一起</w:t>
                  </w:r>
                  <w:r>
                    <w:rPr>
                      <w:rFonts w:hint="default" w:ascii="Times New Roman" w:hAnsi="Times New Roman" w:eastAsia="宋体" w:cs="Times New Roman"/>
                      <w:color w:val="auto"/>
                      <w:sz w:val="21"/>
                      <w:szCs w:val="21"/>
                      <w:lang w:val="en-US" w:eastAsia="zh-CN"/>
                    </w:rPr>
                    <w:t>通过1根（</w:t>
                  </w:r>
                  <w:r>
                    <w:rPr>
                      <w:rFonts w:hint="eastAsia" w:ascii="Times New Roman" w:hAnsi="Times New Roman" w:eastAsia="宋体" w:cs="Times New Roman"/>
                      <w:color w:val="auto"/>
                      <w:sz w:val="21"/>
                      <w:szCs w:val="21"/>
                      <w:lang w:val="en-US" w:eastAsia="zh-CN"/>
                    </w:rPr>
                    <w:t>DA0</w:t>
                  </w:r>
                  <w:r>
                    <w:rPr>
                      <w:rFonts w:hint="eastAsia" w:ascii="Times New Roman" w:hAnsi="Times New Roman" w:cs="Times New Roman"/>
                      <w:color w:val="auto"/>
                      <w:sz w:val="21"/>
                      <w:szCs w:val="21"/>
                      <w:lang w:val="en-US" w:eastAsia="zh-CN"/>
                    </w:rPr>
                    <w:t>06</w:t>
                  </w:r>
                  <w:r>
                    <w:rPr>
                      <w:rFonts w:hint="default" w:ascii="Times New Roman" w:hAnsi="Times New Roman" w:eastAsia="宋体" w:cs="Times New Roman"/>
                      <w:color w:val="auto"/>
                      <w:sz w:val="21"/>
                      <w:szCs w:val="21"/>
                      <w:lang w:val="en-US" w:eastAsia="zh-CN"/>
                    </w:rPr>
                    <w:t>）15米高排气筒</w:t>
                  </w:r>
                  <w:r>
                    <w:rPr>
                      <w:rFonts w:hint="eastAsia" w:ascii="Times New Roman" w:hAnsi="Times New Roman" w:eastAsia="宋体" w:cs="Times New Roman"/>
                      <w:color w:val="auto"/>
                      <w:sz w:val="21"/>
                      <w:szCs w:val="21"/>
                      <w:lang w:val="en-US" w:eastAsia="zh-CN"/>
                    </w:rPr>
                    <w:t>高空排放</w:t>
                  </w:r>
                </w:p>
              </w:tc>
              <w:tc>
                <w:tcPr>
                  <w:tcW w:w="2478" w:type="dxa"/>
                  <w:vMerge w:val="continue"/>
                  <w:tcMar>
                    <w:left w:w="0" w:type="dxa"/>
                    <w:right w:w="0" w:type="dxa"/>
                  </w:tcMar>
                  <w:vAlign w:val="center"/>
                </w:tcPr>
                <w:p w14:paraId="2D71BF79">
                  <w:pPr>
                    <w:pageBreakBefore/>
                    <w:adjustRightInd w:val="0"/>
                    <w:snapToGrid w:val="0"/>
                    <w:spacing w:line="280" w:lineRule="exact"/>
                    <w:ind w:firstLine="105" w:firstLineChars="50"/>
                    <w:jc w:val="center"/>
                    <w:rPr>
                      <w:rFonts w:hint="eastAsia" w:hAnsi="宋体" w:eastAsia="宋体"/>
                      <w:color w:val="auto"/>
                      <w:szCs w:val="21"/>
                      <w:highlight w:val="none"/>
                      <w:lang w:val="en-US" w:eastAsia="zh-CN"/>
                    </w:rPr>
                  </w:pPr>
                </w:p>
              </w:tc>
            </w:tr>
            <w:tr w14:paraId="1B34DC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3DFC689D">
                  <w:pPr>
                    <w:pageBreakBefore/>
                    <w:adjustRightInd w:val="0"/>
                    <w:snapToGrid w:val="0"/>
                    <w:spacing w:line="280" w:lineRule="exact"/>
                    <w:jc w:val="center"/>
                    <w:rPr>
                      <w:rFonts w:hAnsi="宋体"/>
                      <w:color w:val="auto"/>
                      <w:szCs w:val="21"/>
                      <w:highlight w:val="none"/>
                    </w:rPr>
                  </w:pPr>
                </w:p>
              </w:tc>
              <w:tc>
                <w:tcPr>
                  <w:tcW w:w="457" w:type="dxa"/>
                  <w:vMerge w:val="restart"/>
                  <w:vAlign w:val="center"/>
                </w:tcPr>
                <w:p w14:paraId="76034EB6">
                  <w:pPr>
                    <w:pageBreakBefore/>
                    <w:adjustRightInd w:val="0"/>
                    <w:snapToGrid w:val="0"/>
                    <w:spacing w:line="280" w:lineRule="exact"/>
                    <w:jc w:val="center"/>
                    <w:rPr>
                      <w:color w:val="auto"/>
                      <w:szCs w:val="21"/>
                      <w:highlight w:val="none"/>
                    </w:rPr>
                  </w:pPr>
                  <w:r>
                    <w:rPr>
                      <w:rFonts w:hAnsi="宋体"/>
                      <w:color w:val="auto"/>
                      <w:szCs w:val="21"/>
                      <w:highlight w:val="none"/>
                    </w:rPr>
                    <w:t>废水</w:t>
                  </w:r>
                </w:p>
              </w:tc>
              <w:tc>
                <w:tcPr>
                  <w:tcW w:w="566" w:type="dxa"/>
                  <w:vAlign w:val="center"/>
                </w:tcPr>
                <w:p w14:paraId="32112D70">
                  <w:pPr>
                    <w:pageBreakBefore/>
                    <w:adjustRightInd w:val="0"/>
                    <w:snapToGrid w:val="0"/>
                    <w:spacing w:line="280" w:lineRule="exact"/>
                    <w:jc w:val="center"/>
                    <w:rPr>
                      <w:rFonts w:hAnsi="宋体"/>
                      <w:color w:val="auto"/>
                      <w:szCs w:val="21"/>
                      <w:highlight w:val="none"/>
                    </w:rPr>
                  </w:pPr>
                  <w:r>
                    <w:rPr>
                      <w:rFonts w:hint="eastAsia" w:hAnsi="宋体"/>
                      <w:color w:val="auto"/>
                      <w:szCs w:val="21"/>
                      <w:highlight w:val="none"/>
                    </w:rPr>
                    <w:t>生活污水</w:t>
                  </w:r>
                </w:p>
              </w:tc>
              <w:tc>
                <w:tcPr>
                  <w:tcW w:w="3597" w:type="dxa"/>
                  <w:gridSpan w:val="3"/>
                  <w:tcMar>
                    <w:left w:w="0" w:type="dxa"/>
                    <w:right w:w="0" w:type="dxa"/>
                  </w:tcMar>
                  <w:vAlign w:val="center"/>
                </w:tcPr>
                <w:p w14:paraId="22B08F79">
                  <w:pPr>
                    <w:pageBreakBefore/>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经化粪池处理</w:t>
                  </w:r>
                </w:p>
              </w:tc>
              <w:tc>
                <w:tcPr>
                  <w:tcW w:w="2478" w:type="dxa"/>
                  <w:tcMar>
                    <w:left w:w="0" w:type="dxa"/>
                    <w:right w:w="0" w:type="dxa"/>
                  </w:tcMar>
                  <w:vAlign w:val="center"/>
                </w:tcPr>
                <w:p w14:paraId="437163B9">
                  <w:pPr>
                    <w:pageBreakBefore/>
                    <w:spacing w:line="280" w:lineRule="exact"/>
                    <w:ind w:firstLine="105" w:firstLineChars="50"/>
                    <w:jc w:val="center"/>
                    <w:rPr>
                      <w:rFonts w:hint="default" w:eastAsia="宋体"/>
                      <w:color w:val="auto"/>
                      <w:szCs w:val="21"/>
                      <w:highlight w:val="none"/>
                      <w:lang w:val="en-US" w:eastAsia="zh-CN"/>
                    </w:rPr>
                  </w:pPr>
                  <w:r>
                    <w:rPr>
                      <w:rFonts w:hint="eastAsia"/>
                      <w:color w:val="auto"/>
                      <w:szCs w:val="21"/>
                      <w:highlight w:val="none"/>
                      <w:lang w:val="en-US" w:eastAsia="zh-CN"/>
                    </w:rPr>
                    <w:t>依托现有，生活污水经化粪池处理后与预处理后的生产废水一起接管至李口镇污水处理厂进一步处理</w:t>
                  </w:r>
                </w:p>
              </w:tc>
            </w:tr>
            <w:tr w14:paraId="71C102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537122CE">
                  <w:pPr>
                    <w:pageBreakBefore/>
                    <w:adjustRightInd w:val="0"/>
                    <w:snapToGrid w:val="0"/>
                    <w:spacing w:line="280" w:lineRule="exact"/>
                    <w:jc w:val="center"/>
                    <w:rPr>
                      <w:rFonts w:hAnsi="宋体"/>
                      <w:color w:val="auto"/>
                      <w:szCs w:val="21"/>
                      <w:highlight w:val="none"/>
                    </w:rPr>
                  </w:pPr>
                </w:p>
              </w:tc>
              <w:tc>
                <w:tcPr>
                  <w:tcW w:w="457" w:type="dxa"/>
                  <w:vMerge w:val="continue"/>
                  <w:vAlign w:val="center"/>
                </w:tcPr>
                <w:p w14:paraId="5298950A">
                  <w:pPr>
                    <w:pageBreakBefore/>
                    <w:adjustRightInd w:val="0"/>
                    <w:snapToGrid w:val="0"/>
                    <w:spacing w:line="280" w:lineRule="exact"/>
                    <w:jc w:val="center"/>
                    <w:rPr>
                      <w:rFonts w:hAnsi="宋体"/>
                      <w:color w:val="auto"/>
                      <w:szCs w:val="21"/>
                      <w:highlight w:val="none"/>
                    </w:rPr>
                  </w:pPr>
                </w:p>
              </w:tc>
              <w:tc>
                <w:tcPr>
                  <w:tcW w:w="566" w:type="dxa"/>
                  <w:vMerge w:val="restart"/>
                  <w:vAlign w:val="center"/>
                </w:tcPr>
                <w:p w14:paraId="08120DD5">
                  <w:pPr>
                    <w:pageBreakBefore/>
                    <w:adjustRightInd w:val="0"/>
                    <w:snapToGrid w:val="0"/>
                    <w:spacing w:line="280" w:lineRule="exact"/>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生产废水</w:t>
                  </w:r>
                </w:p>
              </w:tc>
              <w:tc>
                <w:tcPr>
                  <w:tcW w:w="3597" w:type="dxa"/>
                  <w:gridSpan w:val="3"/>
                  <w:tcMar>
                    <w:left w:w="0" w:type="dxa"/>
                    <w:right w:w="0" w:type="dxa"/>
                  </w:tcMar>
                  <w:vAlign w:val="center"/>
                </w:tcPr>
                <w:p w14:paraId="15F10219">
                  <w:pPr>
                    <w:pageBreakBefore/>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酸洗废水经</w:t>
                  </w:r>
                  <w:r>
                    <w:rPr>
                      <w:rFonts w:hint="eastAsia" w:cs="Times New Roman"/>
                      <w:color w:val="auto"/>
                      <w:sz w:val="21"/>
                      <w:szCs w:val="21"/>
                      <w:lang w:val="en-US" w:eastAsia="zh-CN"/>
                    </w:rPr>
                    <w:t>污水处理站TW001（</w:t>
                  </w:r>
                  <w:r>
                    <w:rPr>
                      <w:rFonts w:hint="default" w:ascii="Times New Roman" w:hAnsi="Times New Roman" w:eastAsia="宋体" w:cs="Times New Roman"/>
                      <w:color w:val="auto"/>
                      <w:sz w:val="21"/>
                      <w:szCs w:val="21"/>
                    </w:rPr>
                    <w:t>隔油+中和+絮凝+斜管沉淀+</w:t>
                  </w:r>
                  <w:r>
                    <w:rPr>
                      <w:rFonts w:hint="eastAsia" w:cs="Times New Roman"/>
                      <w:color w:val="auto"/>
                      <w:sz w:val="21"/>
                      <w:szCs w:val="21"/>
                      <w:lang w:eastAsia="zh-CN"/>
                    </w:rPr>
                    <w:t>过滤器</w:t>
                  </w:r>
                  <w:r>
                    <w:rPr>
                      <w:rFonts w:hint="eastAsia" w:ascii="Times New Roman" w:hAnsi="Times New Roman" w:eastAsia="宋体" w:cs="Times New Roman"/>
                      <w:color w:val="auto"/>
                      <w:sz w:val="21"/>
                      <w:szCs w:val="21"/>
                      <w:lang w:val="en-US" w:eastAsia="zh-CN"/>
                    </w:rPr>
                    <w:t>处理工艺</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，设计处理规模40m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w:t>
                  </w:r>
                </w:p>
              </w:tc>
              <w:tc>
                <w:tcPr>
                  <w:tcW w:w="2478" w:type="dxa"/>
                  <w:tcMar>
                    <w:left w:w="0" w:type="dxa"/>
                    <w:right w:w="0" w:type="dxa"/>
                  </w:tcMar>
                  <w:vAlign w:val="center"/>
                </w:tcPr>
                <w:p w14:paraId="1A853568">
                  <w:pPr>
                    <w:pageBreakBefore/>
                    <w:adjustRightInd w:val="0"/>
                    <w:snapToGrid w:val="0"/>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污水处理站TW001位于1#厂房东侧，处理现有项目酸洗废水，废水经预处理后接管至李口镇污水处理厂进一步处理</w:t>
                  </w:r>
                </w:p>
              </w:tc>
            </w:tr>
            <w:tr w14:paraId="6D66C8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5B090CCA">
                  <w:pPr>
                    <w:pageBreakBefore/>
                    <w:adjustRightInd w:val="0"/>
                    <w:snapToGrid w:val="0"/>
                    <w:spacing w:line="280" w:lineRule="exact"/>
                    <w:jc w:val="center"/>
                    <w:rPr>
                      <w:rFonts w:hAnsi="宋体"/>
                      <w:color w:val="auto"/>
                      <w:szCs w:val="21"/>
                      <w:highlight w:val="none"/>
                    </w:rPr>
                  </w:pPr>
                </w:p>
              </w:tc>
              <w:tc>
                <w:tcPr>
                  <w:tcW w:w="457" w:type="dxa"/>
                  <w:vMerge w:val="continue"/>
                  <w:vAlign w:val="center"/>
                </w:tcPr>
                <w:p w14:paraId="381D84AE">
                  <w:pPr>
                    <w:pageBreakBefore/>
                    <w:adjustRightInd w:val="0"/>
                    <w:snapToGrid w:val="0"/>
                    <w:spacing w:line="280" w:lineRule="exact"/>
                    <w:jc w:val="center"/>
                    <w:rPr>
                      <w:rFonts w:hAnsi="宋体"/>
                      <w:color w:val="auto"/>
                      <w:szCs w:val="21"/>
                      <w:highlight w:val="none"/>
                    </w:rPr>
                  </w:pPr>
                </w:p>
              </w:tc>
              <w:tc>
                <w:tcPr>
                  <w:tcW w:w="566" w:type="dxa"/>
                  <w:vMerge w:val="continue"/>
                  <w:vAlign w:val="center"/>
                </w:tcPr>
                <w:p w14:paraId="755C64E6">
                  <w:pPr>
                    <w:pageBreakBefore/>
                    <w:adjustRightInd w:val="0"/>
                    <w:snapToGrid w:val="0"/>
                    <w:spacing w:line="280" w:lineRule="exact"/>
                    <w:jc w:val="center"/>
                    <w:rPr>
                      <w:rFonts w:hint="eastAsia" w:hAnsi="宋体" w:eastAsia="宋体"/>
                      <w:color w:val="auto"/>
                      <w:szCs w:val="21"/>
                      <w:highlight w:val="none"/>
                      <w:lang w:val="en-US" w:eastAsia="zh-CN"/>
                    </w:rPr>
                  </w:pPr>
                </w:p>
              </w:tc>
              <w:tc>
                <w:tcPr>
                  <w:tcW w:w="3597" w:type="dxa"/>
                  <w:gridSpan w:val="3"/>
                  <w:tcMar>
                    <w:left w:w="0" w:type="dxa"/>
                    <w:right w:w="0" w:type="dxa"/>
                  </w:tcMar>
                  <w:vAlign w:val="center"/>
                </w:tcPr>
                <w:p w14:paraId="351E748F">
                  <w:pPr>
                    <w:pageBreakBefore/>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喷塑前处理废水经</w:t>
                  </w:r>
                  <w:r>
                    <w:rPr>
                      <w:rFonts w:hint="eastAsia" w:cs="Times New Roman"/>
                      <w:color w:val="auto"/>
                      <w:sz w:val="21"/>
                      <w:szCs w:val="21"/>
                      <w:lang w:val="en-US" w:eastAsia="zh-CN"/>
                    </w:rPr>
                    <w:t>污水处理站TW002（</w:t>
                  </w:r>
                  <w:r>
                    <w:rPr>
                      <w:rFonts w:hint="default" w:ascii="Times New Roman" w:hAnsi="Times New Roman" w:eastAsia="宋体" w:cs="Times New Roman"/>
                      <w:color w:val="auto"/>
                      <w:sz w:val="21"/>
                      <w:szCs w:val="21"/>
                    </w:rPr>
                    <w:t>隔油+中和+絮凝+斜管沉淀+</w:t>
                  </w:r>
                  <w:r>
                    <w:rPr>
                      <w:rFonts w:hint="eastAsia" w:ascii="Times New Roman" w:hAnsi="Times New Roman" w:eastAsia="宋体" w:cs="Times New Roman"/>
                      <w:color w:val="auto"/>
                      <w:sz w:val="21"/>
                      <w:szCs w:val="21"/>
                      <w:lang w:eastAsia="zh-CN"/>
                    </w:rPr>
                    <w:t>过滤器</w:t>
                  </w:r>
                  <w:r>
                    <w:rPr>
                      <w:rFonts w:hint="eastAsia" w:ascii="Times New Roman" w:hAnsi="Times New Roman" w:eastAsia="宋体" w:cs="Times New Roman"/>
                      <w:color w:val="auto"/>
                      <w:sz w:val="21"/>
                      <w:szCs w:val="21"/>
                      <w:lang w:val="en-US" w:eastAsia="zh-CN"/>
                    </w:rPr>
                    <w:t>处理工艺</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，设计处理规模5m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w:t>
                  </w:r>
                </w:p>
              </w:tc>
              <w:tc>
                <w:tcPr>
                  <w:tcW w:w="2478" w:type="dxa"/>
                  <w:vMerge w:val="restart"/>
                  <w:tcMar>
                    <w:left w:w="0" w:type="dxa"/>
                    <w:right w:w="0" w:type="dxa"/>
                  </w:tcMar>
                  <w:vAlign w:val="center"/>
                </w:tcPr>
                <w:p w14:paraId="41FCB212">
                  <w:pPr>
                    <w:pageBreakBefore/>
                    <w:adjustRightInd w:val="0"/>
                    <w:snapToGrid w:val="0"/>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污水处理站TW002位于5#厂房南侧，本项目将现有污水处理站TW002处理规模由5m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/d扩建至10m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/d，同时处理现有项目和本项目喷塑前处理废水，处理后废水经接管至李口镇污水处理厂进一步处理</w:t>
                  </w:r>
                </w:p>
              </w:tc>
            </w:tr>
            <w:tr w14:paraId="64A369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279E867B">
                  <w:pPr>
                    <w:pageBreakBefore/>
                    <w:adjustRightInd w:val="0"/>
                    <w:snapToGrid w:val="0"/>
                    <w:spacing w:line="280" w:lineRule="exact"/>
                    <w:jc w:val="center"/>
                    <w:rPr>
                      <w:rFonts w:hAnsi="宋体"/>
                      <w:color w:val="auto"/>
                      <w:szCs w:val="21"/>
                      <w:highlight w:val="none"/>
                    </w:rPr>
                  </w:pPr>
                </w:p>
              </w:tc>
              <w:tc>
                <w:tcPr>
                  <w:tcW w:w="457" w:type="dxa"/>
                  <w:vMerge w:val="continue"/>
                  <w:vAlign w:val="center"/>
                </w:tcPr>
                <w:p w14:paraId="30C8585E">
                  <w:pPr>
                    <w:pageBreakBefore/>
                    <w:adjustRightInd w:val="0"/>
                    <w:snapToGrid w:val="0"/>
                    <w:spacing w:line="280" w:lineRule="exact"/>
                    <w:jc w:val="center"/>
                    <w:rPr>
                      <w:rFonts w:hAnsi="宋体"/>
                      <w:color w:val="auto"/>
                      <w:szCs w:val="21"/>
                      <w:highlight w:val="none"/>
                    </w:rPr>
                  </w:pPr>
                </w:p>
              </w:tc>
              <w:tc>
                <w:tcPr>
                  <w:tcW w:w="566" w:type="dxa"/>
                  <w:vMerge w:val="continue"/>
                  <w:vAlign w:val="center"/>
                </w:tcPr>
                <w:p w14:paraId="6C345B67">
                  <w:pPr>
                    <w:pageBreakBefore/>
                    <w:adjustRightInd w:val="0"/>
                    <w:snapToGrid w:val="0"/>
                    <w:spacing w:line="280" w:lineRule="exact"/>
                    <w:jc w:val="center"/>
                    <w:rPr>
                      <w:rFonts w:hint="eastAsia" w:hAnsi="宋体"/>
                      <w:color w:val="auto"/>
                      <w:szCs w:val="21"/>
                      <w:highlight w:val="none"/>
                      <w:lang w:val="en-US" w:eastAsia="zh-CN"/>
                    </w:rPr>
                  </w:pPr>
                </w:p>
              </w:tc>
              <w:tc>
                <w:tcPr>
                  <w:tcW w:w="3597" w:type="dxa"/>
                  <w:gridSpan w:val="3"/>
                  <w:tcMar>
                    <w:left w:w="0" w:type="dxa"/>
                    <w:right w:w="0" w:type="dxa"/>
                  </w:tcMar>
                  <w:vAlign w:val="center"/>
                </w:tcPr>
                <w:p w14:paraId="26A5B171">
                  <w:pPr>
                    <w:pageBreakBefore/>
                    <w:adjustRightInd w:val="0"/>
                    <w:snapToGrid w:val="0"/>
                    <w:spacing w:line="280" w:lineRule="exact"/>
                    <w:jc w:val="center"/>
                    <w:rPr>
                      <w:rFonts w:hint="eastAsia" w:ascii="Times New Roman"/>
                      <w:color w:val="auto"/>
                      <w:sz w:val="21"/>
                      <w:szCs w:val="21"/>
                      <w:highlight w:val="none"/>
                    </w:rPr>
                  </w:pPr>
                  <w:r>
                    <w:rPr>
                      <w:rFonts w:hint="eastAsia" w:ascii="Times New Roman" w:hAnsi="Times New Roman" w:eastAsia="宋体" w:cs="Times New Roman"/>
                      <w:color w:val="auto"/>
                      <w:sz w:val="21"/>
                      <w:szCs w:val="21"/>
                      <w:lang w:val="en-US" w:eastAsia="zh-CN"/>
                    </w:rPr>
                    <w:t>喷塑前处理废水经</w:t>
                  </w:r>
                  <w:r>
                    <w:rPr>
                      <w:rFonts w:hint="eastAsia" w:cs="Times New Roman"/>
                      <w:color w:val="auto"/>
                      <w:sz w:val="21"/>
                      <w:szCs w:val="21"/>
                      <w:lang w:val="en-US" w:eastAsia="zh-CN"/>
                    </w:rPr>
                    <w:t>污水处理站TW002（</w:t>
                  </w:r>
                  <w:r>
                    <w:rPr>
                      <w:rFonts w:hint="default" w:ascii="Times New Roman" w:hAnsi="Times New Roman" w:eastAsia="宋体" w:cs="Times New Roman"/>
                      <w:color w:val="auto"/>
                      <w:sz w:val="21"/>
                      <w:szCs w:val="21"/>
                    </w:rPr>
                    <w:t>隔油+中和+絮凝+斜管沉淀+</w:t>
                  </w:r>
                  <w:r>
                    <w:rPr>
                      <w:rFonts w:hint="eastAsia" w:ascii="Times New Roman" w:hAnsi="Times New Roman" w:eastAsia="宋体" w:cs="Times New Roman"/>
                      <w:color w:val="auto"/>
                      <w:sz w:val="21"/>
                      <w:szCs w:val="21"/>
                      <w:lang w:eastAsia="zh-CN"/>
                    </w:rPr>
                    <w:t>过滤器</w:t>
                  </w:r>
                  <w:r>
                    <w:rPr>
                      <w:rFonts w:hint="eastAsia" w:ascii="Times New Roman" w:hAnsi="Times New Roman" w:eastAsia="宋体" w:cs="Times New Roman"/>
                      <w:color w:val="auto"/>
                      <w:sz w:val="21"/>
                      <w:szCs w:val="21"/>
                      <w:lang w:val="en-US" w:eastAsia="zh-CN"/>
                    </w:rPr>
                    <w:t>处理工艺</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，设计处理规模10m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w:t>
                  </w:r>
                </w:p>
              </w:tc>
              <w:tc>
                <w:tcPr>
                  <w:tcW w:w="2478" w:type="dxa"/>
                  <w:vMerge w:val="continue"/>
                  <w:tcMar>
                    <w:left w:w="0" w:type="dxa"/>
                    <w:right w:w="0" w:type="dxa"/>
                  </w:tcMar>
                  <w:vAlign w:val="center"/>
                </w:tcPr>
                <w:p w14:paraId="21CCC538">
                  <w:pPr>
                    <w:pageBreakBefore/>
                    <w:spacing w:line="280" w:lineRule="exact"/>
                    <w:ind w:firstLine="105" w:firstLineChars="50"/>
                    <w:jc w:val="center"/>
                    <w:rPr>
                      <w:rFonts w:hint="default" w:eastAsia="宋体"/>
                      <w:color w:val="auto"/>
                      <w:szCs w:val="21"/>
                      <w:highlight w:val="none"/>
                      <w:lang w:val="en-US" w:eastAsia="zh-CN"/>
                    </w:rPr>
                  </w:pPr>
                </w:p>
              </w:tc>
            </w:tr>
            <w:tr w14:paraId="26A40A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3A21582E">
                  <w:pPr>
                    <w:pageBreakBefore/>
                    <w:adjustRightInd w:val="0"/>
                    <w:snapToGrid w:val="0"/>
                    <w:spacing w:line="280" w:lineRule="exact"/>
                    <w:jc w:val="center"/>
                    <w:rPr>
                      <w:color w:val="auto"/>
                      <w:szCs w:val="21"/>
                      <w:highlight w:val="none"/>
                    </w:rPr>
                  </w:pPr>
                </w:p>
              </w:tc>
              <w:tc>
                <w:tcPr>
                  <w:tcW w:w="1023" w:type="dxa"/>
                  <w:gridSpan w:val="2"/>
                  <w:vAlign w:val="center"/>
                </w:tcPr>
                <w:p w14:paraId="48C557F6">
                  <w:pPr>
                    <w:pageBreakBefore/>
                    <w:adjustRightInd w:val="0"/>
                    <w:snapToGrid w:val="0"/>
                    <w:spacing w:line="280" w:lineRule="exact"/>
                    <w:jc w:val="center"/>
                    <w:rPr>
                      <w:color w:val="auto"/>
                      <w:szCs w:val="21"/>
                      <w:highlight w:val="none"/>
                    </w:rPr>
                  </w:pPr>
                  <w:r>
                    <w:rPr>
                      <w:rFonts w:hAnsi="宋体"/>
                      <w:color w:val="auto"/>
                      <w:szCs w:val="21"/>
                      <w:highlight w:val="none"/>
                    </w:rPr>
                    <w:t>噪声处理</w:t>
                  </w:r>
                </w:p>
              </w:tc>
              <w:tc>
                <w:tcPr>
                  <w:tcW w:w="6075" w:type="dxa"/>
                  <w:gridSpan w:val="4"/>
                  <w:tcMar>
                    <w:left w:w="0" w:type="dxa"/>
                    <w:right w:w="0" w:type="dxa"/>
                  </w:tcMar>
                  <w:vAlign w:val="center"/>
                </w:tcPr>
                <w:p w14:paraId="6C9D1567">
                  <w:pPr>
                    <w:pageBreakBefore/>
                    <w:adjustRightInd w:val="0"/>
                    <w:snapToGrid w:val="0"/>
                    <w:spacing w:line="280" w:lineRule="exact"/>
                    <w:ind w:firstLine="105" w:firstLineChars="50"/>
                    <w:jc w:val="center"/>
                    <w:rPr>
                      <w:rFonts w:hint="eastAsia" w:eastAsia="宋体"/>
                      <w:color w:val="auto"/>
                      <w:szCs w:val="21"/>
                      <w:highlight w:val="none"/>
                      <w:lang w:eastAsia="zh-CN"/>
                    </w:rPr>
                  </w:pPr>
                  <w:r>
                    <w:rPr>
                      <w:rFonts w:hint="eastAsia" w:hAnsi="宋体"/>
                      <w:color w:val="auto"/>
                      <w:szCs w:val="21"/>
                      <w:highlight w:val="none"/>
                    </w:rPr>
                    <w:t>设备基础减振</w:t>
                  </w:r>
                  <w:r>
                    <w:rPr>
                      <w:rFonts w:hAnsi="宋体"/>
                      <w:color w:val="auto"/>
                      <w:szCs w:val="21"/>
                      <w:highlight w:val="none"/>
                    </w:rPr>
                    <w:t>，厂房隔声</w:t>
                  </w:r>
                </w:p>
              </w:tc>
            </w:tr>
            <w:tr w14:paraId="491044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5F42FBDF">
                  <w:pPr>
                    <w:pageBreakBefore/>
                    <w:adjustRightInd w:val="0"/>
                    <w:snapToGrid w:val="0"/>
                    <w:spacing w:line="280" w:lineRule="exact"/>
                    <w:jc w:val="center"/>
                    <w:rPr>
                      <w:color w:val="auto"/>
                      <w:szCs w:val="21"/>
                      <w:highlight w:val="none"/>
                    </w:rPr>
                  </w:pPr>
                </w:p>
              </w:tc>
              <w:tc>
                <w:tcPr>
                  <w:tcW w:w="1023" w:type="dxa"/>
                  <w:gridSpan w:val="2"/>
                  <w:vMerge w:val="restart"/>
                  <w:vAlign w:val="center"/>
                </w:tcPr>
                <w:p w14:paraId="5C8128BA">
                  <w:pPr>
                    <w:pageBreakBefore/>
                    <w:adjustRightInd w:val="0"/>
                    <w:snapToGrid w:val="0"/>
                    <w:spacing w:line="280" w:lineRule="exact"/>
                    <w:jc w:val="center"/>
                    <w:rPr>
                      <w:color w:val="auto"/>
                      <w:szCs w:val="21"/>
                      <w:highlight w:val="none"/>
                    </w:rPr>
                  </w:pPr>
                  <w:r>
                    <w:rPr>
                      <w:rFonts w:hAnsi="宋体"/>
                      <w:color w:val="auto"/>
                      <w:szCs w:val="21"/>
                      <w:highlight w:val="none"/>
                    </w:rPr>
                    <w:t>固废处理</w:t>
                  </w:r>
                </w:p>
              </w:tc>
              <w:tc>
                <w:tcPr>
                  <w:tcW w:w="6075" w:type="dxa"/>
                  <w:gridSpan w:val="4"/>
                  <w:tcMar>
                    <w:left w:w="0" w:type="dxa"/>
                    <w:right w:w="0" w:type="dxa"/>
                  </w:tcMar>
                  <w:vAlign w:val="center"/>
                </w:tcPr>
                <w:p w14:paraId="0295ECEF">
                  <w:pPr>
                    <w:pageBreakBefore/>
                    <w:jc w:val="center"/>
                    <w:rPr>
                      <w:rFonts w:hint="default" w:eastAsia="宋体"/>
                      <w:color w:val="auto"/>
                      <w:szCs w:val="21"/>
                      <w:highlight w:val="none"/>
                      <w:lang w:val="en-US" w:eastAsia="zh-CN"/>
                    </w:rPr>
                  </w:pPr>
                  <w:r>
                    <w:rPr>
                      <w:color w:val="auto"/>
                      <w:szCs w:val="21"/>
                      <w:highlight w:val="none"/>
                    </w:rPr>
                    <w:t>一般固废</w:t>
                  </w:r>
                  <w:r>
                    <w:rPr>
                      <w:rFonts w:hint="eastAsia"/>
                      <w:color w:val="auto"/>
                      <w:szCs w:val="21"/>
                      <w:highlight w:val="none"/>
                    </w:rPr>
                    <w:t>仓库</w:t>
                  </w:r>
                  <w:r>
                    <w:rPr>
                      <w:rStyle w:val="39"/>
                      <w:rFonts w:hint="eastAsia"/>
                      <w:color w:val="auto"/>
                      <w:highlight w:val="none"/>
                      <w:lang w:val="en-US" w:eastAsia="zh-CN"/>
                    </w:rPr>
                    <w:t>50</w:t>
                  </w:r>
                  <w:r>
                    <w:rPr>
                      <w:rStyle w:val="39"/>
                      <w:rFonts w:hint="eastAsia"/>
                      <w:color w:val="auto"/>
                      <w:highlight w:val="none"/>
                    </w:rPr>
                    <w:t>m</w:t>
                  </w:r>
                  <w:r>
                    <w:rPr>
                      <w:rStyle w:val="39"/>
                      <w:rFonts w:hint="eastAsia"/>
                      <w:color w:val="auto"/>
                      <w:highlight w:val="none"/>
                      <w:vertAlign w:val="superscript"/>
                    </w:rPr>
                    <w:t>2</w:t>
                  </w:r>
                  <w:r>
                    <w:rPr>
                      <w:rFonts w:hint="eastAsia"/>
                      <w:color w:val="auto"/>
                      <w:szCs w:val="21"/>
                      <w:highlight w:val="none"/>
                      <w:lang w:val="en-US" w:eastAsia="zh-CN"/>
                    </w:rPr>
                    <w:t>，依托现有，3#厂房西侧</w:t>
                  </w:r>
                </w:p>
              </w:tc>
            </w:tr>
            <w:tr w14:paraId="7A6EFA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24" w:type="dxa"/>
                  <w:vMerge w:val="continue"/>
                  <w:vAlign w:val="center"/>
                </w:tcPr>
                <w:p w14:paraId="618F759E">
                  <w:pPr>
                    <w:pageBreakBefore/>
                    <w:adjustRightInd w:val="0"/>
                    <w:snapToGrid w:val="0"/>
                    <w:spacing w:line="280" w:lineRule="exact"/>
                    <w:jc w:val="center"/>
                    <w:rPr>
                      <w:color w:val="auto"/>
                      <w:szCs w:val="21"/>
                      <w:highlight w:val="none"/>
                    </w:rPr>
                  </w:pPr>
                </w:p>
              </w:tc>
              <w:tc>
                <w:tcPr>
                  <w:tcW w:w="1023" w:type="dxa"/>
                  <w:gridSpan w:val="2"/>
                  <w:vMerge w:val="continue"/>
                  <w:vAlign w:val="center"/>
                </w:tcPr>
                <w:p w14:paraId="3E2486C0">
                  <w:pPr>
                    <w:pageBreakBefore/>
                    <w:adjustRightInd w:val="0"/>
                    <w:snapToGrid w:val="0"/>
                    <w:spacing w:line="280" w:lineRule="exact"/>
                    <w:jc w:val="center"/>
                    <w:rPr>
                      <w:rFonts w:hAnsi="宋体"/>
                      <w:color w:val="auto"/>
                      <w:szCs w:val="21"/>
                      <w:highlight w:val="none"/>
                    </w:rPr>
                  </w:pPr>
                </w:p>
              </w:tc>
              <w:tc>
                <w:tcPr>
                  <w:tcW w:w="6075" w:type="dxa"/>
                  <w:gridSpan w:val="4"/>
                  <w:tcMar>
                    <w:left w:w="0" w:type="dxa"/>
                    <w:right w:w="0" w:type="dxa"/>
                  </w:tcMar>
                  <w:vAlign w:val="center"/>
                </w:tcPr>
                <w:p w14:paraId="60C7175E">
                  <w:pPr>
                    <w:pageBreakBefore/>
                    <w:jc w:val="center"/>
                    <w:rPr>
                      <w:rFonts w:hint="default" w:eastAsia="宋体"/>
                      <w:color w:val="auto"/>
                      <w:szCs w:val="21"/>
                      <w:highlight w:val="none"/>
                      <w:lang w:val="en-US" w:eastAsia="zh-CN"/>
                    </w:rPr>
                  </w:pPr>
                  <w:r>
                    <w:rPr>
                      <w:rFonts w:hint="eastAsia"/>
                      <w:color w:val="auto"/>
                      <w:szCs w:val="21"/>
                      <w:highlight w:val="none"/>
                    </w:rPr>
                    <w:t>危废暂存间</w:t>
                  </w:r>
                  <w:r>
                    <w:rPr>
                      <w:rStyle w:val="39"/>
                      <w:rFonts w:hint="eastAsia"/>
                      <w:color w:val="auto"/>
                      <w:highlight w:val="none"/>
                      <w:lang w:val="en-US" w:eastAsia="zh-CN"/>
                    </w:rPr>
                    <w:t>130</w:t>
                  </w:r>
                  <w:r>
                    <w:rPr>
                      <w:rStyle w:val="39"/>
                      <w:rFonts w:hint="eastAsia"/>
                      <w:color w:val="auto"/>
                      <w:highlight w:val="none"/>
                    </w:rPr>
                    <w:t>m</w:t>
                  </w:r>
                  <w:r>
                    <w:rPr>
                      <w:rStyle w:val="39"/>
                      <w:rFonts w:hint="eastAsia"/>
                      <w:color w:val="auto"/>
                      <w:highlight w:val="none"/>
                      <w:vertAlign w:val="superscript"/>
                    </w:rPr>
                    <w:t>2</w:t>
                  </w:r>
                  <w:r>
                    <w:rPr>
                      <w:rFonts w:hint="eastAsia"/>
                      <w:color w:val="auto"/>
                      <w:szCs w:val="21"/>
                      <w:highlight w:val="none"/>
                      <w:lang w:val="en-US" w:eastAsia="zh-CN"/>
                    </w:rPr>
                    <w:t>，依托现有，3#厂房东侧围墙边</w:t>
                  </w:r>
                </w:p>
              </w:tc>
            </w:tr>
            <w:tr w14:paraId="6E245D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847" w:type="dxa"/>
                  <w:gridSpan w:val="3"/>
                  <w:vAlign w:val="center"/>
                </w:tcPr>
                <w:p w14:paraId="593454AA">
                  <w:pPr>
                    <w:pageBreakBefore/>
                    <w:adjustRightInd w:val="0"/>
                    <w:snapToGrid w:val="0"/>
                    <w:spacing w:line="280" w:lineRule="exact"/>
                    <w:jc w:val="center"/>
                    <w:rPr>
                      <w:rFonts w:hint="eastAsia" w:hAnsi="宋体" w:eastAsia="宋体"/>
                      <w:color w:val="auto"/>
                      <w:szCs w:val="21"/>
                      <w:highlight w:val="none"/>
                      <w:lang w:val="en-US" w:eastAsia="zh-CN"/>
                    </w:rPr>
                  </w:pPr>
                  <w:r>
                    <w:rPr>
                      <w:rFonts w:hint="eastAsia"/>
                      <w:lang w:val="en-US" w:eastAsia="zh-CN"/>
                    </w:rPr>
                    <w:t>风险防范工程</w:t>
                  </w:r>
                </w:p>
              </w:tc>
              <w:tc>
                <w:tcPr>
                  <w:tcW w:w="6075" w:type="dxa"/>
                  <w:gridSpan w:val="4"/>
                  <w:tcMar>
                    <w:left w:w="0" w:type="dxa"/>
                    <w:right w:w="0" w:type="dxa"/>
                  </w:tcMar>
                  <w:vAlign w:val="center"/>
                </w:tcPr>
                <w:p w14:paraId="7DA1ED0A">
                  <w:pPr>
                    <w:pageBreakBefore/>
                    <w:jc w:val="center"/>
                    <w:rPr>
                      <w:rFonts w:hint="default" w:eastAsia="宋体"/>
                      <w:color w:val="auto"/>
                      <w:szCs w:val="21"/>
                      <w:highlight w:val="none"/>
                      <w:lang w:val="en-US" w:eastAsia="zh-CN"/>
                    </w:rPr>
                  </w:pPr>
                  <w:r>
                    <w:rPr>
                      <w:rFonts w:hint="eastAsia"/>
                      <w:color w:val="auto"/>
                      <w:szCs w:val="21"/>
                      <w:highlight w:val="none"/>
                      <w:lang w:val="en-US" w:eastAsia="zh-CN"/>
                    </w:rPr>
                    <w:t>事故应急池200m</w:t>
                  </w:r>
                  <w:r>
                    <w:rPr>
                      <w:rFonts w:hint="eastAsia"/>
                      <w:color w:val="auto"/>
                      <w:szCs w:val="21"/>
                      <w:highlight w:val="none"/>
                      <w:vertAlign w:val="superscript"/>
                      <w:lang w:val="en-US" w:eastAsia="zh-CN"/>
                    </w:rPr>
                    <w:t>3</w:t>
                  </w:r>
                </w:p>
              </w:tc>
            </w:tr>
          </w:tbl>
          <w:p w14:paraId="273F4346">
            <w:pPr>
              <w:keepNext/>
              <w:keepLines/>
              <w:pageBreakBefore w:val="0"/>
              <w:widowControl w:val="0"/>
              <w:kinsoku/>
              <w:wordWrap/>
              <w:overflowPunct/>
              <w:topLinePunct w:val="0"/>
              <w:autoSpaceDE/>
              <w:autoSpaceDN/>
              <w:bidi w:val="0"/>
              <w:adjustRightInd/>
              <w:snapToGrid/>
              <w:spacing w:before="157" w:beforeLines="50" w:line="360" w:lineRule="auto"/>
              <w:textAlignment w:val="auto"/>
              <w:outlineLvl w:val="2"/>
              <w:rPr>
                <w:b/>
                <w:bCs/>
                <w:color w:val="auto"/>
                <w:szCs w:val="21"/>
                <w:highlight w:val="none"/>
              </w:rPr>
            </w:pPr>
            <w:r>
              <w:rPr>
                <w:b/>
                <w:bCs/>
                <w:color w:val="auto"/>
                <w:szCs w:val="21"/>
                <w:highlight w:val="none"/>
              </w:rPr>
              <w:t>3、主要产品及产能</w:t>
            </w:r>
          </w:p>
          <w:p w14:paraId="2F023511">
            <w:pPr>
              <w:keepNext/>
              <w:keepLines/>
              <w:spacing w:line="360" w:lineRule="auto"/>
              <w:ind w:firstLine="420" w:firstLineChars="200"/>
              <w:outlineLvl w:val="2"/>
              <w:rPr>
                <w:color w:val="auto"/>
                <w:szCs w:val="21"/>
                <w:highlight w:val="none"/>
              </w:rPr>
            </w:pPr>
            <w:r>
              <w:rPr>
                <w:rFonts w:hint="eastAsia"/>
                <w:color w:val="auto"/>
                <w:szCs w:val="21"/>
                <w:highlight w:val="none"/>
                <w:lang w:val="en-US" w:eastAsia="zh-CN"/>
              </w:rPr>
              <w:t>全厂</w:t>
            </w:r>
            <w:r>
              <w:rPr>
                <w:color w:val="auto"/>
                <w:szCs w:val="21"/>
                <w:highlight w:val="none"/>
              </w:rPr>
              <w:t>生产方案见表2-</w:t>
            </w:r>
            <w:r>
              <w:rPr>
                <w:rFonts w:hint="eastAsia"/>
                <w:color w:val="auto"/>
                <w:szCs w:val="21"/>
                <w:highlight w:val="none"/>
                <w:lang w:val="en-US" w:eastAsia="zh-CN"/>
              </w:rPr>
              <w:t>3</w:t>
            </w:r>
            <w:r>
              <w:rPr>
                <w:color w:val="auto"/>
                <w:szCs w:val="21"/>
                <w:highlight w:val="none"/>
              </w:rPr>
              <w:t>。</w:t>
            </w:r>
          </w:p>
          <w:p w14:paraId="394C086D">
            <w:pPr>
              <w:widowControl/>
              <w:jc w:val="center"/>
              <w:rPr>
                <w:b/>
                <w:bCs/>
                <w:color w:val="auto"/>
                <w:highlight w:val="none"/>
              </w:rPr>
            </w:pPr>
            <w:r>
              <w:rPr>
                <w:rFonts w:hint="eastAsia"/>
                <w:b/>
                <w:bCs/>
                <w:color w:val="auto"/>
                <w:highlight w:val="none"/>
              </w:rPr>
              <w:t>表2-</w:t>
            </w:r>
            <w:r>
              <w:rPr>
                <w:rFonts w:hint="eastAsia"/>
                <w:b/>
                <w:bCs/>
                <w:color w:val="auto"/>
                <w:highlight w:val="none"/>
                <w:lang w:val="en-US" w:eastAsia="zh-CN"/>
              </w:rPr>
              <w:t>3 全厂</w:t>
            </w:r>
            <w:r>
              <w:rPr>
                <w:rFonts w:hint="eastAsia"/>
                <w:b/>
                <w:bCs/>
                <w:color w:val="auto"/>
                <w:highlight w:val="none"/>
              </w:rPr>
              <w:t>产品方案一览表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520"/>
              <w:gridCol w:w="1393"/>
              <w:gridCol w:w="1058"/>
              <w:gridCol w:w="1130"/>
              <w:gridCol w:w="1159"/>
            </w:tblGrid>
            <w:tr w14:paraId="59EC9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Merge w:val="restart"/>
                  <w:vAlign w:val="center"/>
                </w:tcPr>
                <w:p w14:paraId="42C01DEF">
                  <w:pPr>
                    <w:pageBreakBefore/>
                    <w:adjustRightInd w:val="0"/>
                    <w:snapToGrid w:val="0"/>
                    <w:jc w:val="center"/>
                    <w:rPr>
                      <w:color w:val="auto"/>
                      <w:szCs w:val="21"/>
                      <w:highlight w:val="none"/>
                    </w:rPr>
                  </w:pPr>
                  <w:r>
                    <w:rPr>
                      <w:color w:val="auto"/>
                      <w:szCs w:val="21"/>
                      <w:highlight w:val="none"/>
                    </w:rPr>
                    <w:t>序号</w:t>
                  </w:r>
                </w:p>
              </w:tc>
              <w:tc>
                <w:tcPr>
                  <w:tcW w:w="2520" w:type="dxa"/>
                  <w:vMerge w:val="restart"/>
                  <w:vAlign w:val="center"/>
                </w:tcPr>
                <w:p w14:paraId="2F37BAE0">
                  <w:pPr>
                    <w:pageBreakBefore/>
                    <w:adjustRightInd w:val="0"/>
                    <w:snapToGrid w:val="0"/>
                    <w:jc w:val="center"/>
                    <w:rPr>
                      <w:color w:val="auto"/>
                      <w:szCs w:val="21"/>
                      <w:highlight w:val="none"/>
                    </w:rPr>
                  </w:pPr>
                  <w:r>
                    <w:rPr>
                      <w:color w:val="auto"/>
                      <w:szCs w:val="21"/>
                      <w:highlight w:val="none"/>
                    </w:rPr>
                    <w:t>产品名称</w:t>
                  </w:r>
                  <w:r>
                    <w:rPr>
                      <w:rFonts w:hint="eastAsia"/>
                      <w:color w:val="auto"/>
                      <w:szCs w:val="21"/>
                      <w:highlight w:val="none"/>
                    </w:rPr>
                    <w:t>及规格</w:t>
                  </w:r>
                </w:p>
              </w:tc>
              <w:tc>
                <w:tcPr>
                  <w:tcW w:w="3581" w:type="dxa"/>
                  <w:gridSpan w:val="3"/>
                  <w:vAlign w:val="center"/>
                </w:tcPr>
                <w:p w14:paraId="26C1D5D4">
                  <w:pPr>
                    <w:pageBreakBefore/>
                    <w:adjustRightInd w:val="0"/>
                    <w:snapToGrid w:val="0"/>
                    <w:jc w:val="center"/>
                    <w:rPr>
                      <w:rFonts w:hint="default" w:eastAsia="宋体"/>
                      <w:color w:val="auto"/>
                      <w:szCs w:val="21"/>
                      <w:highlight w:val="none"/>
                      <w:lang w:val="en-US" w:eastAsia="zh-CN"/>
                    </w:rPr>
                  </w:pPr>
                  <w:r>
                    <w:rPr>
                      <w:color w:val="auto"/>
                      <w:szCs w:val="21"/>
                      <w:highlight w:val="none"/>
                    </w:rPr>
                    <w:t>产量</w:t>
                  </w:r>
                </w:p>
              </w:tc>
              <w:tc>
                <w:tcPr>
                  <w:tcW w:w="1159" w:type="dxa"/>
                  <w:vMerge w:val="restart"/>
                  <w:vAlign w:val="center"/>
                </w:tcPr>
                <w:p w14:paraId="0BC79238">
                  <w:pPr>
                    <w:pageBreakBefore/>
                    <w:adjustRightInd w:val="0"/>
                    <w:snapToGrid w:val="0"/>
                    <w:jc w:val="center"/>
                    <w:rPr>
                      <w:color w:val="auto"/>
                      <w:szCs w:val="21"/>
                      <w:highlight w:val="none"/>
                    </w:rPr>
                  </w:pPr>
                  <w:r>
                    <w:rPr>
                      <w:color w:val="auto"/>
                      <w:szCs w:val="21"/>
                      <w:highlight w:val="none"/>
                    </w:rPr>
                    <w:t>年运行时数</w:t>
                  </w:r>
                </w:p>
              </w:tc>
            </w:tr>
            <w:tr w14:paraId="1D093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Merge w:val="continue"/>
                  <w:vAlign w:val="center"/>
                </w:tcPr>
                <w:p w14:paraId="49DBA5E1">
                  <w:pPr>
                    <w:pageBreakBefore/>
                    <w:adjustRightInd w:val="0"/>
                    <w:snapToGrid w:val="0"/>
                    <w:jc w:val="center"/>
                    <w:rPr>
                      <w:color w:val="auto"/>
                      <w:highlight w:val="none"/>
                    </w:rPr>
                  </w:pPr>
                </w:p>
              </w:tc>
              <w:tc>
                <w:tcPr>
                  <w:tcW w:w="2520" w:type="dxa"/>
                  <w:vMerge w:val="continue"/>
                  <w:vAlign w:val="center"/>
                </w:tcPr>
                <w:p w14:paraId="2420BDF0">
                  <w:pPr>
                    <w:pageBreakBefore/>
                    <w:adjustRightInd w:val="0"/>
                    <w:snapToGrid w:val="0"/>
                    <w:jc w:val="center"/>
                    <w:rPr>
                      <w:color w:val="auto"/>
                      <w:highlight w:val="none"/>
                    </w:rPr>
                  </w:pPr>
                </w:p>
              </w:tc>
              <w:tc>
                <w:tcPr>
                  <w:tcW w:w="1393" w:type="dxa"/>
                  <w:vAlign w:val="center"/>
                </w:tcPr>
                <w:p w14:paraId="1995B55A">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现有项目</w:t>
                  </w:r>
                </w:p>
              </w:tc>
              <w:tc>
                <w:tcPr>
                  <w:tcW w:w="1058" w:type="dxa"/>
                  <w:vAlign w:val="center"/>
                </w:tcPr>
                <w:p w14:paraId="2DE4BD97">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扩建项目</w:t>
                  </w:r>
                </w:p>
              </w:tc>
              <w:tc>
                <w:tcPr>
                  <w:tcW w:w="1130" w:type="dxa"/>
                  <w:vAlign w:val="center"/>
                </w:tcPr>
                <w:p w14:paraId="1D8005D4">
                  <w:pPr>
                    <w:pageBreakBefore/>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扩建后全厂</w:t>
                  </w:r>
                </w:p>
              </w:tc>
              <w:tc>
                <w:tcPr>
                  <w:tcW w:w="1159" w:type="dxa"/>
                  <w:vMerge w:val="continue"/>
                  <w:vAlign w:val="center"/>
                </w:tcPr>
                <w:p w14:paraId="20541B53">
                  <w:pPr>
                    <w:pageBreakBefore/>
                    <w:adjustRightInd w:val="0"/>
                    <w:snapToGrid w:val="0"/>
                    <w:jc w:val="center"/>
                    <w:rPr>
                      <w:color w:val="auto"/>
                      <w:szCs w:val="21"/>
                      <w:highlight w:val="none"/>
                    </w:rPr>
                  </w:pPr>
                </w:p>
              </w:tc>
            </w:tr>
            <w:tr w14:paraId="78B55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Align w:val="center"/>
                </w:tcPr>
                <w:p w14:paraId="2698D4B8">
                  <w:pPr>
                    <w:pageBreakBefore/>
                    <w:adjustRightInd w:val="0"/>
                    <w:snapToGrid w:val="0"/>
                    <w:jc w:val="center"/>
                    <w:rPr>
                      <w:color w:val="auto"/>
                      <w:szCs w:val="21"/>
                      <w:highlight w:val="none"/>
                    </w:rPr>
                  </w:pPr>
                  <w:r>
                    <w:rPr>
                      <w:color w:val="auto"/>
                      <w:szCs w:val="21"/>
                      <w:highlight w:val="none"/>
                    </w:rPr>
                    <w:t>1</w:t>
                  </w:r>
                </w:p>
              </w:tc>
              <w:tc>
                <w:tcPr>
                  <w:tcW w:w="2520" w:type="dxa"/>
                  <w:vAlign w:val="center"/>
                </w:tcPr>
                <w:p w14:paraId="58A68363">
                  <w:pPr>
                    <w:pageBreakBefore/>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户外烤炉</w:t>
                  </w:r>
                </w:p>
              </w:tc>
              <w:tc>
                <w:tcPr>
                  <w:tcW w:w="1393" w:type="dxa"/>
                  <w:vAlign w:val="center"/>
                </w:tcPr>
                <w:p w14:paraId="7474E44C">
                  <w:pPr>
                    <w:pageBreakBefore/>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200000套/a</w:t>
                  </w:r>
                </w:p>
              </w:tc>
              <w:tc>
                <w:tcPr>
                  <w:tcW w:w="1058" w:type="dxa"/>
                  <w:vAlign w:val="center"/>
                </w:tcPr>
                <w:p w14:paraId="6994DF0E">
                  <w:pPr>
                    <w:pageBreakBefore/>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1130" w:type="dxa"/>
                  <w:vAlign w:val="center"/>
                </w:tcPr>
                <w:p w14:paraId="2049460F">
                  <w:pPr>
                    <w:pageBreakBefore/>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1159" w:type="dxa"/>
                  <w:vAlign w:val="center"/>
                </w:tcPr>
                <w:p w14:paraId="672E20D2">
                  <w:pPr>
                    <w:pageBreakBefore/>
                    <w:adjustRightInd w:val="0"/>
                    <w:snapToGrid w:val="0"/>
                    <w:jc w:val="center"/>
                    <w:rPr>
                      <w:color w:val="auto"/>
                      <w:szCs w:val="21"/>
                      <w:highlight w:val="none"/>
                    </w:rPr>
                  </w:pPr>
                  <w:r>
                    <w:rPr>
                      <w:rFonts w:hint="eastAsia"/>
                      <w:color w:val="auto"/>
                      <w:szCs w:val="21"/>
                      <w:highlight w:val="none"/>
                      <w:lang w:val="en-US" w:eastAsia="zh-CN"/>
                    </w:rPr>
                    <w:t>2400h</w:t>
                  </w:r>
                </w:p>
              </w:tc>
            </w:tr>
            <w:tr w14:paraId="00ED6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Align w:val="center"/>
                </w:tcPr>
                <w:p w14:paraId="64034C84">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2520" w:type="dxa"/>
                  <w:vAlign w:val="center"/>
                </w:tcPr>
                <w:p w14:paraId="274DD6DD">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圣诞树底座</w:t>
                  </w:r>
                </w:p>
              </w:tc>
              <w:tc>
                <w:tcPr>
                  <w:tcW w:w="1393" w:type="dxa"/>
                  <w:vAlign w:val="center"/>
                </w:tcPr>
                <w:p w14:paraId="52C1C976">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30000件/a</w:t>
                  </w:r>
                </w:p>
              </w:tc>
              <w:tc>
                <w:tcPr>
                  <w:tcW w:w="1058" w:type="dxa"/>
                  <w:vAlign w:val="center"/>
                </w:tcPr>
                <w:p w14:paraId="63FAE77D">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30" w:type="dxa"/>
                  <w:vAlign w:val="center"/>
                </w:tcPr>
                <w:p w14:paraId="3DE69A8B">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59" w:type="dxa"/>
                  <w:vAlign w:val="center"/>
                </w:tcPr>
                <w:p w14:paraId="15E03235">
                  <w:pPr>
                    <w:pageBreakBefore/>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2400h</w:t>
                  </w:r>
                </w:p>
              </w:tc>
            </w:tr>
            <w:tr w14:paraId="40EBA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Align w:val="center"/>
                </w:tcPr>
                <w:p w14:paraId="04B1BF85">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2520" w:type="dxa"/>
                  <w:vAlign w:val="center"/>
                </w:tcPr>
                <w:p w14:paraId="7C7769C6">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秋千</w:t>
                  </w:r>
                </w:p>
              </w:tc>
              <w:tc>
                <w:tcPr>
                  <w:tcW w:w="1393" w:type="dxa"/>
                  <w:vAlign w:val="center"/>
                </w:tcPr>
                <w:p w14:paraId="36D71F5C">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20000件/a</w:t>
                  </w:r>
                </w:p>
              </w:tc>
              <w:tc>
                <w:tcPr>
                  <w:tcW w:w="1058" w:type="dxa"/>
                  <w:vAlign w:val="center"/>
                </w:tcPr>
                <w:p w14:paraId="3AADAEE7">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30" w:type="dxa"/>
                  <w:vAlign w:val="center"/>
                </w:tcPr>
                <w:p w14:paraId="6D7AC971">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59" w:type="dxa"/>
                  <w:vAlign w:val="center"/>
                </w:tcPr>
                <w:p w14:paraId="43EB97B9">
                  <w:pPr>
                    <w:pageBreakBefore/>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2400h</w:t>
                  </w:r>
                </w:p>
              </w:tc>
            </w:tr>
            <w:tr w14:paraId="1DC84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Align w:val="center"/>
                </w:tcPr>
                <w:p w14:paraId="06D2AA32">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2520" w:type="dxa"/>
                  <w:vAlign w:val="center"/>
                </w:tcPr>
                <w:p w14:paraId="371761E7">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轧板</w:t>
                  </w:r>
                </w:p>
              </w:tc>
              <w:tc>
                <w:tcPr>
                  <w:tcW w:w="1393" w:type="dxa"/>
                  <w:vAlign w:val="center"/>
                </w:tcPr>
                <w:p w14:paraId="2C0CB6BE">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30000件/a</w:t>
                  </w:r>
                </w:p>
              </w:tc>
              <w:tc>
                <w:tcPr>
                  <w:tcW w:w="1058" w:type="dxa"/>
                  <w:vAlign w:val="center"/>
                </w:tcPr>
                <w:p w14:paraId="4B271A47">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30" w:type="dxa"/>
                  <w:vAlign w:val="center"/>
                </w:tcPr>
                <w:p w14:paraId="28820D84">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59" w:type="dxa"/>
                  <w:vAlign w:val="center"/>
                </w:tcPr>
                <w:p w14:paraId="24FBB3B4">
                  <w:pPr>
                    <w:pageBreakBefore/>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2400h</w:t>
                  </w:r>
                </w:p>
              </w:tc>
            </w:tr>
            <w:tr w14:paraId="7A0AC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Align w:val="center"/>
                </w:tcPr>
                <w:p w14:paraId="3BBB69CE">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2520" w:type="dxa"/>
                  <w:vAlign w:val="center"/>
                </w:tcPr>
                <w:p w14:paraId="331B14A0">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钢管及金属件</w:t>
                  </w:r>
                </w:p>
              </w:tc>
              <w:tc>
                <w:tcPr>
                  <w:tcW w:w="1393" w:type="dxa"/>
                  <w:vAlign w:val="center"/>
                </w:tcPr>
                <w:p w14:paraId="2B3484AD">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20000件/a</w:t>
                  </w:r>
                </w:p>
              </w:tc>
              <w:tc>
                <w:tcPr>
                  <w:tcW w:w="1058" w:type="dxa"/>
                  <w:vAlign w:val="center"/>
                </w:tcPr>
                <w:p w14:paraId="4C61A1DB">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30" w:type="dxa"/>
                  <w:vAlign w:val="center"/>
                </w:tcPr>
                <w:p w14:paraId="2C20E2AC">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159" w:type="dxa"/>
                  <w:vAlign w:val="center"/>
                </w:tcPr>
                <w:p w14:paraId="5D9A8E59">
                  <w:pPr>
                    <w:pageBreakBefore/>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2400h</w:t>
                  </w:r>
                </w:p>
              </w:tc>
            </w:tr>
            <w:tr w14:paraId="496E0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Align w:val="center"/>
                </w:tcPr>
                <w:p w14:paraId="6963FF9D">
                  <w:pPr>
                    <w:pageBreakBefore/>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2520" w:type="dxa"/>
                  <w:vAlign w:val="center"/>
                </w:tcPr>
                <w:p w14:paraId="40AD596F">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碳烤炉*</w:t>
                  </w:r>
                </w:p>
              </w:tc>
              <w:tc>
                <w:tcPr>
                  <w:tcW w:w="1393" w:type="dxa"/>
                  <w:vAlign w:val="center"/>
                </w:tcPr>
                <w:p w14:paraId="7C7AAA56">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3万个/a</w:t>
                  </w:r>
                </w:p>
              </w:tc>
              <w:tc>
                <w:tcPr>
                  <w:tcW w:w="1058" w:type="dxa"/>
                  <w:vAlign w:val="center"/>
                </w:tcPr>
                <w:p w14:paraId="2868D9AD">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5万个/a</w:t>
                  </w:r>
                </w:p>
              </w:tc>
              <w:tc>
                <w:tcPr>
                  <w:tcW w:w="1130" w:type="dxa"/>
                  <w:vAlign w:val="center"/>
                </w:tcPr>
                <w:p w14:paraId="1F8CE644">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8万个/a</w:t>
                  </w:r>
                </w:p>
              </w:tc>
              <w:tc>
                <w:tcPr>
                  <w:tcW w:w="1159" w:type="dxa"/>
                  <w:vAlign w:val="center"/>
                </w:tcPr>
                <w:p w14:paraId="6949ABF5">
                  <w:pPr>
                    <w:pageBreakBefore/>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3000h（现有项目2400h）</w:t>
                  </w:r>
                </w:p>
              </w:tc>
            </w:tr>
            <w:tr w14:paraId="2FCFB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2" w:type="dxa"/>
                  <w:gridSpan w:val="6"/>
                  <w:vAlign w:val="center"/>
                </w:tcPr>
                <w:p w14:paraId="374DC3AB">
                  <w:pPr>
                    <w:pageBreakBefore/>
                    <w:adjustRightInd w:val="0"/>
                    <w:snapToGrid w:val="0"/>
                    <w:jc w:val="left"/>
                    <w:rPr>
                      <w:rFonts w:hint="default"/>
                      <w:color w:val="auto"/>
                      <w:szCs w:val="21"/>
                      <w:highlight w:val="none"/>
                      <w:lang w:val="en-US" w:eastAsia="zh-CN"/>
                    </w:rPr>
                  </w:pPr>
                  <w:r>
                    <w:rPr>
                      <w:rFonts w:hint="eastAsia"/>
                      <w:color w:val="auto"/>
                      <w:szCs w:val="21"/>
                      <w:highlight w:val="none"/>
                      <w:lang w:val="en-US" w:eastAsia="zh-CN"/>
                    </w:rPr>
                    <w:t>*注：现有项目即本项目碳烤炉均为对现有项目户外烤炉进一步表面处理加工的产品。</w:t>
                  </w:r>
                </w:p>
              </w:tc>
            </w:tr>
          </w:tbl>
          <w:p w14:paraId="48101615">
            <w:pPr>
              <w:pStyle w:val="107"/>
              <w:rPr>
                <w:b/>
                <w:color w:val="auto"/>
                <w:sz w:val="21"/>
                <w:szCs w:val="21"/>
                <w:highlight w:val="none"/>
              </w:rPr>
            </w:pPr>
            <w:r>
              <w:rPr>
                <w:b/>
                <w:color w:val="auto"/>
                <w:sz w:val="21"/>
                <w:szCs w:val="21"/>
                <w:highlight w:val="none"/>
              </w:rPr>
              <w:t>4、主要生产设施名称</w:t>
            </w:r>
          </w:p>
          <w:p w14:paraId="063E2B76">
            <w:pPr>
              <w:adjustRightInd w:val="0"/>
              <w:snapToGrid w:val="0"/>
              <w:spacing w:line="360" w:lineRule="auto"/>
              <w:ind w:firstLine="420" w:firstLineChars="200"/>
              <w:rPr>
                <w:color w:val="auto"/>
                <w:szCs w:val="21"/>
                <w:highlight w:val="none"/>
              </w:rPr>
            </w:pPr>
            <w:r>
              <w:rPr>
                <w:rFonts w:hint="eastAsia"/>
                <w:color w:val="auto"/>
                <w:szCs w:val="21"/>
                <w:highlight w:val="none"/>
                <w:lang w:val="en-US" w:eastAsia="zh-CN"/>
              </w:rPr>
              <w:t>全厂</w:t>
            </w:r>
            <w:r>
              <w:rPr>
                <w:color w:val="auto"/>
                <w:szCs w:val="21"/>
                <w:highlight w:val="none"/>
              </w:rPr>
              <w:t>主要生产</w:t>
            </w:r>
            <w:r>
              <w:rPr>
                <w:rFonts w:hint="eastAsia"/>
                <w:color w:val="auto"/>
                <w:szCs w:val="21"/>
                <w:highlight w:val="none"/>
              </w:rPr>
              <w:t>设备情况</w:t>
            </w:r>
            <w:r>
              <w:rPr>
                <w:color w:val="auto"/>
                <w:szCs w:val="21"/>
                <w:highlight w:val="none"/>
              </w:rPr>
              <w:t>详见下表。</w:t>
            </w:r>
          </w:p>
          <w:p w14:paraId="3FE54E0C">
            <w:pPr>
              <w:pStyle w:val="108"/>
              <w:keepNext w:val="0"/>
              <w:keepLines w:val="0"/>
              <w:suppressLineNumbers w:val="0"/>
              <w:spacing w:before="0" w:beforeAutospacing="0" w:after="0" w:afterAutospacing="0" w:line="240" w:lineRule="auto"/>
              <w:ind w:left="0" w:right="0"/>
              <w:rPr>
                <w:rStyle w:val="39"/>
                <w:color w:val="auto"/>
                <w:szCs w:val="21"/>
                <w:highlight w:val="none"/>
              </w:rPr>
            </w:pPr>
            <w:r>
              <w:rPr>
                <w:color w:val="auto"/>
                <w:sz w:val="21"/>
                <w:szCs w:val="21"/>
                <w:highlight w:val="none"/>
              </w:rPr>
              <w:t>表2-</w:t>
            </w:r>
            <w:r>
              <w:rPr>
                <w:rFonts w:hint="eastAsia"/>
                <w:color w:val="auto"/>
                <w:sz w:val="21"/>
                <w:szCs w:val="21"/>
                <w:highlight w:val="none"/>
                <w:lang w:val="en-US" w:eastAsia="zh-CN"/>
              </w:rPr>
              <w:t>4</w:t>
            </w:r>
            <w:r>
              <w:rPr>
                <w:color w:val="auto"/>
                <w:sz w:val="21"/>
                <w:szCs w:val="21"/>
                <w:highlight w:val="none"/>
              </w:rPr>
              <w:t xml:space="preserve"> 主要生产</w:t>
            </w:r>
            <w:r>
              <w:rPr>
                <w:rFonts w:hint="eastAsia"/>
                <w:color w:val="auto"/>
                <w:sz w:val="21"/>
                <w:szCs w:val="21"/>
                <w:highlight w:val="none"/>
              </w:rPr>
              <w:t>设备情况</w:t>
            </w:r>
            <w:r>
              <w:rPr>
                <w:color w:val="auto"/>
                <w:sz w:val="21"/>
                <w:szCs w:val="21"/>
                <w:highlight w:val="none"/>
              </w:rPr>
              <w:t>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67"/>
              <w:gridCol w:w="1440"/>
              <w:gridCol w:w="1035"/>
              <w:gridCol w:w="675"/>
              <w:gridCol w:w="705"/>
              <w:gridCol w:w="747"/>
              <w:gridCol w:w="2853"/>
            </w:tblGrid>
            <w:tr w14:paraId="106BE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94" w:type="pct"/>
                  <w:vMerge w:val="restart"/>
                  <w:vAlign w:val="center"/>
                </w:tcPr>
                <w:p w14:paraId="5D0F3ECF">
                  <w:pPr>
                    <w:spacing w:line="300" w:lineRule="exact"/>
                    <w:jc w:val="center"/>
                    <w:rPr>
                      <w:color w:val="auto"/>
                      <w:szCs w:val="21"/>
                      <w:highlight w:val="none"/>
                    </w:rPr>
                  </w:pPr>
                  <w:r>
                    <w:rPr>
                      <w:rFonts w:hAnsi="宋体"/>
                      <w:color w:val="auto"/>
                      <w:szCs w:val="21"/>
                      <w:highlight w:val="none"/>
                    </w:rPr>
                    <w:t>序号</w:t>
                  </w:r>
                </w:p>
              </w:tc>
              <w:tc>
                <w:tcPr>
                  <w:tcW w:w="908" w:type="pct"/>
                  <w:vMerge w:val="restart"/>
                  <w:vAlign w:val="center"/>
                </w:tcPr>
                <w:p w14:paraId="4AB7933E">
                  <w:pPr>
                    <w:spacing w:line="300" w:lineRule="exact"/>
                    <w:jc w:val="center"/>
                    <w:rPr>
                      <w:rFonts w:hint="eastAsia" w:hAnsi="宋体"/>
                      <w:color w:val="auto"/>
                      <w:szCs w:val="21"/>
                      <w:highlight w:val="none"/>
                    </w:rPr>
                  </w:pPr>
                  <w:r>
                    <w:rPr>
                      <w:rFonts w:hint="eastAsia" w:hAnsi="宋体"/>
                      <w:color w:val="auto"/>
                      <w:szCs w:val="21"/>
                      <w:highlight w:val="none"/>
                    </w:rPr>
                    <w:t>设备</w:t>
                  </w:r>
                  <w:r>
                    <w:rPr>
                      <w:rFonts w:hAnsi="宋体"/>
                      <w:color w:val="auto"/>
                      <w:szCs w:val="21"/>
                      <w:highlight w:val="none"/>
                    </w:rPr>
                    <w:t>名称</w:t>
                  </w:r>
                </w:p>
              </w:tc>
              <w:tc>
                <w:tcPr>
                  <w:tcW w:w="653" w:type="pct"/>
                  <w:vMerge w:val="restart"/>
                  <w:vAlign w:val="center"/>
                </w:tcPr>
                <w:p w14:paraId="024AA5C0">
                  <w:pPr>
                    <w:spacing w:line="300" w:lineRule="exact"/>
                    <w:jc w:val="center"/>
                    <w:rPr>
                      <w:color w:val="auto"/>
                      <w:szCs w:val="21"/>
                      <w:highlight w:val="none"/>
                    </w:rPr>
                  </w:pPr>
                  <w:r>
                    <w:rPr>
                      <w:rFonts w:hint="eastAsia"/>
                      <w:color w:val="auto"/>
                      <w:szCs w:val="21"/>
                      <w:highlight w:val="none"/>
                    </w:rPr>
                    <w:t>型号</w:t>
                  </w:r>
                </w:p>
              </w:tc>
              <w:tc>
                <w:tcPr>
                  <w:tcW w:w="1342" w:type="pct"/>
                  <w:gridSpan w:val="3"/>
                  <w:vAlign w:val="center"/>
                </w:tcPr>
                <w:p w14:paraId="38BA0DB8">
                  <w:pPr>
                    <w:spacing w:line="300" w:lineRule="exact"/>
                    <w:jc w:val="center"/>
                    <w:rPr>
                      <w:rFonts w:hAnsi="宋体"/>
                      <w:color w:val="auto"/>
                      <w:szCs w:val="21"/>
                      <w:highlight w:val="none"/>
                    </w:rPr>
                  </w:pPr>
                  <w:r>
                    <w:rPr>
                      <w:rFonts w:hAnsi="宋体"/>
                      <w:color w:val="auto"/>
                      <w:szCs w:val="21"/>
                      <w:highlight w:val="none"/>
                    </w:rPr>
                    <w:t>数量（台</w:t>
                  </w:r>
                  <w:r>
                    <w:rPr>
                      <w:color w:val="auto"/>
                      <w:szCs w:val="21"/>
                      <w:highlight w:val="none"/>
                    </w:rPr>
                    <w:t>/</w:t>
                  </w:r>
                  <w:r>
                    <w:rPr>
                      <w:rFonts w:hint="eastAsia" w:hAnsi="宋体"/>
                      <w:color w:val="auto"/>
                      <w:szCs w:val="21"/>
                      <w:highlight w:val="none"/>
                    </w:rPr>
                    <w:t>组</w:t>
                  </w:r>
                  <w:r>
                    <w:rPr>
                      <w:rFonts w:hAnsi="宋体"/>
                      <w:color w:val="auto"/>
                      <w:szCs w:val="21"/>
                      <w:highlight w:val="none"/>
                    </w:rPr>
                    <w:t>）</w:t>
                  </w:r>
                </w:p>
              </w:tc>
              <w:tc>
                <w:tcPr>
                  <w:tcW w:w="1800" w:type="pct"/>
                  <w:vMerge w:val="restart"/>
                  <w:vAlign w:val="center"/>
                </w:tcPr>
                <w:p w14:paraId="1E924787">
                  <w:pPr>
                    <w:spacing w:line="300" w:lineRule="exact"/>
                    <w:jc w:val="center"/>
                    <w:rPr>
                      <w:rFonts w:hAnsi="宋体"/>
                      <w:color w:val="auto"/>
                      <w:szCs w:val="21"/>
                      <w:highlight w:val="none"/>
                    </w:rPr>
                  </w:pPr>
                  <w:r>
                    <w:rPr>
                      <w:rFonts w:hint="eastAsia" w:hAnsi="宋体"/>
                      <w:color w:val="auto"/>
                      <w:szCs w:val="21"/>
                      <w:highlight w:val="none"/>
                    </w:rPr>
                    <w:t>备注</w:t>
                  </w:r>
                </w:p>
              </w:tc>
            </w:tr>
            <w:tr w14:paraId="450EF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Merge w:val="continue"/>
                  <w:vAlign w:val="center"/>
                </w:tcPr>
                <w:p w14:paraId="73AC030C">
                  <w:pPr>
                    <w:spacing w:line="300" w:lineRule="exact"/>
                    <w:jc w:val="center"/>
                    <w:rPr>
                      <w:rFonts w:hAnsi="宋体"/>
                      <w:color w:val="auto"/>
                      <w:szCs w:val="21"/>
                      <w:highlight w:val="none"/>
                    </w:rPr>
                  </w:pPr>
                </w:p>
              </w:tc>
              <w:tc>
                <w:tcPr>
                  <w:tcW w:w="908" w:type="pct"/>
                  <w:vMerge w:val="continue"/>
                  <w:vAlign w:val="center"/>
                </w:tcPr>
                <w:p w14:paraId="0F868779">
                  <w:pPr>
                    <w:spacing w:line="300" w:lineRule="exact"/>
                    <w:jc w:val="center"/>
                    <w:rPr>
                      <w:rFonts w:hint="eastAsia" w:hAnsi="宋体"/>
                      <w:color w:val="auto"/>
                      <w:szCs w:val="21"/>
                      <w:highlight w:val="none"/>
                    </w:rPr>
                  </w:pPr>
                </w:p>
              </w:tc>
              <w:tc>
                <w:tcPr>
                  <w:tcW w:w="653" w:type="pct"/>
                  <w:vMerge w:val="continue"/>
                  <w:vAlign w:val="center"/>
                </w:tcPr>
                <w:p w14:paraId="73C9C6CB">
                  <w:pPr>
                    <w:spacing w:line="300" w:lineRule="exact"/>
                    <w:jc w:val="center"/>
                    <w:rPr>
                      <w:rFonts w:hint="eastAsia"/>
                      <w:color w:val="auto"/>
                      <w:szCs w:val="21"/>
                      <w:highlight w:val="none"/>
                    </w:rPr>
                  </w:pPr>
                </w:p>
              </w:tc>
              <w:tc>
                <w:tcPr>
                  <w:tcW w:w="426" w:type="pct"/>
                  <w:vAlign w:val="center"/>
                </w:tcPr>
                <w:p w14:paraId="4B3C2161">
                  <w:pPr>
                    <w:spacing w:line="300" w:lineRule="exact"/>
                    <w:jc w:val="center"/>
                    <w:rPr>
                      <w:rFonts w:hint="eastAsia" w:hAnsi="宋体" w:eastAsia="宋体"/>
                      <w:color w:val="auto"/>
                      <w:szCs w:val="21"/>
                      <w:highlight w:val="none"/>
                      <w:lang w:val="en-US" w:eastAsia="zh-CN"/>
                    </w:rPr>
                  </w:pPr>
                  <w:r>
                    <w:rPr>
                      <w:rFonts w:hint="eastAsia" w:hAnsi="宋体"/>
                      <w:color w:val="auto"/>
                      <w:szCs w:val="21"/>
                      <w:highlight w:val="none"/>
                      <w:lang w:val="en-US" w:eastAsia="zh-CN"/>
                    </w:rPr>
                    <w:t>现有项目</w:t>
                  </w:r>
                </w:p>
              </w:tc>
              <w:tc>
                <w:tcPr>
                  <w:tcW w:w="444" w:type="pct"/>
                  <w:vAlign w:val="center"/>
                </w:tcPr>
                <w:p w14:paraId="29FC4413">
                  <w:pPr>
                    <w:spacing w:line="300" w:lineRule="exact"/>
                    <w:jc w:val="center"/>
                    <w:rPr>
                      <w:rFonts w:hint="eastAsia" w:hAnsi="宋体" w:eastAsia="宋体"/>
                      <w:color w:val="auto"/>
                      <w:szCs w:val="21"/>
                      <w:highlight w:val="none"/>
                      <w:lang w:val="en-US" w:eastAsia="zh-CN"/>
                    </w:rPr>
                  </w:pPr>
                  <w:r>
                    <w:rPr>
                      <w:rFonts w:hint="eastAsia" w:hAnsi="宋体"/>
                      <w:color w:val="auto"/>
                      <w:szCs w:val="21"/>
                      <w:highlight w:val="none"/>
                      <w:lang w:val="en-US" w:eastAsia="zh-CN"/>
                    </w:rPr>
                    <w:t>扩建项目</w:t>
                  </w:r>
                </w:p>
              </w:tc>
              <w:tc>
                <w:tcPr>
                  <w:tcW w:w="471" w:type="pct"/>
                  <w:vAlign w:val="center"/>
                </w:tcPr>
                <w:p w14:paraId="1B2B5D55">
                  <w:pPr>
                    <w:spacing w:line="300" w:lineRule="exact"/>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扩建后全厂</w:t>
                  </w:r>
                </w:p>
              </w:tc>
              <w:tc>
                <w:tcPr>
                  <w:tcW w:w="1800" w:type="pct"/>
                  <w:vMerge w:val="continue"/>
                  <w:vAlign w:val="center"/>
                </w:tcPr>
                <w:p w14:paraId="0D38221D">
                  <w:pPr>
                    <w:spacing w:line="300" w:lineRule="exact"/>
                    <w:jc w:val="center"/>
                    <w:rPr>
                      <w:rFonts w:hint="eastAsia" w:hAnsi="宋体"/>
                      <w:color w:val="auto"/>
                      <w:szCs w:val="21"/>
                      <w:highlight w:val="none"/>
                    </w:rPr>
                  </w:pPr>
                </w:p>
              </w:tc>
            </w:tr>
            <w:tr w14:paraId="04A00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35946E2B">
                  <w:pPr>
                    <w:spacing w:line="300" w:lineRule="exact"/>
                    <w:jc w:val="center"/>
                    <w:rPr>
                      <w:color w:val="auto"/>
                      <w:szCs w:val="21"/>
                      <w:highlight w:val="none"/>
                    </w:rPr>
                  </w:pPr>
                  <w:r>
                    <w:rPr>
                      <w:rFonts w:hint="eastAsia"/>
                      <w:color w:val="auto"/>
                      <w:szCs w:val="21"/>
                      <w:highlight w:val="none"/>
                    </w:rPr>
                    <w:t>1</w:t>
                  </w:r>
                </w:p>
              </w:tc>
              <w:tc>
                <w:tcPr>
                  <w:tcW w:w="908" w:type="pct"/>
                  <w:vAlign w:val="center"/>
                </w:tcPr>
                <w:p w14:paraId="24C9441A">
                  <w:pPr>
                    <w:jc w:val="center"/>
                    <w:rPr>
                      <w:rFonts w:hint="eastAsia"/>
                      <w:color w:val="auto"/>
                      <w:szCs w:val="21"/>
                      <w:highlight w:val="none"/>
                    </w:rPr>
                  </w:pPr>
                  <w:r>
                    <w:rPr>
                      <w:rFonts w:hint="eastAsia" w:ascii="Times New Roman"/>
                      <w:color w:val="auto"/>
                      <w:sz w:val="21"/>
                      <w:szCs w:val="21"/>
                      <w:highlight w:val="none"/>
                    </w:rPr>
                    <w:t>冷轧带钢机组</w:t>
                  </w:r>
                </w:p>
              </w:tc>
              <w:tc>
                <w:tcPr>
                  <w:tcW w:w="653" w:type="pct"/>
                  <w:vAlign w:val="center"/>
                </w:tcPr>
                <w:p w14:paraId="78EF33AA">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520MM</w:t>
                  </w:r>
                </w:p>
              </w:tc>
              <w:tc>
                <w:tcPr>
                  <w:tcW w:w="426" w:type="pct"/>
                  <w:vAlign w:val="center"/>
                </w:tcPr>
                <w:p w14:paraId="5F68ABC0">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w:t>
                  </w:r>
                </w:p>
              </w:tc>
              <w:tc>
                <w:tcPr>
                  <w:tcW w:w="444" w:type="pct"/>
                  <w:vAlign w:val="center"/>
                </w:tcPr>
                <w:p w14:paraId="7C594E55">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36FF6A80">
                  <w:pPr>
                    <w:pStyle w:val="124"/>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w:t>
                  </w:r>
                </w:p>
              </w:tc>
              <w:tc>
                <w:tcPr>
                  <w:tcW w:w="1800" w:type="pct"/>
                  <w:vAlign w:val="center"/>
                </w:tcPr>
                <w:p w14:paraId="6824C821">
                  <w:pPr>
                    <w:jc w:val="center"/>
                    <w:rPr>
                      <w:color w:val="auto"/>
                      <w:szCs w:val="21"/>
                      <w:highlight w:val="none"/>
                    </w:rPr>
                  </w:pPr>
                  <w:r>
                    <w:rPr>
                      <w:rFonts w:hint="eastAsia"/>
                      <w:color w:val="auto"/>
                      <w:szCs w:val="21"/>
                      <w:highlight w:val="none"/>
                    </w:rPr>
                    <w:t>外购</w:t>
                  </w:r>
                </w:p>
              </w:tc>
            </w:tr>
            <w:tr w14:paraId="64694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05D2667F">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908" w:type="pct"/>
                  <w:vAlign w:val="center"/>
                </w:tcPr>
                <w:p w14:paraId="2915B7EF">
                  <w:pPr>
                    <w:jc w:val="center"/>
                    <w:rPr>
                      <w:rFonts w:ascii="Times New Roman"/>
                      <w:color w:val="auto"/>
                      <w:sz w:val="21"/>
                      <w:szCs w:val="21"/>
                      <w:highlight w:val="none"/>
                    </w:rPr>
                  </w:pPr>
                  <w:r>
                    <w:rPr>
                      <w:rFonts w:hint="eastAsia" w:ascii="Times New Roman"/>
                      <w:color w:val="auto"/>
                      <w:sz w:val="21"/>
                      <w:szCs w:val="21"/>
                      <w:highlight w:val="none"/>
                    </w:rPr>
                    <w:t>冷轧带钢机组</w:t>
                  </w:r>
                </w:p>
              </w:tc>
              <w:tc>
                <w:tcPr>
                  <w:tcW w:w="653" w:type="pct"/>
                  <w:vAlign w:val="center"/>
                </w:tcPr>
                <w:p w14:paraId="5902DF59">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8000MM</w:t>
                  </w:r>
                </w:p>
              </w:tc>
              <w:tc>
                <w:tcPr>
                  <w:tcW w:w="426" w:type="pct"/>
                  <w:vAlign w:val="center"/>
                </w:tcPr>
                <w:p w14:paraId="367344B2">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44" w:type="pct"/>
                  <w:vAlign w:val="center"/>
                </w:tcPr>
                <w:p w14:paraId="47F6F82D">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5E4DE108">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w:t>
                  </w:r>
                </w:p>
              </w:tc>
              <w:tc>
                <w:tcPr>
                  <w:tcW w:w="1800" w:type="pct"/>
                  <w:vAlign w:val="center"/>
                </w:tcPr>
                <w:p w14:paraId="7C3F6C17">
                  <w:pPr>
                    <w:jc w:val="center"/>
                    <w:rPr>
                      <w:rFonts w:hint="eastAsia"/>
                      <w:color w:val="auto"/>
                      <w:szCs w:val="21"/>
                      <w:highlight w:val="none"/>
                    </w:rPr>
                  </w:pPr>
                  <w:r>
                    <w:rPr>
                      <w:rFonts w:hint="eastAsia"/>
                      <w:color w:val="auto"/>
                      <w:szCs w:val="21"/>
                      <w:highlight w:val="none"/>
                    </w:rPr>
                    <w:t>外购</w:t>
                  </w:r>
                </w:p>
              </w:tc>
            </w:tr>
            <w:tr w14:paraId="1C0BE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24B53C91">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908" w:type="pct"/>
                  <w:vAlign w:val="center"/>
                </w:tcPr>
                <w:p w14:paraId="4983226D">
                  <w:pPr>
                    <w:jc w:val="center"/>
                    <w:rPr>
                      <w:rFonts w:ascii="Times New Roman"/>
                      <w:color w:val="auto"/>
                      <w:sz w:val="21"/>
                      <w:szCs w:val="21"/>
                      <w:highlight w:val="none"/>
                    </w:rPr>
                  </w:pPr>
                  <w:r>
                    <w:rPr>
                      <w:rFonts w:hint="eastAsia" w:ascii="Times New Roman"/>
                      <w:color w:val="auto"/>
                      <w:sz w:val="21"/>
                      <w:szCs w:val="21"/>
                      <w:highlight w:val="none"/>
                    </w:rPr>
                    <w:t>100T冲压机</w:t>
                  </w:r>
                </w:p>
              </w:tc>
              <w:tc>
                <w:tcPr>
                  <w:tcW w:w="653" w:type="pct"/>
                  <w:vAlign w:val="center"/>
                </w:tcPr>
                <w:p w14:paraId="50E72C3C">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100T</w:t>
                  </w:r>
                </w:p>
              </w:tc>
              <w:tc>
                <w:tcPr>
                  <w:tcW w:w="426" w:type="pct"/>
                  <w:vAlign w:val="center"/>
                </w:tcPr>
                <w:p w14:paraId="60698E04">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444" w:type="pct"/>
                  <w:vAlign w:val="center"/>
                </w:tcPr>
                <w:p w14:paraId="77F071D1">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785E3985">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4</w:t>
                  </w:r>
                </w:p>
              </w:tc>
              <w:tc>
                <w:tcPr>
                  <w:tcW w:w="1800" w:type="pct"/>
                  <w:vAlign w:val="center"/>
                </w:tcPr>
                <w:p w14:paraId="28CFA839">
                  <w:pPr>
                    <w:jc w:val="center"/>
                    <w:rPr>
                      <w:rFonts w:hint="eastAsia"/>
                      <w:color w:val="auto"/>
                      <w:szCs w:val="21"/>
                      <w:highlight w:val="none"/>
                    </w:rPr>
                  </w:pPr>
                  <w:r>
                    <w:rPr>
                      <w:rFonts w:hint="eastAsia"/>
                      <w:color w:val="auto"/>
                      <w:szCs w:val="21"/>
                      <w:highlight w:val="none"/>
                    </w:rPr>
                    <w:t>外购</w:t>
                  </w:r>
                </w:p>
              </w:tc>
            </w:tr>
            <w:tr w14:paraId="2EFA5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7B7E267C">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908" w:type="pct"/>
                  <w:vAlign w:val="center"/>
                </w:tcPr>
                <w:p w14:paraId="2403CA29">
                  <w:pPr>
                    <w:jc w:val="center"/>
                    <w:rPr>
                      <w:rFonts w:ascii="Times New Roman"/>
                      <w:color w:val="auto"/>
                      <w:sz w:val="21"/>
                      <w:szCs w:val="21"/>
                      <w:highlight w:val="none"/>
                    </w:rPr>
                  </w:pPr>
                  <w:r>
                    <w:rPr>
                      <w:rFonts w:hint="eastAsia" w:ascii="Times New Roman"/>
                      <w:color w:val="auto"/>
                      <w:sz w:val="21"/>
                      <w:szCs w:val="21"/>
                      <w:highlight w:val="none"/>
                    </w:rPr>
                    <w:t>63T冲压机</w:t>
                  </w:r>
                </w:p>
              </w:tc>
              <w:tc>
                <w:tcPr>
                  <w:tcW w:w="653" w:type="pct"/>
                  <w:vAlign w:val="center"/>
                </w:tcPr>
                <w:p w14:paraId="382172F5">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63T</w:t>
                  </w:r>
                </w:p>
              </w:tc>
              <w:tc>
                <w:tcPr>
                  <w:tcW w:w="426" w:type="pct"/>
                  <w:vAlign w:val="center"/>
                </w:tcPr>
                <w:p w14:paraId="340A926E">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44" w:type="pct"/>
                  <w:vAlign w:val="center"/>
                </w:tcPr>
                <w:p w14:paraId="4C381AE2">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1C279B84">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w:t>
                  </w:r>
                </w:p>
              </w:tc>
              <w:tc>
                <w:tcPr>
                  <w:tcW w:w="1800" w:type="pct"/>
                  <w:vAlign w:val="center"/>
                </w:tcPr>
                <w:p w14:paraId="085FF362">
                  <w:pPr>
                    <w:jc w:val="center"/>
                    <w:rPr>
                      <w:rFonts w:hint="eastAsia"/>
                      <w:color w:val="auto"/>
                      <w:szCs w:val="21"/>
                      <w:highlight w:val="none"/>
                    </w:rPr>
                  </w:pPr>
                  <w:r>
                    <w:rPr>
                      <w:rFonts w:hint="eastAsia"/>
                      <w:color w:val="auto"/>
                      <w:szCs w:val="21"/>
                      <w:highlight w:val="none"/>
                    </w:rPr>
                    <w:t>外购</w:t>
                  </w:r>
                </w:p>
              </w:tc>
            </w:tr>
            <w:tr w14:paraId="1BD5F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10CB20F3">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908" w:type="pct"/>
                  <w:vAlign w:val="center"/>
                </w:tcPr>
                <w:p w14:paraId="72B76B38">
                  <w:pPr>
                    <w:jc w:val="center"/>
                    <w:rPr>
                      <w:rFonts w:ascii="Times New Roman"/>
                      <w:color w:val="auto"/>
                      <w:sz w:val="21"/>
                      <w:szCs w:val="21"/>
                      <w:highlight w:val="none"/>
                    </w:rPr>
                  </w:pPr>
                  <w:r>
                    <w:rPr>
                      <w:rFonts w:hint="eastAsia" w:ascii="Times New Roman"/>
                      <w:color w:val="auto"/>
                      <w:sz w:val="21"/>
                      <w:szCs w:val="21"/>
                      <w:highlight w:val="none"/>
                    </w:rPr>
                    <w:t>40T冲压机</w:t>
                  </w:r>
                </w:p>
              </w:tc>
              <w:tc>
                <w:tcPr>
                  <w:tcW w:w="653" w:type="pct"/>
                  <w:vAlign w:val="center"/>
                </w:tcPr>
                <w:p w14:paraId="6C554BAC">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40T</w:t>
                  </w:r>
                </w:p>
              </w:tc>
              <w:tc>
                <w:tcPr>
                  <w:tcW w:w="426" w:type="pct"/>
                  <w:vAlign w:val="center"/>
                </w:tcPr>
                <w:p w14:paraId="00AC625E">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444" w:type="pct"/>
                  <w:vAlign w:val="center"/>
                </w:tcPr>
                <w:p w14:paraId="65ED03EF">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613BC2C0">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10</w:t>
                  </w:r>
                </w:p>
              </w:tc>
              <w:tc>
                <w:tcPr>
                  <w:tcW w:w="1800" w:type="pct"/>
                  <w:vAlign w:val="center"/>
                </w:tcPr>
                <w:p w14:paraId="4A4474EC">
                  <w:pPr>
                    <w:jc w:val="center"/>
                    <w:rPr>
                      <w:rFonts w:hint="eastAsia"/>
                      <w:color w:val="auto"/>
                      <w:szCs w:val="21"/>
                      <w:highlight w:val="none"/>
                    </w:rPr>
                  </w:pPr>
                  <w:r>
                    <w:rPr>
                      <w:rFonts w:hint="eastAsia"/>
                      <w:color w:val="auto"/>
                      <w:szCs w:val="21"/>
                      <w:highlight w:val="none"/>
                    </w:rPr>
                    <w:t>外购</w:t>
                  </w:r>
                </w:p>
              </w:tc>
            </w:tr>
            <w:tr w14:paraId="1B828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1E4E726D">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908" w:type="pct"/>
                  <w:vAlign w:val="center"/>
                </w:tcPr>
                <w:p w14:paraId="1127E10A">
                  <w:pPr>
                    <w:jc w:val="center"/>
                    <w:rPr>
                      <w:rFonts w:ascii="Times New Roman"/>
                      <w:color w:val="auto"/>
                      <w:sz w:val="21"/>
                      <w:szCs w:val="21"/>
                      <w:highlight w:val="none"/>
                    </w:rPr>
                  </w:pPr>
                  <w:r>
                    <w:rPr>
                      <w:rFonts w:hint="eastAsia" w:ascii="Times New Roman"/>
                      <w:color w:val="auto"/>
                      <w:sz w:val="21"/>
                      <w:szCs w:val="21"/>
                      <w:highlight w:val="none"/>
                    </w:rPr>
                    <w:t>2</w:t>
                  </w:r>
                  <w:r>
                    <w:rPr>
                      <w:rFonts w:hint="eastAsia" w:ascii="Times New Roman"/>
                      <w:color w:val="auto"/>
                      <w:sz w:val="21"/>
                      <w:szCs w:val="21"/>
                      <w:highlight w:val="none"/>
                      <w:lang w:val="en-US" w:eastAsia="zh-CN"/>
                    </w:rPr>
                    <w:t>5</w:t>
                  </w:r>
                  <w:r>
                    <w:rPr>
                      <w:rFonts w:hint="eastAsia" w:ascii="Times New Roman"/>
                      <w:color w:val="auto"/>
                      <w:sz w:val="21"/>
                      <w:szCs w:val="21"/>
                      <w:highlight w:val="none"/>
                    </w:rPr>
                    <w:t>T冲压机</w:t>
                  </w:r>
                </w:p>
              </w:tc>
              <w:tc>
                <w:tcPr>
                  <w:tcW w:w="653" w:type="pct"/>
                  <w:vAlign w:val="center"/>
                </w:tcPr>
                <w:p w14:paraId="556632A7">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25T</w:t>
                  </w:r>
                </w:p>
              </w:tc>
              <w:tc>
                <w:tcPr>
                  <w:tcW w:w="426" w:type="pct"/>
                  <w:vAlign w:val="center"/>
                </w:tcPr>
                <w:p w14:paraId="7188FC4F">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44" w:type="pct"/>
                  <w:vAlign w:val="center"/>
                </w:tcPr>
                <w:p w14:paraId="1598C831">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0F40725A">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w:t>
                  </w:r>
                </w:p>
              </w:tc>
              <w:tc>
                <w:tcPr>
                  <w:tcW w:w="1800" w:type="pct"/>
                  <w:vAlign w:val="center"/>
                </w:tcPr>
                <w:p w14:paraId="479B955C">
                  <w:pPr>
                    <w:jc w:val="center"/>
                    <w:rPr>
                      <w:rFonts w:hint="eastAsia"/>
                      <w:color w:val="auto"/>
                      <w:szCs w:val="21"/>
                      <w:highlight w:val="none"/>
                    </w:rPr>
                  </w:pPr>
                  <w:r>
                    <w:rPr>
                      <w:rFonts w:hint="eastAsia"/>
                      <w:color w:val="auto"/>
                      <w:szCs w:val="21"/>
                      <w:highlight w:val="none"/>
                    </w:rPr>
                    <w:t>外购</w:t>
                  </w:r>
                </w:p>
              </w:tc>
            </w:tr>
            <w:tr w14:paraId="26664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23487E6D">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7</w:t>
                  </w:r>
                </w:p>
              </w:tc>
              <w:tc>
                <w:tcPr>
                  <w:tcW w:w="908" w:type="pct"/>
                  <w:vAlign w:val="center"/>
                </w:tcPr>
                <w:p w14:paraId="2498B694">
                  <w:pPr>
                    <w:jc w:val="center"/>
                    <w:rPr>
                      <w:rFonts w:ascii="Times New Roman"/>
                      <w:color w:val="auto"/>
                      <w:sz w:val="21"/>
                      <w:szCs w:val="21"/>
                      <w:highlight w:val="none"/>
                    </w:rPr>
                  </w:pPr>
                  <w:r>
                    <w:rPr>
                      <w:rFonts w:hint="eastAsia" w:ascii="Times New Roman"/>
                      <w:color w:val="auto"/>
                      <w:sz w:val="21"/>
                      <w:szCs w:val="21"/>
                      <w:highlight w:val="none"/>
                    </w:rPr>
                    <w:t>1</w:t>
                  </w:r>
                  <w:r>
                    <w:rPr>
                      <w:rFonts w:hint="eastAsia" w:ascii="Times New Roman"/>
                      <w:color w:val="auto"/>
                      <w:sz w:val="21"/>
                      <w:szCs w:val="21"/>
                      <w:highlight w:val="none"/>
                      <w:lang w:val="en-US" w:eastAsia="zh-CN"/>
                    </w:rPr>
                    <w:t>5</w:t>
                  </w:r>
                  <w:r>
                    <w:rPr>
                      <w:rFonts w:hint="eastAsia" w:ascii="Times New Roman"/>
                      <w:color w:val="auto"/>
                      <w:sz w:val="21"/>
                      <w:szCs w:val="21"/>
                      <w:highlight w:val="none"/>
                    </w:rPr>
                    <w:t>T冲压机</w:t>
                  </w:r>
                </w:p>
              </w:tc>
              <w:tc>
                <w:tcPr>
                  <w:tcW w:w="653" w:type="pct"/>
                  <w:vAlign w:val="center"/>
                </w:tcPr>
                <w:p w14:paraId="543BEF43">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15T</w:t>
                  </w:r>
                </w:p>
              </w:tc>
              <w:tc>
                <w:tcPr>
                  <w:tcW w:w="426" w:type="pct"/>
                  <w:vAlign w:val="center"/>
                </w:tcPr>
                <w:p w14:paraId="42B70CA9">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p>
              </w:tc>
              <w:tc>
                <w:tcPr>
                  <w:tcW w:w="444" w:type="pct"/>
                  <w:vAlign w:val="center"/>
                </w:tcPr>
                <w:p w14:paraId="5159082F">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7547390C">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7</w:t>
                  </w:r>
                </w:p>
              </w:tc>
              <w:tc>
                <w:tcPr>
                  <w:tcW w:w="1800" w:type="pct"/>
                  <w:vAlign w:val="center"/>
                </w:tcPr>
                <w:p w14:paraId="669E7E29">
                  <w:pPr>
                    <w:jc w:val="center"/>
                    <w:rPr>
                      <w:rFonts w:hint="eastAsia"/>
                      <w:color w:val="auto"/>
                      <w:szCs w:val="21"/>
                      <w:highlight w:val="none"/>
                    </w:rPr>
                  </w:pPr>
                  <w:r>
                    <w:rPr>
                      <w:rFonts w:hint="eastAsia"/>
                      <w:color w:val="auto"/>
                      <w:szCs w:val="21"/>
                      <w:highlight w:val="none"/>
                    </w:rPr>
                    <w:t>外购</w:t>
                  </w:r>
                </w:p>
              </w:tc>
            </w:tr>
            <w:tr w14:paraId="10FE6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2720F89D">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908" w:type="pct"/>
                  <w:vAlign w:val="center"/>
                </w:tcPr>
                <w:p w14:paraId="46B93B29">
                  <w:pPr>
                    <w:jc w:val="center"/>
                    <w:rPr>
                      <w:rFonts w:ascii="Times New Roman"/>
                      <w:color w:val="auto"/>
                      <w:sz w:val="21"/>
                      <w:szCs w:val="21"/>
                      <w:highlight w:val="none"/>
                    </w:rPr>
                  </w:pPr>
                  <w:r>
                    <w:rPr>
                      <w:rFonts w:hint="eastAsia" w:ascii="Times New Roman"/>
                      <w:color w:val="auto"/>
                      <w:sz w:val="21"/>
                      <w:szCs w:val="21"/>
                      <w:highlight w:val="none"/>
                    </w:rPr>
                    <w:t>10T冲压机</w:t>
                  </w:r>
                </w:p>
              </w:tc>
              <w:tc>
                <w:tcPr>
                  <w:tcW w:w="653" w:type="pct"/>
                  <w:vAlign w:val="center"/>
                </w:tcPr>
                <w:p w14:paraId="7A4ABE73">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10T</w:t>
                  </w:r>
                </w:p>
              </w:tc>
              <w:tc>
                <w:tcPr>
                  <w:tcW w:w="426" w:type="pct"/>
                  <w:vAlign w:val="center"/>
                </w:tcPr>
                <w:p w14:paraId="2628AA97">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444" w:type="pct"/>
                  <w:vAlign w:val="center"/>
                </w:tcPr>
                <w:p w14:paraId="72BAED1F">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118B46EE">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10</w:t>
                  </w:r>
                </w:p>
              </w:tc>
              <w:tc>
                <w:tcPr>
                  <w:tcW w:w="1800" w:type="pct"/>
                  <w:vAlign w:val="center"/>
                </w:tcPr>
                <w:p w14:paraId="0B2F437B">
                  <w:pPr>
                    <w:jc w:val="center"/>
                    <w:rPr>
                      <w:rFonts w:hint="eastAsia"/>
                      <w:color w:val="auto"/>
                      <w:szCs w:val="21"/>
                      <w:highlight w:val="none"/>
                    </w:rPr>
                  </w:pPr>
                  <w:r>
                    <w:rPr>
                      <w:rFonts w:hint="eastAsia"/>
                      <w:color w:val="auto"/>
                      <w:szCs w:val="21"/>
                      <w:highlight w:val="none"/>
                    </w:rPr>
                    <w:t>外购</w:t>
                  </w:r>
                </w:p>
              </w:tc>
            </w:tr>
            <w:tr w14:paraId="7BF9A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27019B39">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9</w:t>
                  </w:r>
                </w:p>
              </w:tc>
              <w:tc>
                <w:tcPr>
                  <w:tcW w:w="908" w:type="pct"/>
                  <w:vAlign w:val="center"/>
                </w:tcPr>
                <w:p w14:paraId="5BE3CCB5">
                  <w:pPr>
                    <w:jc w:val="center"/>
                    <w:rPr>
                      <w:rFonts w:ascii="Times New Roman"/>
                      <w:color w:val="auto"/>
                      <w:sz w:val="21"/>
                      <w:szCs w:val="21"/>
                      <w:highlight w:val="none"/>
                    </w:rPr>
                  </w:pPr>
                  <w:r>
                    <w:rPr>
                      <w:rFonts w:hint="eastAsia" w:ascii="Times New Roman"/>
                      <w:color w:val="auto"/>
                      <w:sz w:val="21"/>
                      <w:szCs w:val="21"/>
                      <w:highlight w:val="none"/>
                    </w:rPr>
                    <w:t>5T冲压机</w:t>
                  </w:r>
                </w:p>
              </w:tc>
              <w:tc>
                <w:tcPr>
                  <w:tcW w:w="653" w:type="pct"/>
                  <w:vAlign w:val="center"/>
                </w:tcPr>
                <w:p w14:paraId="74B35FF2">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5T</w:t>
                  </w:r>
                </w:p>
              </w:tc>
              <w:tc>
                <w:tcPr>
                  <w:tcW w:w="426" w:type="pct"/>
                  <w:vAlign w:val="center"/>
                </w:tcPr>
                <w:p w14:paraId="281AE94C">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444" w:type="pct"/>
                  <w:vAlign w:val="center"/>
                </w:tcPr>
                <w:p w14:paraId="613FB894">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14F0A539">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4</w:t>
                  </w:r>
                </w:p>
              </w:tc>
              <w:tc>
                <w:tcPr>
                  <w:tcW w:w="1800" w:type="pct"/>
                  <w:vAlign w:val="center"/>
                </w:tcPr>
                <w:p w14:paraId="1FC4DBAB">
                  <w:pPr>
                    <w:jc w:val="center"/>
                    <w:rPr>
                      <w:rFonts w:hint="eastAsia"/>
                      <w:color w:val="auto"/>
                      <w:szCs w:val="21"/>
                      <w:highlight w:val="none"/>
                    </w:rPr>
                  </w:pPr>
                  <w:r>
                    <w:rPr>
                      <w:rFonts w:hint="eastAsia"/>
                      <w:color w:val="auto"/>
                      <w:szCs w:val="21"/>
                      <w:highlight w:val="none"/>
                    </w:rPr>
                    <w:t>外购</w:t>
                  </w:r>
                </w:p>
              </w:tc>
            </w:tr>
            <w:tr w14:paraId="3C6A4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22556C3D">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908" w:type="pct"/>
                  <w:vAlign w:val="center"/>
                </w:tcPr>
                <w:p w14:paraId="59319E7A">
                  <w:pPr>
                    <w:jc w:val="center"/>
                    <w:rPr>
                      <w:rFonts w:ascii="Times New Roman"/>
                      <w:color w:val="auto"/>
                      <w:sz w:val="21"/>
                      <w:szCs w:val="21"/>
                      <w:highlight w:val="none"/>
                    </w:rPr>
                  </w:pPr>
                  <w:r>
                    <w:rPr>
                      <w:rFonts w:hint="eastAsia" w:ascii="Times New Roman"/>
                      <w:color w:val="auto"/>
                      <w:sz w:val="21"/>
                      <w:szCs w:val="21"/>
                      <w:highlight w:val="none"/>
                    </w:rPr>
                    <w:t>剪板机</w:t>
                  </w:r>
                </w:p>
              </w:tc>
              <w:tc>
                <w:tcPr>
                  <w:tcW w:w="653" w:type="pct"/>
                  <w:vAlign w:val="center"/>
                </w:tcPr>
                <w:p w14:paraId="027581C7">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Q11</w:t>
                  </w:r>
                </w:p>
              </w:tc>
              <w:tc>
                <w:tcPr>
                  <w:tcW w:w="426" w:type="pct"/>
                  <w:vAlign w:val="center"/>
                </w:tcPr>
                <w:p w14:paraId="681D6911">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44" w:type="pct"/>
                  <w:vAlign w:val="center"/>
                </w:tcPr>
                <w:p w14:paraId="7CEC5D93">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2B87F7A9">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w:t>
                  </w:r>
                </w:p>
              </w:tc>
              <w:tc>
                <w:tcPr>
                  <w:tcW w:w="1800" w:type="pct"/>
                  <w:vAlign w:val="center"/>
                </w:tcPr>
                <w:p w14:paraId="5E55C30E">
                  <w:pPr>
                    <w:jc w:val="center"/>
                    <w:rPr>
                      <w:rFonts w:hint="eastAsia"/>
                      <w:color w:val="auto"/>
                      <w:szCs w:val="21"/>
                      <w:highlight w:val="none"/>
                    </w:rPr>
                  </w:pPr>
                  <w:r>
                    <w:rPr>
                      <w:rFonts w:hint="eastAsia"/>
                      <w:color w:val="auto"/>
                      <w:szCs w:val="21"/>
                      <w:highlight w:val="none"/>
                    </w:rPr>
                    <w:t>外购</w:t>
                  </w:r>
                </w:p>
              </w:tc>
            </w:tr>
            <w:tr w14:paraId="47756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53E847A9">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11</w:t>
                  </w:r>
                </w:p>
              </w:tc>
              <w:tc>
                <w:tcPr>
                  <w:tcW w:w="908" w:type="pct"/>
                  <w:vAlign w:val="center"/>
                </w:tcPr>
                <w:p w14:paraId="67A32E4C">
                  <w:pPr>
                    <w:jc w:val="center"/>
                    <w:rPr>
                      <w:rFonts w:ascii="Times New Roman"/>
                      <w:color w:val="auto"/>
                      <w:sz w:val="21"/>
                      <w:szCs w:val="21"/>
                      <w:highlight w:val="none"/>
                    </w:rPr>
                  </w:pPr>
                  <w:r>
                    <w:rPr>
                      <w:rFonts w:hint="eastAsia" w:ascii="Times New Roman"/>
                      <w:color w:val="auto"/>
                      <w:sz w:val="21"/>
                      <w:szCs w:val="21"/>
                      <w:highlight w:val="none"/>
                    </w:rPr>
                    <w:t>折弯机</w:t>
                  </w:r>
                </w:p>
              </w:tc>
              <w:tc>
                <w:tcPr>
                  <w:tcW w:w="653" w:type="pct"/>
                  <w:vAlign w:val="center"/>
                </w:tcPr>
                <w:p w14:paraId="117B6989">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426" w:type="pct"/>
                  <w:vAlign w:val="center"/>
                </w:tcPr>
                <w:p w14:paraId="0DE2AE13">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44" w:type="pct"/>
                  <w:vAlign w:val="center"/>
                </w:tcPr>
                <w:p w14:paraId="7F782F20">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69336840">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w:t>
                  </w:r>
                </w:p>
              </w:tc>
              <w:tc>
                <w:tcPr>
                  <w:tcW w:w="1800" w:type="pct"/>
                  <w:vAlign w:val="center"/>
                </w:tcPr>
                <w:p w14:paraId="79413321">
                  <w:pPr>
                    <w:jc w:val="center"/>
                    <w:rPr>
                      <w:rFonts w:hint="eastAsia"/>
                      <w:color w:val="auto"/>
                      <w:szCs w:val="21"/>
                      <w:highlight w:val="none"/>
                    </w:rPr>
                  </w:pPr>
                  <w:r>
                    <w:rPr>
                      <w:rFonts w:hint="eastAsia"/>
                      <w:color w:val="auto"/>
                      <w:szCs w:val="21"/>
                      <w:highlight w:val="none"/>
                    </w:rPr>
                    <w:t>外购</w:t>
                  </w:r>
                </w:p>
              </w:tc>
            </w:tr>
            <w:tr w14:paraId="612BC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6AFCE368">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12</w:t>
                  </w:r>
                </w:p>
              </w:tc>
              <w:tc>
                <w:tcPr>
                  <w:tcW w:w="908" w:type="pct"/>
                  <w:vAlign w:val="center"/>
                </w:tcPr>
                <w:p w14:paraId="461D1A86">
                  <w:pPr>
                    <w:jc w:val="center"/>
                    <w:rPr>
                      <w:rFonts w:ascii="Times New Roman"/>
                      <w:color w:val="auto"/>
                      <w:sz w:val="21"/>
                      <w:szCs w:val="21"/>
                      <w:highlight w:val="none"/>
                    </w:rPr>
                  </w:pPr>
                  <w:r>
                    <w:rPr>
                      <w:rFonts w:hint="eastAsia" w:ascii="Times New Roman"/>
                      <w:color w:val="auto"/>
                      <w:sz w:val="21"/>
                      <w:szCs w:val="21"/>
                      <w:highlight w:val="none"/>
                    </w:rPr>
                    <w:t>液压机</w:t>
                  </w:r>
                </w:p>
              </w:tc>
              <w:tc>
                <w:tcPr>
                  <w:tcW w:w="653" w:type="pct"/>
                  <w:vAlign w:val="center"/>
                </w:tcPr>
                <w:p w14:paraId="0F90C539">
                  <w:pPr>
                    <w:pStyle w:val="124"/>
                    <w:jc w:val="center"/>
                    <w:rPr>
                      <w:rFonts w:hint="eastAsia"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200T</w:t>
                  </w:r>
                </w:p>
              </w:tc>
              <w:tc>
                <w:tcPr>
                  <w:tcW w:w="426" w:type="pct"/>
                  <w:vAlign w:val="center"/>
                </w:tcPr>
                <w:p w14:paraId="3BA04D2A">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44" w:type="pct"/>
                  <w:vAlign w:val="center"/>
                </w:tcPr>
                <w:p w14:paraId="6CDCDE92">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043C33FC">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w:t>
                  </w:r>
                </w:p>
              </w:tc>
              <w:tc>
                <w:tcPr>
                  <w:tcW w:w="1800" w:type="pct"/>
                  <w:vAlign w:val="center"/>
                </w:tcPr>
                <w:p w14:paraId="740D79FF">
                  <w:pPr>
                    <w:jc w:val="center"/>
                    <w:rPr>
                      <w:rFonts w:hint="eastAsia"/>
                      <w:color w:val="auto"/>
                      <w:szCs w:val="21"/>
                      <w:highlight w:val="none"/>
                    </w:rPr>
                  </w:pPr>
                  <w:r>
                    <w:rPr>
                      <w:rFonts w:hint="eastAsia"/>
                      <w:color w:val="auto"/>
                      <w:szCs w:val="21"/>
                      <w:highlight w:val="none"/>
                    </w:rPr>
                    <w:t>外购</w:t>
                  </w:r>
                </w:p>
              </w:tc>
            </w:tr>
            <w:tr w14:paraId="1F234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11E540F1">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13</w:t>
                  </w:r>
                </w:p>
              </w:tc>
              <w:tc>
                <w:tcPr>
                  <w:tcW w:w="908" w:type="pct"/>
                  <w:vAlign w:val="center"/>
                </w:tcPr>
                <w:p w14:paraId="7B342E06">
                  <w:pPr>
                    <w:jc w:val="center"/>
                    <w:rPr>
                      <w:rFonts w:ascii="Times New Roman"/>
                      <w:color w:val="auto"/>
                      <w:sz w:val="21"/>
                      <w:szCs w:val="21"/>
                      <w:highlight w:val="none"/>
                    </w:rPr>
                  </w:pPr>
                  <w:r>
                    <w:rPr>
                      <w:rFonts w:hint="eastAsia" w:ascii="Times New Roman"/>
                      <w:color w:val="auto"/>
                      <w:sz w:val="21"/>
                      <w:szCs w:val="21"/>
                      <w:highlight w:val="none"/>
                    </w:rPr>
                    <w:t>退火炉</w:t>
                  </w:r>
                </w:p>
              </w:tc>
              <w:tc>
                <w:tcPr>
                  <w:tcW w:w="653" w:type="pct"/>
                  <w:vAlign w:val="center"/>
                </w:tcPr>
                <w:p w14:paraId="59014285">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电加热式</w:t>
                  </w:r>
                </w:p>
              </w:tc>
              <w:tc>
                <w:tcPr>
                  <w:tcW w:w="426" w:type="pct"/>
                  <w:vAlign w:val="center"/>
                </w:tcPr>
                <w:p w14:paraId="47197C95">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44" w:type="pct"/>
                  <w:vAlign w:val="center"/>
                </w:tcPr>
                <w:p w14:paraId="48B1261D">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3E5DE3A7">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w:t>
                  </w:r>
                </w:p>
              </w:tc>
              <w:tc>
                <w:tcPr>
                  <w:tcW w:w="1800" w:type="pct"/>
                  <w:vAlign w:val="center"/>
                </w:tcPr>
                <w:p w14:paraId="27E9D286">
                  <w:pPr>
                    <w:jc w:val="center"/>
                    <w:rPr>
                      <w:rFonts w:hint="eastAsia"/>
                      <w:color w:val="auto"/>
                      <w:szCs w:val="21"/>
                      <w:highlight w:val="none"/>
                    </w:rPr>
                  </w:pPr>
                  <w:r>
                    <w:rPr>
                      <w:rFonts w:hint="eastAsia"/>
                      <w:color w:val="auto"/>
                      <w:szCs w:val="21"/>
                      <w:highlight w:val="none"/>
                    </w:rPr>
                    <w:t>外购</w:t>
                  </w:r>
                </w:p>
              </w:tc>
            </w:tr>
            <w:tr w14:paraId="3E937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2E71EABB">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14</w:t>
                  </w:r>
                </w:p>
              </w:tc>
              <w:tc>
                <w:tcPr>
                  <w:tcW w:w="908" w:type="pct"/>
                  <w:vAlign w:val="center"/>
                </w:tcPr>
                <w:p w14:paraId="4D8DA5EC">
                  <w:pPr>
                    <w:jc w:val="center"/>
                    <w:rPr>
                      <w:rFonts w:ascii="Times New Roman"/>
                      <w:color w:val="auto"/>
                      <w:sz w:val="21"/>
                      <w:szCs w:val="21"/>
                      <w:highlight w:val="none"/>
                    </w:rPr>
                  </w:pPr>
                  <w:r>
                    <w:rPr>
                      <w:rFonts w:hint="eastAsia" w:ascii="Times New Roman"/>
                      <w:color w:val="auto"/>
                      <w:sz w:val="21"/>
                      <w:szCs w:val="21"/>
                      <w:highlight w:val="none"/>
                    </w:rPr>
                    <w:t>平开设备</w:t>
                  </w:r>
                </w:p>
              </w:tc>
              <w:tc>
                <w:tcPr>
                  <w:tcW w:w="653" w:type="pct"/>
                  <w:vAlign w:val="center"/>
                </w:tcPr>
                <w:p w14:paraId="566C306E">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426" w:type="pct"/>
                  <w:vAlign w:val="center"/>
                </w:tcPr>
                <w:p w14:paraId="7B85B55B">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444" w:type="pct"/>
                  <w:vAlign w:val="center"/>
                </w:tcPr>
                <w:p w14:paraId="63DD18FE">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11DDC833">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20</w:t>
                  </w:r>
                </w:p>
              </w:tc>
              <w:tc>
                <w:tcPr>
                  <w:tcW w:w="1800" w:type="pct"/>
                  <w:vAlign w:val="center"/>
                </w:tcPr>
                <w:p w14:paraId="42223093">
                  <w:pPr>
                    <w:jc w:val="center"/>
                    <w:rPr>
                      <w:rFonts w:hint="eastAsia"/>
                      <w:color w:val="auto"/>
                      <w:szCs w:val="21"/>
                      <w:highlight w:val="none"/>
                    </w:rPr>
                  </w:pPr>
                  <w:r>
                    <w:rPr>
                      <w:rFonts w:hint="eastAsia"/>
                      <w:color w:val="auto"/>
                      <w:szCs w:val="21"/>
                      <w:highlight w:val="none"/>
                    </w:rPr>
                    <w:t>外购</w:t>
                  </w:r>
                </w:p>
              </w:tc>
            </w:tr>
            <w:tr w14:paraId="2405F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0300FC87">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908" w:type="pct"/>
                  <w:vAlign w:val="center"/>
                </w:tcPr>
                <w:p w14:paraId="525F6B14">
                  <w:pPr>
                    <w:jc w:val="center"/>
                    <w:rPr>
                      <w:rFonts w:ascii="Times New Roman"/>
                      <w:color w:val="auto"/>
                      <w:sz w:val="21"/>
                      <w:szCs w:val="21"/>
                      <w:highlight w:val="none"/>
                    </w:rPr>
                  </w:pPr>
                  <w:r>
                    <w:rPr>
                      <w:rFonts w:hint="eastAsia" w:ascii="Times New Roman"/>
                      <w:color w:val="auto"/>
                      <w:sz w:val="21"/>
                      <w:szCs w:val="21"/>
                      <w:highlight w:val="none"/>
                    </w:rPr>
                    <w:t>酸洗槽</w:t>
                  </w:r>
                </w:p>
              </w:tc>
              <w:tc>
                <w:tcPr>
                  <w:tcW w:w="653" w:type="pct"/>
                  <w:vAlign w:val="center"/>
                </w:tcPr>
                <w:p w14:paraId="73126DC9">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426" w:type="pct"/>
                  <w:vAlign w:val="center"/>
                </w:tcPr>
                <w:p w14:paraId="1C70E036">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44" w:type="pct"/>
                  <w:vAlign w:val="center"/>
                </w:tcPr>
                <w:p w14:paraId="389FA6B2">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389F14D3">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w:t>
                  </w:r>
                </w:p>
              </w:tc>
              <w:tc>
                <w:tcPr>
                  <w:tcW w:w="1800" w:type="pct"/>
                  <w:vAlign w:val="center"/>
                </w:tcPr>
                <w:p w14:paraId="787D8294">
                  <w:pPr>
                    <w:jc w:val="center"/>
                    <w:rPr>
                      <w:rFonts w:hint="eastAsia"/>
                      <w:color w:val="auto"/>
                      <w:szCs w:val="21"/>
                      <w:highlight w:val="none"/>
                    </w:rPr>
                  </w:pPr>
                  <w:r>
                    <w:rPr>
                      <w:rFonts w:hint="eastAsia"/>
                      <w:color w:val="auto"/>
                      <w:szCs w:val="21"/>
                      <w:highlight w:val="none"/>
                    </w:rPr>
                    <w:t>外购</w:t>
                  </w:r>
                </w:p>
              </w:tc>
            </w:tr>
            <w:tr w14:paraId="514CB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3E0A2165">
                  <w:pPr>
                    <w:spacing w:line="300" w:lineRule="exact"/>
                    <w:jc w:val="center"/>
                    <w:rPr>
                      <w:rFonts w:hint="eastAsia"/>
                      <w:color w:val="auto"/>
                      <w:szCs w:val="21"/>
                      <w:highlight w:val="none"/>
                    </w:rPr>
                  </w:pPr>
                  <w:r>
                    <w:rPr>
                      <w:rFonts w:hint="eastAsia"/>
                      <w:color w:val="auto"/>
                      <w:sz w:val="21"/>
                      <w:szCs w:val="21"/>
                      <w:highlight w:val="none"/>
                      <w:lang w:val="en-US" w:eastAsia="zh-CN"/>
                    </w:rPr>
                    <w:t>16</w:t>
                  </w:r>
                </w:p>
              </w:tc>
              <w:tc>
                <w:tcPr>
                  <w:tcW w:w="908" w:type="pct"/>
                  <w:vAlign w:val="center"/>
                </w:tcPr>
                <w:p w14:paraId="3DF1F2EA">
                  <w:pPr>
                    <w:jc w:val="center"/>
                    <w:rPr>
                      <w:rFonts w:ascii="Times New Roman"/>
                      <w:color w:val="auto"/>
                      <w:sz w:val="21"/>
                      <w:szCs w:val="21"/>
                      <w:highlight w:val="none"/>
                    </w:rPr>
                  </w:pPr>
                  <w:r>
                    <w:rPr>
                      <w:rFonts w:hint="eastAsia" w:ascii="Times New Roman"/>
                      <w:color w:val="auto"/>
                      <w:sz w:val="21"/>
                      <w:szCs w:val="21"/>
                      <w:highlight w:val="none"/>
                    </w:rPr>
                    <w:t>制管设备</w:t>
                  </w:r>
                </w:p>
              </w:tc>
              <w:tc>
                <w:tcPr>
                  <w:tcW w:w="653" w:type="pct"/>
                  <w:vAlign w:val="center"/>
                </w:tcPr>
                <w:p w14:paraId="35EB9B8F">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426" w:type="pct"/>
                  <w:vAlign w:val="center"/>
                </w:tcPr>
                <w:p w14:paraId="15B6488C">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44" w:type="pct"/>
                  <w:vAlign w:val="center"/>
                </w:tcPr>
                <w:p w14:paraId="53F53219">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251C20A6">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w:t>
                  </w:r>
                </w:p>
              </w:tc>
              <w:tc>
                <w:tcPr>
                  <w:tcW w:w="1800" w:type="pct"/>
                  <w:vAlign w:val="center"/>
                </w:tcPr>
                <w:p w14:paraId="7E77468A">
                  <w:pPr>
                    <w:jc w:val="center"/>
                    <w:rPr>
                      <w:rFonts w:hint="eastAsia"/>
                      <w:color w:val="auto"/>
                      <w:szCs w:val="21"/>
                      <w:highlight w:val="none"/>
                    </w:rPr>
                  </w:pPr>
                  <w:r>
                    <w:rPr>
                      <w:rFonts w:hint="eastAsia"/>
                      <w:color w:val="auto"/>
                      <w:szCs w:val="21"/>
                      <w:highlight w:val="none"/>
                    </w:rPr>
                    <w:t>外购</w:t>
                  </w:r>
                </w:p>
              </w:tc>
            </w:tr>
            <w:tr w14:paraId="4FE6B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0010FE63">
                  <w:pPr>
                    <w:jc w:val="center"/>
                    <w:rPr>
                      <w:rFonts w:hint="eastAsia"/>
                      <w:color w:val="auto"/>
                      <w:szCs w:val="21"/>
                      <w:highlight w:val="none"/>
                    </w:rPr>
                  </w:pPr>
                  <w:r>
                    <w:rPr>
                      <w:rFonts w:hint="eastAsia"/>
                      <w:color w:val="auto"/>
                      <w:sz w:val="21"/>
                      <w:szCs w:val="21"/>
                      <w:highlight w:val="none"/>
                      <w:lang w:val="en-US" w:eastAsia="zh-CN"/>
                    </w:rPr>
                    <w:t>17</w:t>
                  </w:r>
                </w:p>
              </w:tc>
              <w:tc>
                <w:tcPr>
                  <w:tcW w:w="908" w:type="pct"/>
                  <w:vAlign w:val="center"/>
                </w:tcPr>
                <w:p w14:paraId="2A28DD3C">
                  <w:pPr>
                    <w:jc w:val="center"/>
                    <w:rPr>
                      <w:rFonts w:ascii="Times New Roman"/>
                      <w:color w:val="auto"/>
                      <w:sz w:val="21"/>
                      <w:szCs w:val="21"/>
                      <w:highlight w:val="none"/>
                    </w:rPr>
                  </w:pPr>
                  <w:r>
                    <w:rPr>
                      <w:rFonts w:hint="eastAsia" w:ascii="Times New Roman"/>
                      <w:color w:val="auto"/>
                      <w:sz w:val="21"/>
                      <w:szCs w:val="21"/>
                      <w:highlight w:val="none"/>
                    </w:rPr>
                    <w:t>焊接设备</w:t>
                  </w:r>
                </w:p>
              </w:tc>
              <w:tc>
                <w:tcPr>
                  <w:tcW w:w="653" w:type="pct"/>
                  <w:vAlign w:val="center"/>
                </w:tcPr>
                <w:p w14:paraId="6A45692F">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426" w:type="pct"/>
                  <w:vAlign w:val="center"/>
                </w:tcPr>
                <w:p w14:paraId="5F8FC54B">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444" w:type="pct"/>
                  <w:vAlign w:val="center"/>
                </w:tcPr>
                <w:p w14:paraId="701CB819">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2A219FB6">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5</w:t>
                  </w:r>
                </w:p>
              </w:tc>
              <w:tc>
                <w:tcPr>
                  <w:tcW w:w="1800" w:type="pct"/>
                  <w:vAlign w:val="center"/>
                </w:tcPr>
                <w:p w14:paraId="0F033EBC">
                  <w:pPr>
                    <w:jc w:val="center"/>
                    <w:rPr>
                      <w:rFonts w:hint="eastAsia"/>
                      <w:color w:val="auto"/>
                      <w:szCs w:val="21"/>
                      <w:highlight w:val="none"/>
                    </w:rPr>
                  </w:pPr>
                  <w:r>
                    <w:rPr>
                      <w:rFonts w:hint="eastAsia"/>
                      <w:color w:val="auto"/>
                      <w:szCs w:val="21"/>
                      <w:highlight w:val="none"/>
                    </w:rPr>
                    <w:t>外购</w:t>
                  </w:r>
                </w:p>
              </w:tc>
            </w:tr>
            <w:tr w14:paraId="24536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4508777D">
                  <w:pPr>
                    <w:spacing w:line="300" w:lineRule="exact"/>
                    <w:jc w:val="center"/>
                    <w:rPr>
                      <w:rFonts w:hint="eastAsia"/>
                      <w:color w:val="auto"/>
                      <w:szCs w:val="21"/>
                      <w:highlight w:val="none"/>
                    </w:rPr>
                  </w:pPr>
                  <w:r>
                    <w:rPr>
                      <w:rFonts w:hint="eastAsia"/>
                      <w:color w:val="auto"/>
                      <w:sz w:val="21"/>
                      <w:szCs w:val="21"/>
                      <w:highlight w:val="none"/>
                      <w:lang w:val="en-US" w:eastAsia="zh-CN"/>
                    </w:rPr>
                    <w:t>18</w:t>
                  </w:r>
                </w:p>
              </w:tc>
              <w:tc>
                <w:tcPr>
                  <w:tcW w:w="908" w:type="pct"/>
                  <w:vAlign w:val="center"/>
                </w:tcPr>
                <w:p w14:paraId="63B4030F">
                  <w:pPr>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酸雾塔</w:t>
                  </w:r>
                </w:p>
              </w:tc>
              <w:tc>
                <w:tcPr>
                  <w:tcW w:w="653" w:type="pct"/>
                  <w:vAlign w:val="center"/>
                </w:tcPr>
                <w:p w14:paraId="5367898E">
                  <w:pPr>
                    <w:pStyle w:val="124"/>
                    <w:jc w:val="center"/>
                    <w:rPr>
                      <w:rFonts w:hint="eastAsia" w:cs="Times New Roman"/>
                      <w:b w:val="0"/>
                      <w:bCs w:val="0"/>
                      <w:color w:val="auto"/>
                      <w:sz w:val="21"/>
                      <w:szCs w:val="21"/>
                      <w:highlight w:val="none"/>
                      <w:lang w:val="en-US" w:eastAsia="zh-CN"/>
                    </w:rPr>
                  </w:pPr>
                </w:p>
              </w:tc>
              <w:tc>
                <w:tcPr>
                  <w:tcW w:w="426" w:type="pct"/>
                  <w:vAlign w:val="center"/>
                </w:tcPr>
                <w:p w14:paraId="12E20527">
                  <w:pPr>
                    <w:pStyle w:val="124"/>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44" w:type="pct"/>
                  <w:vAlign w:val="center"/>
                </w:tcPr>
                <w:p w14:paraId="66EEBFC2">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64538894">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w:t>
                  </w:r>
                </w:p>
              </w:tc>
              <w:tc>
                <w:tcPr>
                  <w:tcW w:w="1800" w:type="pct"/>
                  <w:vAlign w:val="center"/>
                </w:tcPr>
                <w:p w14:paraId="210B85DA">
                  <w:pPr>
                    <w:jc w:val="center"/>
                    <w:rPr>
                      <w:rFonts w:hint="eastAsia"/>
                      <w:color w:val="auto"/>
                      <w:szCs w:val="21"/>
                      <w:highlight w:val="none"/>
                    </w:rPr>
                  </w:pPr>
                  <w:r>
                    <w:rPr>
                      <w:rFonts w:hint="eastAsia"/>
                      <w:color w:val="auto"/>
                      <w:szCs w:val="21"/>
                      <w:highlight w:val="none"/>
                    </w:rPr>
                    <w:t>外购</w:t>
                  </w:r>
                </w:p>
              </w:tc>
            </w:tr>
            <w:tr w14:paraId="13CDD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7419DB7A">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19</w:t>
                  </w:r>
                </w:p>
              </w:tc>
              <w:tc>
                <w:tcPr>
                  <w:tcW w:w="908" w:type="pct"/>
                  <w:vAlign w:val="center"/>
                </w:tcPr>
                <w:p w14:paraId="6E645151">
                  <w:pPr>
                    <w:jc w:val="center"/>
                    <w:rPr>
                      <w:rFonts w:hint="default" w:ascii="Times New Roman"/>
                      <w:color w:val="auto"/>
                      <w:sz w:val="21"/>
                      <w:szCs w:val="21"/>
                      <w:highlight w:val="none"/>
                      <w:lang w:val="en-US" w:eastAsia="zh-CN"/>
                    </w:rPr>
                  </w:pPr>
                  <w:r>
                    <w:rPr>
                      <w:rFonts w:hint="eastAsia" w:ascii="Times New Roman"/>
                      <w:color w:val="auto"/>
                      <w:sz w:val="21"/>
                      <w:szCs w:val="21"/>
                      <w:highlight w:val="none"/>
                      <w:lang w:val="en-US" w:eastAsia="zh-CN"/>
                    </w:rPr>
                    <w:t>平整机</w:t>
                  </w:r>
                </w:p>
              </w:tc>
              <w:tc>
                <w:tcPr>
                  <w:tcW w:w="653" w:type="pct"/>
                  <w:vAlign w:val="center"/>
                </w:tcPr>
                <w:p w14:paraId="485DA757">
                  <w:pPr>
                    <w:pStyle w:val="124"/>
                    <w:jc w:val="center"/>
                    <w:rPr>
                      <w:rFonts w:hint="eastAsia" w:cs="Times New Roman"/>
                      <w:b w:val="0"/>
                      <w:bCs w:val="0"/>
                      <w:color w:val="auto"/>
                      <w:sz w:val="21"/>
                      <w:szCs w:val="21"/>
                      <w:highlight w:val="none"/>
                      <w:lang w:val="en-US" w:eastAsia="zh-CN"/>
                    </w:rPr>
                  </w:pPr>
                </w:p>
              </w:tc>
              <w:tc>
                <w:tcPr>
                  <w:tcW w:w="426" w:type="pct"/>
                  <w:vAlign w:val="center"/>
                </w:tcPr>
                <w:p w14:paraId="0CBA324F">
                  <w:pPr>
                    <w:pStyle w:val="124"/>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44" w:type="pct"/>
                  <w:vAlign w:val="center"/>
                </w:tcPr>
                <w:p w14:paraId="5863673E">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24F769A3">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w:t>
                  </w:r>
                </w:p>
              </w:tc>
              <w:tc>
                <w:tcPr>
                  <w:tcW w:w="1800" w:type="pct"/>
                  <w:vAlign w:val="center"/>
                </w:tcPr>
                <w:p w14:paraId="5A667073">
                  <w:pPr>
                    <w:jc w:val="center"/>
                    <w:rPr>
                      <w:rFonts w:hint="eastAsia"/>
                      <w:color w:val="auto"/>
                      <w:szCs w:val="21"/>
                      <w:highlight w:val="none"/>
                    </w:rPr>
                  </w:pPr>
                  <w:r>
                    <w:rPr>
                      <w:rFonts w:hint="eastAsia"/>
                      <w:color w:val="auto"/>
                      <w:szCs w:val="21"/>
                      <w:highlight w:val="none"/>
                    </w:rPr>
                    <w:t>外购</w:t>
                  </w:r>
                </w:p>
              </w:tc>
            </w:tr>
            <w:tr w14:paraId="0A9FC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294" w:type="pct"/>
                  <w:vAlign w:val="center"/>
                </w:tcPr>
                <w:p w14:paraId="3BF67F5B">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908" w:type="pct"/>
                  <w:vAlign w:val="center"/>
                </w:tcPr>
                <w:p w14:paraId="1D599512">
                  <w:pPr>
                    <w:jc w:val="center"/>
                    <w:rPr>
                      <w:rFonts w:hint="default" w:ascii="Times New Roman"/>
                      <w:color w:val="auto"/>
                      <w:sz w:val="21"/>
                      <w:szCs w:val="21"/>
                      <w:highlight w:val="none"/>
                      <w:lang w:val="en-US" w:eastAsia="zh-CN"/>
                    </w:rPr>
                  </w:pPr>
                  <w:r>
                    <w:rPr>
                      <w:rFonts w:hint="eastAsia"/>
                      <w:color w:val="auto"/>
                      <w:sz w:val="21"/>
                      <w:szCs w:val="21"/>
                      <w:highlight w:val="none"/>
                      <w:lang w:val="en-US" w:eastAsia="zh-CN"/>
                    </w:rPr>
                    <w:t>天然气</w:t>
                  </w:r>
                  <w:r>
                    <w:rPr>
                      <w:rFonts w:hint="eastAsia" w:ascii="Times New Roman"/>
                      <w:color w:val="auto"/>
                      <w:sz w:val="21"/>
                      <w:szCs w:val="21"/>
                      <w:highlight w:val="none"/>
                      <w:lang w:val="en-US" w:eastAsia="zh-CN"/>
                    </w:rPr>
                    <w:t>锅炉</w:t>
                  </w:r>
                </w:p>
              </w:tc>
              <w:tc>
                <w:tcPr>
                  <w:tcW w:w="653" w:type="pct"/>
                  <w:vAlign w:val="center"/>
                </w:tcPr>
                <w:p w14:paraId="1A313364">
                  <w:pPr>
                    <w:pStyle w:val="124"/>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2t/h</w:t>
                  </w:r>
                </w:p>
              </w:tc>
              <w:tc>
                <w:tcPr>
                  <w:tcW w:w="426" w:type="pct"/>
                  <w:vAlign w:val="center"/>
                </w:tcPr>
                <w:p w14:paraId="31E2347E">
                  <w:pPr>
                    <w:pStyle w:val="124"/>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44" w:type="pct"/>
                  <w:vAlign w:val="center"/>
                </w:tcPr>
                <w:p w14:paraId="0DC1FC89">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67219575">
                  <w:pPr>
                    <w:pStyle w:val="124"/>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1</w:t>
                  </w:r>
                </w:p>
              </w:tc>
              <w:tc>
                <w:tcPr>
                  <w:tcW w:w="1800" w:type="pct"/>
                  <w:vAlign w:val="center"/>
                </w:tcPr>
                <w:p w14:paraId="45DC1E8E">
                  <w:pPr>
                    <w:jc w:val="center"/>
                    <w:rPr>
                      <w:rFonts w:hint="eastAsia"/>
                      <w:color w:val="auto"/>
                      <w:szCs w:val="21"/>
                      <w:highlight w:val="none"/>
                    </w:rPr>
                  </w:pPr>
                  <w:r>
                    <w:rPr>
                      <w:rFonts w:hint="eastAsia"/>
                      <w:color w:val="auto"/>
                      <w:szCs w:val="21"/>
                      <w:highlight w:val="none"/>
                    </w:rPr>
                    <w:t>外购</w:t>
                  </w:r>
                </w:p>
              </w:tc>
            </w:tr>
            <w:tr w14:paraId="5B9B8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684302A5">
                  <w:pPr>
                    <w:keepNext w:val="0"/>
                    <w:keepLines w:val="0"/>
                    <w:widowControl/>
                    <w:suppressLineNumbers w:val="0"/>
                    <w:jc w:val="center"/>
                    <w:textAlignment w:val="center"/>
                    <w:rPr>
                      <w:rFonts w:hint="default"/>
                      <w:color w:val="auto"/>
                      <w:szCs w:val="21"/>
                      <w:highlight w:val="none"/>
                      <w:lang w:val="en-US"/>
                    </w:rPr>
                  </w:pPr>
                  <w:r>
                    <w:rPr>
                      <w:rFonts w:hint="eastAsia" w:cs="Times New Roman"/>
                      <w:i w:val="0"/>
                      <w:iCs w:val="0"/>
                      <w:color w:val="auto"/>
                      <w:kern w:val="0"/>
                      <w:sz w:val="21"/>
                      <w:szCs w:val="21"/>
                      <w:highlight w:val="none"/>
                      <w:u w:val="none"/>
                      <w:lang w:val="en-US" w:eastAsia="zh-CN" w:bidi="ar"/>
                    </w:rPr>
                    <w:t>21</w:t>
                  </w:r>
                </w:p>
              </w:tc>
              <w:tc>
                <w:tcPr>
                  <w:tcW w:w="908" w:type="pct"/>
                  <w:vAlign w:val="center"/>
                </w:tcPr>
                <w:p w14:paraId="694622D6">
                  <w:pPr>
                    <w:jc w:val="center"/>
                    <w:rPr>
                      <w:rFonts w:hint="eastAsia" w:eastAsia="宋体"/>
                      <w:color w:val="auto"/>
                      <w:szCs w:val="21"/>
                      <w:highlight w:val="none"/>
                      <w:lang w:val="en-US" w:eastAsia="zh-CN"/>
                    </w:rPr>
                  </w:pPr>
                  <w:r>
                    <w:rPr>
                      <w:rFonts w:hint="eastAsia"/>
                      <w:color w:val="auto"/>
                      <w:szCs w:val="21"/>
                      <w:highlight w:val="none"/>
                      <w:lang w:val="en-US" w:eastAsia="zh-CN"/>
                    </w:rPr>
                    <w:t>折弯机</w:t>
                  </w:r>
                </w:p>
              </w:tc>
              <w:tc>
                <w:tcPr>
                  <w:tcW w:w="653" w:type="pct"/>
                  <w:vAlign w:val="center"/>
                </w:tcPr>
                <w:p w14:paraId="41674DC9">
                  <w:pPr>
                    <w:snapToGrid w:val="0"/>
                    <w:spacing w:line="28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w:t>
                  </w:r>
                </w:p>
              </w:tc>
              <w:tc>
                <w:tcPr>
                  <w:tcW w:w="426" w:type="pct"/>
                  <w:vAlign w:val="center"/>
                </w:tcPr>
                <w:p w14:paraId="5FAC8C0D">
                  <w:pPr>
                    <w:snapToGrid w:val="0"/>
                    <w:spacing w:line="28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4</w:t>
                  </w:r>
                </w:p>
              </w:tc>
              <w:tc>
                <w:tcPr>
                  <w:tcW w:w="444" w:type="pct"/>
                  <w:vAlign w:val="center"/>
                </w:tcPr>
                <w:p w14:paraId="051C3F62">
                  <w:pPr>
                    <w:snapToGrid w:val="0"/>
                    <w:spacing w:line="280" w:lineRule="exact"/>
                    <w:jc w:val="center"/>
                    <w:rPr>
                      <w:rFonts w:hint="eastAsia"/>
                      <w:color w:val="auto"/>
                      <w:szCs w:val="21"/>
                      <w:highlight w:val="none"/>
                    </w:rPr>
                  </w:pPr>
                  <w:r>
                    <w:rPr>
                      <w:rFonts w:hint="eastAsia"/>
                      <w:color w:val="auto"/>
                      <w:szCs w:val="21"/>
                      <w:highlight w:val="none"/>
                      <w:lang w:val="en-US" w:eastAsia="zh-CN"/>
                    </w:rPr>
                    <w:t>/</w:t>
                  </w:r>
                </w:p>
              </w:tc>
              <w:tc>
                <w:tcPr>
                  <w:tcW w:w="471" w:type="pct"/>
                  <w:vAlign w:val="center"/>
                </w:tcPr>
                <w:p w14:paraId="76483EF4">
                  <w:pPr>
                    <w:snapToGrid w:val="0"/>
                    <w:spacing w:line="280" w:lineRule="exact"/>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4</w:t>
                  </w:r>
                </w:p>
              </w:tc>
              <w:tc>
                <w:tcPr>
                  <w:tcW w:w="1800" w:type="pct"/>
                  <w:vAlign w:val="center"/>
                </w:tcPr>
                <w:p w14:paraId="26927C7F">
                  <w:pPr>
                    <w:jc w:val="center"/>
                    <w:rPr>
                      <w:color w:val="auto"/>
                      <w:szCs w:val="21"/>
                      <w:highlight w:val="none"/>
                    </w:rPr>
                  </w:pPr>
                  <w:r>
                    <w:rPr>
                      <w:rFonts w:hint="eastAsia"/>
                      <w:color w:val="auto"/>
                      <w:szCs w:val="21"/>
                      <w:highlight w:val="none"/>
                    </w:rPr>
                    <w:t>外购</w:t>
                  </w:r>
                </w:p>
              </w:tc>
            </w:tr>
            <w:tr w14:paraId="308E5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452D54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w:t>
                  </w:r>
                </w:p>
              </w:tc>
              <w:tc>
                <w:tcPr>
                  <w:tcW w:w="908" w:type="pct"/>
                  <w:vAlign w:val="center"/>
                </w:tcPr>
                <w:p w14:paraId="6C782B67">
                  <w:pPr>
                    <w:jc w:val="center"/>
                    <w:rPr>
                      <w:rFonts w:hint="default"/>
                      <w:color w:val="auto"/>
                      <w:szCs w:val="21"/>
                      <w:highlight w:val="none"/>
                      <w:lang w:val="en-US" w:eastAsia="zh-CN"/>
                    </w:rPr>
                  </w:pPr>
                  <w:r>
                    <w:rPr>
                      <w:rFonts w:hint="eastAsia"/>
                      <w:color w:val="auto"/>
                      <w:szCs w:val="21"/>
                      <w:highlight w:val="none"/>
                      <w:lang w:val="en-US" w:eastAsia="zh-CN"/>
                    </w:rPr>
                    <w:t>冲压机</w:t>
                  </w:r>
                </w:p>
              </w:tc>
              <w:tc>
                <w:tcPr>
                  <w:tcW w:w="653" w:type="pct"/>
                  <w:vAlign w:val="center"/>
                </w:tcPr>
                <w:p w14:paraId="5CB27698">
                  <w:pPr>
                    <w:snapToGrid w:val="0"/>
                    <w:spacing w:line="28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w:t>
                  </w:r>
                </w:p>
              </w:tc>
              <w:tc>
                <w:tcPr>
                  <w:tcW w:w="426" w:type="pct"/>
                  <w:vAlign w:val="center"/>
                </w:tcPr>
                <w:p w14:paraId="574030BB">
                  <w:pPr>
                    <w:snapToGrid w:val="0"/>
                    <w:spacing w:line="280" w:lineRule="exact"/>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w:t>
                  </w:r>
                </w:p>
              </w:tc>
              <w:tc>
                <w:tcPr>
                  <w:tcW w:w="444" w:type="pct"/>
                  <w:vAlign w:val="center"/>
                </w:tcPr>
                <w:p w14:paraId="1D8583FC">
                  <w:pPr>
                    <w:snapToGrid w:val="0"/>
                    <w:spacing w:line="280" w:lineRule="exact"/>
                    <w:jc w:val="center"/>
                    <w:rPr>
                      <w:rFonts w:hint="eastAsia"/>
                      <w:color w:val="auto"/>
                      <w:szCs w:val="21"/>
                      <w:highlight w:val="none"/>
                    </w:rPr>
                  </w:pPr>
                  <w:r>
                    <w:rPr>
                      <w:rFonts w:hint="eastAsia"/>
                      <w:color w:val="auto"/>
                      <w:szCs w:val="21"/>
                      <w:highlight w:val="none"/>
                      <w:lang w:val="en-US" w:eastAsia="zh-CN"/>
                    </w:rPr>
                    <w:t>/</w:t>
                  </w:r>
                </w:p>
              </w:tc>
              <w:tc>
                <w:tcPr>
                  <w:tcW w:w="471" w:type="pct"/>
                  <w:vAlign w:val="center"/>
                </w:tcPr>
                <w:p w14:paraId="3329ED63">
                  <w:pPr>
                    <w:snapToGrid w:val="0"/>
                    <w:spacing w:line="280" w:lineRule="exact"/>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w:t>
                  </w:r>
                </w:p>
              </w:tc>
              <w:tc>
                <w:tcPr>
                  <w:tcW w:w="1800" w:type="pct"/>
                  <w:vAlign w:val="center"/>
                </w:tcPr>
                <w:p w14:paraId="58DB913E">
                  <w:pPr>
                    <w:jc w:val="center"/>
                    <w:rPr>
                      <w:rFonts w:hint="eastAsia"/>
                      <w:color w:val="auto"/>
                      <w:szCs w:val="21"/>
                      <w:highlight w:val="none"/>
                    </w:rPr>
                  </w:pPr>
                  <w:r>
                    <w:rPr>
                      <w:rFonts w:hint="eastAsia"/>
                      <w:color w:val="auto"/>
                      <w:szCs w:val="21"/>
                      <w:highlight w:val="none"/>
                    </w:rPr>
                    <w:t>外购</w:t>
                  </w:r>
                </w:p>
              </w:tc>
            </w:tr>
            <w:tr w14:paraId="7F582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19AF92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23</w:t>
                  </w:r>
                </w:p>
              </w:tc>
              <w:tc>
                <w:tcPr>
                  <w:tcW w:w="908" w:type="pct"/>
                  <w:vAlign w:val="center"/>
                </w:tcPr>
                <w:p w14:paraId="2C08FD1E">
                  <w:pPr>
                    <w:snapToGrid w:val="0"/>
                    <w:spacing w:line="280" w:lineRule="exact"/>
                    <w:jc w:val="center"/>
                    <w:rPr>
                      <w:rFonts w:hint="default"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空压机</w:t>
                  </w:r>
                </w:p>
              </w:tc>
              <w:tc>
                <w:tcPr>
                  <w:tcW w:w="653" w:type="pct"/>
                  <w:vAlign w:val="center"/>
                </w:tcPr>
                <w:p w14:paraId="4D5CE3DF">
                  <w:pPr>
                    <w:snapToGrid w:val="0"/>
                    <w:spacing w:line="280" w:lineRule="exact"/>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VBH-50A</w:t>
                  </w:r>
                </w:p>
              </w:tc>
              <w:tc>
                <w:tcPr>
                  <w:tcW w:w="426" w:type="pct"/>
                  <w:vAlign w:val="center"/>
                </w:tcPr>
                <w:p w14:paraId="67ABCC8B">
                  <w:pPr>
                    <w:snapToGrid w:val="0"/>
                    <w:spacing w:line="280" w:lineRule="exact"/>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1</w:t>
                  </w:r>
                </w:p>
              </w:tc>
              <w:tc>
                <w:tcPr>
                  <w:tcW w:w="444" w:type="pct"/>
                  <w:vAlign w:val="center"/>
                </w:tcPr>
                <w:p w14:paraId="23F6F2F3">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569A774B">
                  <w:pPr>
                    <w:snapToGrid w:val="0"/>
                    <w:spacing w:line="280" w:lineRule="exact"/>
                    <w:jc w:val="center"/>
                    <w:rPr>
                      <w:rFonts w:hint="eastAsia"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1</w:t>
                  </w:r>
                </w:p>
              </w:tc>
              <w:tc>
                <w:tcPr>
                  <w:tcW w:w="1800" w:type="pct"/>
                  <w:vAlign w:val="center"/>
                </w:tcPr>
                <w:p w14:paraId="7FF3008D">
                  <w:pPr>
                    <w:jc w:val="center"/>
                    <w:rPr>
                      <w:rFonts w:hint="eastAsia"/>
                      <w:color w:val="auto"/>
                      <w:szCs w:val="21"/>
                      <w:highlight w:val="none"/>
                    </w:rPr>
                  </w:pPr>
                  <w:r>
                    <w:rPr>
                      <w:rFonts w:hint="eastAsia"/>
                      <w:color w:val="auto"/>
                      <w:szCs w:val="21"/>
                      <w:highlight w:val="none"/>
                    </w:rPr>
                    <w:t>外购</w:t>
                  </w:r>
                </w:p>
              </w:tc>
            </w:tr>
            <w:tr w14:paraId="5DE2B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1FA52B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w:t>
                  </w:r>
                </w:p>
              </w:tc>
              <w:tc>
                <w:tcPr>
                  <w:tcW w:w="908" w:type="pct"/>
                  <w:vAlign w:val="center"/>
                </w:tcPr>
                <w:p w14:paraId="6DFA5AC2">
                  <w:pPr>
                    <w:snapToGrid w:val="0"/>
                    <w:spacing w:line="280" w:lineRule="exact"/>
                    <w:jc w:val="center"/>
                    <w:rPr>
                      <w:rFonts w:hint="default"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喷涂流水线</w:t>
                  </w:r>
                </w:p>
              </w:tc>
              <w:tc>
                <w:tcPr>
                  <w:tcW w:w="653" w:type="pct"/>
                  <w:vAlign w:val="center"/>
                </w:tcPr>
                <w:p w14:paraId="2E2E88B2">
                  <w:pPr>
                    <w:snapToGrid w:val="0"/>
                    <w:spacing w:line="280" w:lineRule="exact"/>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w:t>
                  </w:r>
                </w:p>
              </w:tc>
              <w:tc>
                <w:tcPr>
                  <w:tcW w:w="426" w:type="pct"/>
                  <w:vAlign w:val="center"/>
                </w:tcPr>
                <w:p w14:paraId="078B7F77">
                  <w:pPr>
                    <w:snapToGrid w:val="0"/>
                    <w:spacing w:line="280" w:lineRule="exact"/>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2</w:t>
                  </w:r>
                </w:p>
              </w:tc>
              <w:tc>
                <w:tcPr>
                  <w:tcW w:w="444" w:type="pct"/>
                  <w:vAlign w:val="center"/>
                </w:tcPr>
                <w:p w14:paraId="397DBD11">
                  <w:pPr>
                    <w:jc w:val="center"/>
                    <w:rPr>
                      <w:rFonts w:hint="default" w:eastAsia="宋体"/>
                      <w:color w:val="auto"/>
                      <w:szCs w:val="21"/>
                      <w:highlight w:val="none"/>
                      <w:lang w:val="en-US" w:eastAsia="zh-CN"/>
                    </w:rPr>
                  </w:pPr>
                  <w:r>
                    <w:rPr>
                      <w:rFonts w:hint="eastAsia"/>
                      <w:color w:val="auto"/>
                      <w:szCs w:val="21"/>
                      <w:highlight w:val="none"/>
                      <w:lang w:val="en-US" w:eastAsia="zh-CN"/>
                    </w:rPr>
                    <w:t>1</w:t>
                  </w:r>
                </w:p>
              </w:tc>
              <w:tc>
                <w:tcPr>
                  <w:tcW w:w="471" w:type="pct"/>
                  <w:vAlign w:val="center"/>
                </w:tcPr>
                <w:p w14:paraId="0A61B99F">
                  <w:pPr>
                    <w:snapToGrid w:val="0"/>
                    <w:spacing w:line="280" w:lineRule="exact"/>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3</w:t>
                  </w:r>
                </w:p>
              </w:tc>
              <w:tc>
                <w:tcPr>
                  <w:tcW w:w="1800" w:type="pct"/>
                  <w:vAlign w:val="center"/>
                </w:tcPr>
                <w:p w14:paraId="3569320A">
                  <w:pPr>
                    <w:jc w:val="center"/>
                    <w:rPr>
                      <w:rFonts w:hint="default" w:eastAsia="宋体"/>
                      <w:color w:val="auto"/>
                      <w:szCs w:val="21"/>
                      <w:highlight w:val="none"/>
                      <w:lang w:val="en-US" w:eastAsia="zh-CN"/>
                    </w:rPr>
                  </w:pPr>
                  <w:r>
                    <w:rPr>
                      <w:rFonts w:hint="eastAsia"/>
                      <w:color w:val="auto"/>
                      <w:szCs w:val="21"/>
                      <w:highlight w:val="none"/>
                      <w:lang w:val="en-US" w:eastAsia="zh-CN"/>
                    </w:rPr>
                    <w:t>外购，含表面处理生产线、水分烘干炉、喷粉线、粉末固化炉</w:t>
                  </w:r>
                </w:p>
              </w:tc>
            </w:tr>
            <w:tr w14:paraId="6F8A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vAlign w:val="center"/>
                </w:tcPr>
                <w:p w14:paraId="7D8140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w:t>
                  </w:r>
                </w:p>
              </w:tc>
              <w:tc>
                <w:tcPr>
                  <w:tcW w:w="908" w:type="pct"/>
                  <w:vAlign w:val="center"/>
                </w:tcPr>
                <w:p w14:paraId="7B42D8CB">
                  <w:pPr>
                    <w:snapToGrid w:val="0"/>
                    <w:spacing w:line="280" w:lineRule="exact"/>
                    <w:jc w:val="center"/>
                    <w:rPr>
                      <w:rFonts w:hint="default"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CO</w:t>
                  </w:r>
                  <w:r>
                    <w:rPr>
                      <w:rFonts w:hint="eastAsia" w:eastAsiaTheme="minorEastAsia" w:cstheme="minorBidi"/>
                      <w:color w:val="auto"/>
                      <w:kern w:val="2"/>
                      <w:sz w:val="21"/>
                      <w:szCs w:val="21"/>
                      <w:highlight w:val="none"/>
                      <w:vertAlign w:val="subscript"/>
                      <w:lang w:val="en-US" w:eastAsia="zh-CN" w:bidi="ar-SA"/>
                    </w:rPr>
                    <w:t>2</w:t>
                  </w:r>
                  <w:r>
                    <w:rPr>
                      <w:rFonts w:hint="eastAsia" w:eastAsiaTheme="minorEastAsia" w:cstheme="minorBidi"/>
                      <w:color w:val="auto"/>
                      <w:kern w:val="2"/>
                      <w:sz w:val="21"/>
                      <w:szCs w:val="21"/>
                      <w:highlight w:val="none"/>
                      <w:lang w:val="en-US" w:eastAsia="zh-CN" w:bidi="ar-SA"/>
                    </w:rPr>
                    <w:t>保护焊</w:t>
                  </w:r>
                </w:p>
              </w:tc>
              <w:tc>
                <w:tcPr>
                  <w:tcW w:w="653" w:type="pct"/>
                  <w:vAlign w:val="center"/>
                </w:tcPr>
                <w:p w14:paraId="331F6FE7">
                  <w:pPr>
                    <w:snapToGrid w:val="0"/>
                    <w:spacing w:line="280" w:lineRule="exact"/>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w:t>
                  </w:r>
                </w:p>
              </w:tc>
              <w:tc>
                <w:tcPr>
                  <w:tcW w:w="426" w:type="pct"/>
                  <w:vAlign w:val="center"/>
                </w:tcPr>
                <w:p w14:paraId="56B46FDB">
                  <w:pPr>
                    <w:snapToGrid w:val="0"/>
                    <w:spacing w:line="280" w:lineRule="exact"/>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10</w:t>
                  </w:r>
                </w:p>
              </w:tc>
              <w:tc>
                <w:tcPr>
                  <w:tcW w:w="444" w:type="pct"/>
                  <w:vAlign w:val="center"/>
                </w:tcPr>
                <w:p w14:paraId="750AF543">
                  <w:pPr>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471" w:type="pct"/>
                  <w:vAlign w:val="center"/>
                </w:tcPr>
                <w:p w14:paraId="597ECA2B">
                  <w:pPr>
                    <w:snapToGrid w:val="0"/>
                    <w:spacing w:line="280" w:lineRule="exact"/>
                    <w:jc w:val="center"/>
                    <w:rPr>
                      <w:rFonts w:hint="eastAsia"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10</w:t>
                  </w:r>
                </w:p>
              </w:tc>
              <w:tc>
                <w:tcPr>
                  <w:tcW w:w="1800" w:type="pct"/>
                  <w:vAlign w:val="center"/>
                </w:tcPr>
                <w:p w14:paraId="2A3F0881">
                  <w:pPr>
                    <w:jc w:val="center"/>
                    <w:rPr>
                      <w:rFonts w:hint="eastAsia"/>
                      <w:color w:val="auto"/>
                      <w:szCs w:val="21"/>
                      <w:highlight w:val="none"/>
                    </w:rPr>
                  </w:pPr>
                  <w:r>
                    <w:rPr>
                      <w:rFonts w:hint="eastAsia"/>
                      <w:color w:val="auto"/>
                      <w:szCs w:val="21"/>
                      <w:highlight w:val="none"/>
                    </w:rPr>
                    <w:t>外购</w:t>
                  </w:r>
                </w:p>
              </w:tc>
            </w:tr>
          </w:tbl>
          <w:p w14:paraId="4246D23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0"/>
              <w:rPr>
                <w:b/>
                <w:color w:val="auto"/>
                <w:kern w:val="0"/>
                <w:szCs w:val="21"/>
                <w:highlight w:val="none"/>
              </w:rPr>
            </w:pPr>
            <w:r>
              <w:rPr>
                <w:b/>
                <w:color w:val="auto"/>
                <w:kern w:val="0"/>
                <w:szCs w:val="21"/>
                <w:highlight w:val="none"/>
              </w:rPr>
              <w:t>5、主要原辅料</w:t>
            </w:r>
          </w:p>
          <w:p w14:paraId="26362FA3">
            <w:pPr>
              <w:pStyle w:val="104"/>
              <w:ind w:firstLine="420"/>
              <w:rPr>
                <w:color w:val="auto"/>
                <w:sz w:val="21"/>
                <w:szCs w:val="21"/>
                <w:highlight w:val="none"/>
              </w:rPr>
            </w:pPr>
            <w:r>
              <w:rPr>
                <w:color w:val="auto"/>
                <w:sz w:val="21"/>
                <w:szCs w:val="21"/>
                <w:highlight w:val="none"/>
              </w:rPr>
              <w:t>主要原辅料详情见下表。</w:t>
            </w:r>
          </w:p>
          <w:p w14:paraId="58C6FAEF">
            <w:pPr>
              <w:pStyle w:val="103"/>
              <w:keepNext w:val="0"/>
              <w:keepLines w:val="0"/>
              <w:suppressLineNumbers w:val="0"/>
              <w:spacing w:before="0" w:beforeAutospacing="0" w:after="0" w:afterAutospacing="0" w:line="240" w:lineRule="auto"/>
              <w:ind w:left="0" w:right="0"/>
              <w:rPr>
                <w:rStyle w:val="39"/>
                <w:b w:val="0"/>
                <w:bCs w:val="0"/>
                <w:color w:val="auto"/>
                <w:kern w:val="0"/>
                <w:szCs w:val="21"/>
                <w:highlight w:val="none"/>
              </w:rPr>
            </w:pPr>
            <w:r>
              <w:rPr>
                <w:bCs w:val="0"/>
                <w:color w:val="auto"/>
                <w:sz w:val="21"/>
                <w:szCs w:val="21"/>
                <w:highlight w:val="none"/>
              </w:rPr>
              <w:t>表2-</w:t>
            </w:r>
            <w:r>
              <w:rPr>
                <w:rFonts w:hint="eastAsia"/>
                <w:bCs w:val="0"/>
                <w:color w:val="auto"/>
                <w:sz w:val="21"/>
                <w:szCs w:val="21"/>
                <w:highlight w:val="none"/>
                <w:lang w:val="en-US" w:eastAsia="zh-CN"/>
              </w:rPr>
              <w:t>5</w:t>
            </w:r>
            <w:r>
              <w:rPr>
                <w:bCs w:val="0"/>
                <w:color w:val="auto"/>
                <w:sz w:val="21"/>
                <w:szCs w:val="21"/>
                <w:highlight w:val="none"/>
              </w:rPr>
              <w:t>主要原辅料消耗</w:t>
            </w:r>
            <w:r>
              <w:rPr>
                <w:rFonts w:hint="eastAsia"/>
                <w:bCs w:val="0"/>
                <w:color w:val="auto"/>
                <w:sz w:val="21"/>
                <w:szCs w:val="21"/>
                <w:highlight w:val="none"/>
              </w:rPr>
              <w:t>情况</w:t>
            </w:r>
          </w:p>
          <w:tbl>
            <w:tblPr>
              <w:tblStyle w:val="30"/>
              <w:tblW w:w="79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48"/>
              <w:gridCol w:w="938"/>
              <w:gridCol w:w="2055"/>
              <w:gridCol w:w="555"/>
              <w:gridCol w:w="780"/>
              <w:gridCol w:w="750"/>
              <w:gridCol w:w="694"/>
              <w:gridCol w:w="720"/>
              <w:gridCol w:w="1057"/>
            </w:tblGrid>
            <w:tr w14:paraId="0B4A1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80" w:type="pct"/>
                  <w:vMerge w:val="restart"/>
                  <w:vAlign w:val="center"/>
                </w:tcPr>
                <w:p w14:paraId="6299E479">
                  <w:pPr>
                    <w:widowControl/>
                    <w:jc w:val="center"/>
                    <w:rPr>
                      <w:color w:val="auto"/>
                      <w:szCs w:val="21"/>
                      <w:highlight w:val="none"/>
                    </w:rPr>
                  </w:pPr>
                  <w:r>
                    <w:rPr>
                      <w:color w:val="auto"/>
                      <w:szCs w:val="21"/>
                      <w:highlight w:val="none"/>
                    </w:rPr>
                    <w:t>序号</w:t>
                  </w:r>
                </w:p>
              </w:tc>
              <w:tc>
                <w:tcPr>
                  <w:tcW w:w="586" w:type="pct"/>
                  <w:vMerge w:val="restart"/>
                  <w:vAlign w:val="center"/>
                </w:tcPr>
                <w:p w14:paraId="223213B1">
                  <w:pPr>
                    <w:widowControl/>
                    <w:jc w:val="center"/>
                    <w:rPr>
                      <w:color w:val="auto"/>
                      <w:szCs w:val="21"/>
                      <w:highlight w:val="none"/>
                    </w:rPr>
                  </w:pPr>
                  <w:r>
                    <w:rPr>
                      <w:color w:val="auto"/>
                      <w:szCs w:val="21"/>
                      <w:highlight w:val="none"/>
                    </w:rPr>
                    <w:t>原料名称</w:t>
                  </w:r>
                </w:p>
              </w:tc>
              <w:tc>
                <w:tcPr>
                  <w:tcW w:w="1284" w:type="pct"/>
                  <w:vMerge w:val="restart"/>
                  <w:vAlign w:val="center"/>
                </w:tcPr>
                <w:p w14:paraId="09CE459C">
                  <w:pPr>
                    <w:widowControl/>
                    <w:jc w:val="center"/>
                    <w:rPr>
                      <w:color w:val="auto"/>
                      <w:szCs w:val="21"/>
                      <w:highlight w:val="none"/>
                    </w:rPr>
                  </w:pPr>
                  <w:r>
                    <w:rPr>
                      <w:rFonts w:hint="eastAsia"/>
                      <w:color w:val="auto"/>
                      <w:szCs w:val="21"/>
                      <w:highlight w:val="none"/>
                    </w:rPr>
                    <w:t>组分含量</w:t>
                  </w:r>
                </w:p>
              </w:tc>
              <w:tc>
                <w:tcPr>
                  <w:tcW w:w="347" w:type="pct"/>
                  <w:vMerge w:val="restart"/>
                  <w:vAlign w:val="center"/>
                </w:tcPr>
                <w:p w14:paraId="437A2102">
                  <w:pPr>
                    <w:widowControl/>
                    <w:jc w:val="center"/>
                    <w:rPr>
                      <w:color w:val="auto"/>
                      <w:szCs w:val="21"/>
                      <w:highlight w:val="none"/>
                    </w:rPr>
                  </w:pPr>
                  <w:r>
                    <w:rPr>
                      <w:rFonts w:hint="eastAsia"/>
                      <w:color w:val="auto"/>
                      <w:szCs w:val="21"/>
                      <w:highlight w:val="none"/>
                    </w:rPr>
                    <w:t>包装规格</w:t>
                  </w:r>
                </w:p>
              </w:tc>
              <w:tc>
                <w:tcPr>
                  <w:tcW w:w="1390" w:type="pct"/>
                  <w:gridSpan w:val="3"/>
                  <w:vAlign w:val="center"/>
                </w:tcPr>
                <w:p w14:paraId="2CABA110">
                  <w:pPr>
                    <w:widowControl/>
                    <w:jc w:val="center"/>
                    <w:rPr>
                      <w:rFonts w:hint="eastAsia"/>
                      <w:color w:val="auto"/>
                      <w:szCs w:val="21"/>
                      <w:highlight w:val="none"/>
                    </w:rPr>
                  </w:pPr>
                  <w:r>
                    <w:rPr>
                      <w:rFonts w:hint="eastAsia"/>
                      <w:color w:val="auto"/>
                      <w:szCs w:val="21"/>
                      <w:highlight w:val="none"/>
                    </w:rPr>
                    <w:t>年</w:t>
                  </w:r>
                  <w:r>
                    <w:rPr>
                      <w:color w:val="auto"/>
                      <w:szCs w:val="21"/>
                      <w:highlight w:val="none"/>
                    </w:rPr>
                    <w:t>消耗量</w:t>
                  </w:r>
                  <w:r>
                    <w:rPr>
                      <w:rFonts w:hint="eastAsia"/>
                      <w:color w:val="auto"/>
                      <w:szCs w:val="21"/>
                      <w:highlight w:val="none"/>
                    </w:rPr>
                    <w:t>（t/a）</w:t>
                  </w:r>
                </w:p>
              </w:tc>
              <w:tc>
                <w:tcPr>
                  <w:tcW w:w="450" w:type="pct"/>
                  <w:vMerge w:val="restart"/>
                  <w:vAlign w:val="center"/>
                </w:tcPr>
                <w:p w14:paraId="33CD4DFE">
                  <w:pPr>
                    <w:widowControl/>
                    <w:jc w:val="center"/>
                    <w:rPr>
                      <w:color w:val="auto"/>
                      <w:szCs w:val="21"/>
                      <w:highlight w:val="none"/>
                    </w:rPr>
                  </w:pPr>
                  <w:r>
                    <w:rPr>
                      <w:rFonts w:hint="eastAsia"/>
                      <w:color w:val="auto"/>
                      <w:szCs w:val="21"/>
                      <w:highlight w:val="none"/>
                    </w:rPr>
                    <w:t>最大储存量t</w:t>
                  </w:r>
                </w:p>
              </w:tc>
              <w:tc>
                <w:tcPr>
                  <w:tcW w:w="660" w:type="pct"/>
                  <w:vMerge w:val="restart"/>
                  <w:vAlign w:val="center"/>
                </w:tcPr>
                <w:p w14:paraId="3FDBEF42">
                  <w:pPr>
                    <w:widowControl/>
                    <w:jc w:val="center"/>
                    <w:rPr>
                      <w:color w:val="auto"/>
                      <w:szCs w:val="21"/>
                      <w:highlight w:val="none"/>
                    </w:rPr>
                  </w:pPr>
                  <w:r>
                    <w:rPr>
                      <w:rFonts w:hint="eastAsia"/>
                      <w:color w:val="auto"/>
                      <w:szCs w:val="21"/>
                      <w:highlight w:val="none"/>
                    </w:rPr>
                    <w:t>备注</w:t>
                  </w:r>
                </w:p>
              </w:tc>
            </w:tr>
            <w:tr w14:paraId="2300F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continue"/>
                  <w:vAlign w:val="center"/>
                </w:tcPr>
                <w:p w14:paraId="5C23C9B4">
                  <w:pPr>
                    <w:widowControl/>
                    <w:jc w:val="center"/>
                    <w:rPr>
                      <w:color w:val="auto"/>
                      <w:highlight w:val="none"/>
                    </w:rPr>
                  </w:pPr>
                </w:p>
              </w:tc>
              <w:tc>
                <w:tcPr>
                  <w:tcW w:w="586" w:type="pct"/>
                  <w:vMerge w:val="continue"/>
                  <w:vAlign w:val="center"/>
                </w:tcPr>
                <w:p w14:paraId="32723C17">
                  <w:pPr>
                    <w:widowControl/>
                    <w:jc w:val="center"/>
                    <w:rPr>
                      <w:color w:val="auto"/>
                      <w:highlight w:val="none"/>
                    </w:rPr>
                  </w:pPr>
                </w:p>
              </w:tc>
              <w:tc>
                <w:tcPr>
                  <w:tcW w:w="1284" w:type="pct"/>
                  <w:vMerge w:val="continue"/>
                  <w:vAlign w:val="center"/>
                </w:tcPr>
                <w:p w14:paraId="11E383BE">
                  <w:pPr>
                    <w:widowControl/>
                    <w:jc w:val="center"/>
                    <w:rPr>
                      <w:color w:val="auto"/>
                      <w:highlight w:val="none"/>
                    </w:rPr>
                  </w:pPr>
                </w:p>
              </w:tc>
              <w:tc>
                <w:tcPr>
                  <w:tcW w:w="347" w:type="pct"/>
                  <w:vMerge w:val="continue"/>
                  <w:vAlign w:val="center"/>
                </w:tcPr>
                <w:p w14:paraId="1DF29C85">
                  <w:pPr>
                    <w:widowControl/>
                    <w:jc w:val="center"/>
                    <w:rPr>
                      <w:color w:val="auto"/>
                      <w:highlight w:val="none"/>
                    </w:rPr>
                  </w:pPr>
                </w:p>
              </w:tc>
              <w:tc>
                <w:tcPr>
                  <w:tcW w:w="487" w:type="pct"/>
                  <w:vAlign w:val="center"/>
                </w:tcPr>
                <w:p w14:paraId="771C71FE">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现有项目</w:t>
                  </w:r>
                </w:p>
              </w:tc>
              <w:tc>
                <w:tcPr>
                  <w:tcW w:w="468" w:type="pct"/>
                  <w:vAlign w:val="center"/>
                </w:tcPr>
                <w:p w14:paraId="11305CF5">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扩建项目</w:t>
                  </w:r>
                </w:p>
              </w:tc>
              <w:tc>
                <w:tcPr>
                  <w:tcW w:w="433" w:type="pct"/>
                  <w:vAlign w:val="center"/>
                </w:tcPr>
                <w:p w14:paraId="747262D3">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扩建全厂</w:t>
                  </w:r>
                </w:p>
              </w:tc>
              <w:tc>
                <w:tcPr>
                  <w:tcW w:w="450" w:type="pct"/>
                  <w:vMerge w:val="continue"/>
                  <w:vAlign w:val="center"/>
                </w:tcPr>
                <w:p w14:paraId="18FB0B76">
                  <w:pPr>
                    <w:widowControl/>
                    <w:jc w:val="center"/>
                    <w:rPr>
                      <w:rFonts w:hint="eastAsia"/>
                      <w:color w:val="auto"/>
                      <w:szCs w:val="21"/>
                      <w:highlight w:val="none"/>
                    </w:rPr>
                  </w:pPr>
                </w:p>
              </w:tc>
              <w:tc>
                <w:tcPr>
                  <w:tcW w:w="660" w:type="pct"/>
                  <w:vMerge w:val="continue"/>
                  <w:vAlign w:val="center"/>
                </w:tcPr>
                <w:p w14:paraId="771AF3BB">
                  <w:pPr>
                    <w:widowControl/>
                    <w:jc w:val="center"/>
                    <w:rPr>
                      <w:rFonts w:hint="eastAsia"/>
                      <w:color w:val="auto"/>
                      <w:szCs w:val="21"/>
                      <w:highlight w:val="none"/>
                    </w:rPr>
                  </w:pPr>
                </w:p>
              </w:tc>
            </w:tr>
            <w:tr w14:paraId="7DD1B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2A2B813C">
                  <w:pPr>
                    <w:widowControl/>
                    <w:jc w:val="center"/>
                    <w:rPr>
                      <w:color w:val="auto"/>
                      <w:szCs w:val="21"/>
                      <w:highlight w:val="none"/>
                    </w:rPr>
                  </w:pPr>
                  <w:r>
                    <w:rPr>
                      <w:color w:val="auto"/>
                      <w:szCs w:val="21"/>
                      <w:highlight w:val="none"/>
                    </w:rPr>
                    <w:t>1</w:t>
                  </w:r>
                </w:p>
              </w:tc>
              <w:tc>
                <w:tcPr>
                  <w:tcW w:w="586" w:type="pct"/>
                  <w:vAlign w:val="center"/>
                </w:tcPr>
                <w:p w14:paraId="319AF11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热轧钢坯</w:t>
                  </w:r>
                </w:p>
              </w:tc>
              <w:tc>
                <w:tcPr>
                  <w:tcW w:w="1284" w:type="pct"/>
                  <w:vAlign w:val="center"/>
                </w:tcPr>
                <w:p w14:paraId="1144882B">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347" w:type="pct"/>
                  <w:vAlign w:val="center"/>
                </w:tcPr>
                <w:p w14:paraId="17B1662B">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487" w:type="pct"/>
                  <w:vAlign w:val="center"/>
                </w:tcPr>
                <w:p w14:paraId="05FAC5F9">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30000</w:t>
                  </w:r>
                </w:p>
              </w:tc>
              <w:tc>
                <w:tcPr>
                  <w:tcW w:w="468" w:type="pct"/>
                  <w:vAlign w:val="center"/>
                </w:tcPr>
                <w:p w14:paraId="47F32326">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74C97FA6">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30000</w:t>
                  </w:r>
                </w:p>
              </w:tc>
              <w:tc>
                <w:tcPr>
                  <w:tcW w:w="450" w:type="pct"/>
                  <w:vAlign w:val="center"/>
                </w:tcPr>
                <w:p w14:paraId="0E0A7A2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1000</w:t>
                  </w:r>
                </w:p>
              </w:tc>
              <w:tc>
                <w:tcPr>
                  <w:tcW w:w="660" w:type="pct"/>
                  <w:vAlign w:val="center"/>
                </w:tcPr>
                <w:p w14:paraId="42F201D1">
                  <w:pPr>
                    <w:widowControl/>
                    <w:jc w:val="center"/>
                    <w:rPr>
                      <w:color w:val="auto"/>
                      <w:szCs w:val="21"/>
                      <w:highlight w:val="none"/>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49E0D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59F99B2C">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586" w:type="pct"/>
                  <w:vAlign w:val="center"/>
                </w:tcPr>
                <w:p w14:paraId="01F19AFA">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盐酸</w:t>
                  </w:r>
                </w:p>
              </w:tc>
              <w:tc>
                <w:tcPr>
                  <w:tcW w:w="1284" w:type="pct"/>
                  <w:vAlign w:val="center"/>
                </w:tcPr>
                <w:p w14:paraId="3D4B4D0D">
                  <w:pPr>
                    <w:widowControl/>
                    <w:jc w:val="center"/>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32%</w:t>
                  </w:r>
                </w:p>
              </w:tc>
              <w:tc>
                <w:tcPr>
                  <w:tcW w:w="347" w:type="pct"/>
                  <w:vAlign w:val="center"/>
                </w:tcPr>
                <w:p w14:paraId="1197A443">
                  <w:pPr>
                    <w:jc w:val="center"/>
                    <w:rPr>
                      <w:rFonts w:hint="eastAsia" w:ascii="Times New Roman" w:hAnsi="Times New Roman"/>
                      <w:color w:val="auto"/>
                      <w:sz w:val="21"/>
                      <w:szCs w:val="21"/>
                      <w:highlight w:val="none"/>
                    </w:rPr>
                  </w:pPr>
                  <w:r>
                    <w:rPr>
                      <w:rFonts w:hint="eastAsia"/>
                      <w:color w:val="auto"/>
                      <w:kern w:val="0"/>
                      <w:szCs w:val="21"/>
                      <w:highlight w:val="none"/>
                      <w:lang w:val="en-US" w:eastAsia="zh-CN"/>
                    </w:rPr>
                    <w:t>罐装</w:t>
                  </w:r>
                </w:p>
              </w:tc>
              <w:tc>
                <w:tcPr>
                  <w:tcW w:w="487" w:type="pct"/>
                  <w:vAlign w:val="center"/>
                </w:tcPr>
                <w:p w14:paraId="28D8DE6F">
                  <w:pPr>
                    <w:widowControl/>
                    <w:jc w:val="center"/>
                    <w:rPr>
                      <w:rFonts w:hint="default"/>
                      <w:color w:val="auto"/>
                      <w:szCs w:val="21"/>
                      <w:highlight w:val="none"/>
                      <w:lang w:val="en-US" w:eastAsia="zh-CN"/>
                    </w:rPr>
                  </w:pPr>
                  <w:r>
                    <w:rPr>
                      <w:rFonts w:hint="eastAsia"/>
                      <w:color w:val="auto"/>
                      <w:szCs w:val="21"/>
                      <w:highlight w:val="none"/>
                      <w:lang w:val="en-US" w:eastAsia="zh-CN"/>
                    </w:rPr>
                    <w:t>500</w:t>
                  </w:r>
                </w:p>
              </w:tc>
              <w:tc>
                <w:tcPr>
                  <w:tcW w:w="468" w:type="pct"/>
                  <w:vAlign w:val="center"/>
                </w:tcPr>
                <w:p w14:paraId="1D98E6AD">
                  <w:pPr>
                    <w:widowControl/>
                    <w:jc w:val="center"/>
                    <w:rPr>
                      <w:rFonts w:hint="eastAsia"/>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67432C85">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500</w:t>
                  </w:r>
                </w:p>
              </w:tc>
              <w:tc>
                <w:tcPr>
                  <w:tcW w:w="450" w:type="pct"/>
                  <w:vAlign w:val="center"/>
                </w:tcPr>
                <w:p w14:paraId="7D4A5442">
                  <w:pPr>
                    <w:widowControl/>
                    <w:jc w:val="center"/>
                    <w:rPr>
                      <w:rFonts w:hint="default"/>
                      <w:color w:val="auto"/>
                      <w:szCs w:val="21"/>
                      <w:highlight w:val="none"/>
                      <w:lang w:val="en-US" w:eastAsia="zh-CN"/>
                    </w:rPr>
                  </w:pPr>
                  <w:r>
                    <w:rPr>
                      <w:rFonts w:hint="eastAsia"/>
                      <w:color w:val="auto"/>
                      <w:szCs w:val="21"/>
                      <w:highlight w:val="none"/>
                      <w:lang w:val="en-US" w:eastAsia="zh-CN"/>
                    </w:rPr>
                    <w:t>60</w:t>
                  </w:r>
                </w:p>
              </w:tc>
              <w:tc>
                <w:tcPr>
                  <w:tcW w:w="660" w:type="pct"/>
                  <w:vAlign w:val="center"/>
                </w:tcPr>
                <w:p w14:paraId="49B60673">
                  <w:pPr>
                    <w:widowControl/>
                    <w:jc w:val="center"/>
                    <w:rPr>
                      <w:rFonts w:hint="eastAsia"/>
                      <w:color w:val="auto"/>
                      <w:szCs w:val="21"/>
                      <w:highlight w:val="none"/>
                      <w:lang w:val="en-US" w:eastAsia="zh-CN"/>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795B7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63A93EDE">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586" w:type="pct"/>
                  <w:vAlign w:val="center"/>
                </w:tcPr>
                <w:p w14:paraId="546FFA9C">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片碱</w:t>
                  </w:r>
                </w:p>
              </w:tc>
              <w:tc>
                <w:tcPr>
                  <w:tcW w:w="1284" w:type="pct"/>
                  <w:vAlign w:val="center"/>
                </w:tcPr>
                <w:p w14:paraId="27F66547">
                  <w:pPr>
                    <w:widowControl/>
                    <w:jc w:val="center"/>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固体片碱</w:t>
                  </w:r>
                </w:p>
              </w:tc>
              <w:tc>
                <w:tcPr>
                  <w:tcW w:w="347" w:type="pct"/>
                  <w:vAlign w:val="center"/>
                </w:tcPr>
                <w:p w14:paraId="171B4F30">
                  <w:pPr>
                    <w:jc w:val="center"/>
                    <w:rPr>
                      <w:rFonts w:hint="eastAsia" w:ascii="Times New Roman" w:hAnsi="Times New Roman"/>
                      <w:color w:val="auto"/>
                      <w:sz w:val="21"/>
                      <w:szCs w:val="21"/>
                      <w:highlight w:val="none"/>
                    </w:rPr>
                  </w:pPr>
                  <w:r>
                    <w:rPr>
                      <w:rFonts w:hint="eastAsia"/>
                      <w:color w:val="auto"/>
                      <w:kern w:val="0"/>
                      <w:szCs w:val="21"/>
                      <w:lang w:val="en-US" w:eastAsia="zh-CN"/>
                    </w:rPr>
                    <w:t>袋装</w:t>
                  </w:r>
                </w:p>
              </w:tc>
              <w:tc>
                <w:tcPr>
                  <w:tcW w:w="487" w:type="pct"/>
                  <w:vAlign w:val="center"/>
                </w:tcPr>
                <w:p w14:paraId="0554D7C1">
                  <w:pPr>
                    <w:widowControl/>
                    <w:jc w:val="center"/>
                    <w:rPr>
                      <w:rFonts w:hint="default"/>
                      <w:color w:val="auto"/>
                      <w:szCs w:val="21"/>
                      <w:highlight w:val="none"/>
                      <w:lang w:val="en-US" w:eastAsia="zh-CN"/>
                    </w:rPr>
                  </w:pPr>
                  <w:r>
                    <w:rPr>
                      <w:rFonts w:hint="eastAsia"/>
                      <w:color w:val="auto"/>
                      <w:szCs w:val="21"/>
                      <w:highlight w:val="none"/>
                      <w:lang w:val="en-US" w:eastAsia="zh-CN"/>
                    </w:rPr>
                    <w:t>1.5</w:t>
                  </w:r>
                </w:p>
              </w:tc>
              <w:tc>
                <w:tcPr>
                  <w:tcW w:w="468" w:type="pct"/>
                  <w:vAlign w:val="center"/>
                </w:tcPr>
                <w:p w14:paraId="75942A21">
                  <w:pPr>
                    <w:widowControl/>
                    <w:jc w:val="center"/>
                    <w:rPr>
                      <w:rFonts w:hint="eastAsia"/>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37AD44D4">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1.5</w:t>
                  </w:r>
                </w:p>
              </w:tc>
              <w:tc>
                <w:tcPr>
                  <w:tcW w:w="450" w:type="pct"/>
                  <w:vAlign w:val="center"/>
                </w:tcPr>
                <w:p w14:paraId="7EEFF003">
                  <w:pPr>
                    <w:widowControl/>
                    <w:jc w:val="center"/>
                    <w:rPr>
                      <w:rFonts w:hint="default"/>
                      <w:color w:val="auto"/>
                      <w:szCs w:val="21"/>
                      <w:highlight w:val="none"/>
                      <w:lang w:val="en-US" w:eastAsia="zh-CN"/>
                    </w:rPr>
                  </w:pPr>
                  <w:r>
                    <w:rPr>
                      <w:rFonts w:hint="eastAsia"/>
                      <w:color w:val="auto"/>
                      <w:szCs w:val="21"/>
                      <w:highlight w:val="none"/>
                      <w:lang w:val="en-US" w:eastAsia="zh-CN"/>
                    </w:rPr>
                    <w:t>0.1</w:t>
                  </w:r>
                </w:p>
              </w:tc>
              <w:tc>
                <w:tcPr>
                  <w:tcW w:w="660" w:type="pct"/>
                  <w:vAlign w:val="center"/>
                </w:tcPr>
                <w:p w14:paraId="1F13BE8D">
                  <w:pPr>
                    <w:widowControl/>
                    <w:jc w:val="center"/>
                    <w:rPr>
                      <w:rFonts w:hint="eastAsia"/>
                      <w:color w:val="auto"/>
                      <w:szCs w:val="21"/>
                      <w:highlight w:val="none"/>
                      <w:lang w:val="en-US" w:eastAsia="zh-CN"/>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73CDD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335CDA41">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586" w:type="pct"/>
                  <w:vAlign w:val="center"/>
                </w:tcPr>
                <w:p w14:paraId="3A2C119A">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焊丝</w:t>
                  </w:r>
                </w:p>
              </w:tc>
              <w:tc>
                <w:tcPr>
                  <w:tcW w:w="1284" w:type="pct"/>
                  <w:vAlign w:val="center"/>
                </w:tcPr>
                <w:p w14:paraId="718D461E">
                  <w:pPr>
                    <w:widowControl/>
                    <w:jc w:val="center"/>
                    <w:rPr>
                      <w:rFonts w:hint="eastAsia" w:ascii="Times New Roman"/>
                      <w:color w:val="auto"/>
                      <w:sz w:val="21"/>
                      <w:szCs w:val="21"/>
                      <w:highlight w:val="none"/>
                    </w:rPr>
                  </w:pPr>
                </w:p>
              </w:tc>
              <w:tc>
                <w:tcPr>
                  <w:tcW w:w="347" w:type="pct"/>
                  <w:vAlign w:val="center"/>
                </w:tcPr>
                <w:p w14:paraId="0A730B4C">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487" w:type="pct"/>
                  <w:vAlign w:val="center"/>
                </w:tcPr>
                <w:p w14:paraId="23ACAAB6">
                  <w:pPr>
                    <w:widowControl/>
                    <w:jc w:val="center"/>
                    <w:rPr>
                      <w:rFonts w:hint="default"/>
                      <w:color w:val="auto"/>
                      <w:szCs w:val="21"/>
                      <w:highlight w:val="none"/>
                      <w:lang w:val="en-US" w:eastAsia="zh-CN"/>
                    </w:rPr>
                  </w:pPr>
                  <w:r>
                    <w:rPr>
                      <w:rFonts w:hint="eastAsia"/>
                      <w:color w:val="auto"/>
                      <w:szCs w:val="21"/>
                      <w:highlight w:val="none"/>
                      <w:lang w:val="en-US" w:eastAsia="zh-CN"/>
                    </w:rPr>
                    <w:t>1</w:t>
                  </w:r>
                </w:p>
              </w:tc>
              <w:tc>
                <w:tcPr>
                  <w:tcW w:w="468" w:type="pct"/>
                  <w:vAlign w:val="center"/>
                </w:tcPr>
                <w:p w14:paraId="244309AC">
                  <w:pPr>
                    <w:widowControl/>
                    <w:jc w:val="center"/>
                    <w:rPr>
                      <w:rFonts w:hint="eastAsia"/>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35BA56E2">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450" w:type="pct"/>
                  <w:vAlign w:val="center"/>
                </w:tcPr>
                <w:p w14:paraId="606ECD11">
                  <w:pPr>
                    <w:widowControl/>
                    <w:jc w:val="center"/>
                    <w:rPr>
                      <w:rFonts w:hint="default"/>
                      <w:color w:val="auto"/>
                      <w:szCs w:val="21"/>
                      <w:highlight w:val="none"/>
                      <w:lang w:val="en-US" w:eastAsia="zh-CN"/>
                    </w:rPr>
                  </w:pPr>
                  <w:r>
                    <w:rPr>
                      <w:rFonts w:hint="eastAsia"/>
                      <w:color w:val="auto"/>
                      <w:szCs w:val="21"/>
                      <w:highlight w:val="none"/>
                      <w:lang w:val="en-US" w:eastAsia="zh-CN"/>
                    </w:rPr>
                    <w:t>0.1</w:t>
                  </w:r>
                </w:p>
              </w:tc>
              <w:tc>
                <w:tcPr>
                  <w:tcW w:w="660" w:type="pct"/>
                  <w:vAlign w:val="center"/>
                </w:tcPr>
                <w:p w14:paraId="52AED089">
                  <w:pPr>
                    <w:widowControl/>
                    <w:jc w:val="center"/>
                    <w:rPr>
                      <w:rFonts w:hint="eastAsia"/>
                      <w:color w:val="auto"/>
                      <w:szCs w:val="21"/>
                      <w:highlight w:val="none"/>
                      <w:lang w:val="en-US" w:eastAsia="zh-CN"/>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7CBF3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0B403EB7">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586" w:type="pct"/>
                  <w:vAlign w:val="center"/>
                </w:tcPr>
                <w:p w14:paraId="4CF60F94">
                  <w:pPr>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生石灰</w:t>
                  </w:r>
                </w:p>
              </w:tc>
              <w:tc>
                <w:tcPr>
                  <w:tcW w:w="1284" w:type="pct"/>
                  <w:vAlign w:val="center"/>
                </w:tcPr>
                <w:p w14:paraId="6EC5CDC7">
                  <w:pPr>
                    <w:widowControl/>
                    <w:jc w:val="center"/>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固体氧化钙</w:t>
                  </w:r>
                </w:p>
              </w:tc>
              <w:tc>
                <w:tcPr>
                  <w:tcW w:w="347" w:type="pct"/>
                  <w:vAlign w:val="center"/>
                </w:tcPr>
                <w:p w14:paraId="057E1338">
                  <w:pPr>
                    <w:jc w:val="center"/>
                    <w:rPr>
                      <w:rFonts w:hint="eastAsia" w:ascii="Times New Roman" w:hAnsi="Times New Roman"/>
                      <w:color w:val="auto"/>
                      <w:sz w:val="21"/>
                      <w:szCs w:val="21"/>
                      <w:highlight w:val="none"/>
                    </w:rPr>
                  </w:pPr>
                  <w:r>
                    <w:rPr>
                      <w:rFonts w:hint="eastAsia"/>
                      <w:color w:val="auto"/>
                      <w:kern w:val="0"/>
                      <w:szCs w:val="21"/>
                      <w:lang w:val="en-US" w:eastAsia="zh-CN"/>
                    </w:rPr>
                    <w:t>袋装</w:t>
                  </w:r>
                </w:p>
              </w:tc>
              <w:tc>
                <w:tcPr>
                  <w:tcW w:w="487" w:type="pct"/>
                  <w:vAlign w:val="center"/>
                </w:tcPr>
                <w:p w14:paraId="4A6A6E48">
                  <w:pPr>
                    <w:widowControl/>
                    <w:jc w:val="center"/>
                    <w:rPr>
                      <w:rFonts w:hint="default"/>
                      <w:color w:val="auto"/>
                      <w:szCs w:val="21"/>
                      <w:highlight w:val="none"/>
                      <w:lang w:val="en-US" w:eastAsia="zh-CN"/>
                    </w:rPr>
                  </w:pPr>
                  <w:r>
                    <w:rPr>
                      <w:rFonts w:hint="eastAsia"/>
                      <w:color w:val="auto"/>
                      <w:szCs w:val="21"/>
                      <w:highlight w:val="none"/>
                      <w:lang w:val="en-US" w:eastAsia="zh-CN"/>
                    </w:rPr>
                    <w:t>9</w:t>
                  </w:r>
                </w:p>
              </w:tc>
              <w:tc>
                <w:tcPr>
                  <w:tcW w:w="468" w:type="pct"/>
                  <w:vAlign w:val="center"/>
                </w:tcPr>
                <w:p w14:paraId="41A32747">
                  <w:pPr>
                    <w:widowControl/>
                    <w:jc w:val="center"/>
                    <w:rPr>
                      <w:rFonts w:hint="eastAsia"/>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2EA3A6E7">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9</w:t>
                  </w:r>
                </w:p>
              </w:tc>
              <w:tc>
                <w:tcPr>
                  <w:tcW w:w="450" w:type="pct"/>
                  <w:vAlign w:val="center"/>
                </w:tcPr>
                <w:p w14:paraId="3C1DCD07">
                  <w:pPr>
                    <w:widowControl/>
                    <w:jc w:val="center"/>
                    <w:rPr>
                      <w:rFonts w:hint="default"/>
                      <w:color w:val="auto"/>
                      <w:szCs w:val="21"/>
                      <w:highlight w:val="none"/>
                      <w:lang w:val="en-US" w:eastAsia="zh-CN"/>
                    </w:rPr>
                  </w:pPr>
                  <w:r>
                    <w:rPr>
                      <w:rFonts w:hint="eastAsia"/>
                      <w:color w:val="auto"/>
                      <w:szCs w:val="21"/>
                      <w:highlight w:val="none"/>
                      <w:lang w:val="en-US" w:eastAsia="zh-CN"/>
                    </w:rPr>
                    <w:t>1</w:t>
                  </w:r>
                </w:p>
              </w:tc>
              <w:tc>
                <w:tcPr>
                  <w:tcW w:w="660" w:type="pct"/>
                  <w:vAlign w:val="center"/>
                </w:tcPr>
                <w:p w14:paraId="5432AE65">
                  <w:pPr>
                    <w:widowControl/>
                    <w:jc w:val="center"/>
                    <w:rPr>
                      <w:rFonts w:hint="eastAsia"/>
                      <w:color w:val="auto"/>
                      <w:szCs w:val="21"/>
                      <w:highlight w:val="none"/>
                      <w:lang w:val="en-US" w:eastAsia="zh-CN"/>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2D9BC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4497C079">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586" w:type="pct"/>
                  <w:vAlign w:val="center"/>
                </w:tcPr>
                <w:p w14:paraId="6B00CF9A">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PAM</w:t>
                  </w:r>
                </w:p>
              </w:tc>
              <w:tc>
                <w:tcPr>
                  <w:tcW w:w="1284" w:type="pct"/>
                  <w:vAlign w:val="center"/>
                </w:tcPr>
                <w:p w14:paraId="33352065">
                  <w:pPr>
                    <w:widowControl/>
                    <w:jc w:val="center"/>
                    <w:rPr>
                      <w:rFonts w:hint="eastAsia" w:ascii="Times New Roman"/>
                      <w:color w:val="auto"/>
                      <w:sz w:val="21"/>
                      <w:szCs w:val="21"/>
                      <w:highlight w:val="none"/>
                    </w:rPr>
                  </w:pPr>
                  <w:r>
                    <w:rPr>
                      <w:rFonts w:hint="eastAsia"/>
                      <w:color w:val="auto"/>
                      <w:szCs w:val="21"/>
                      <w:highlight w:val="none"/>
                      <w:lang w:val="en-US" w:eastAsia="zh-CN"/>
                    </w:rPr>
                    <w:t>/</w:t>
                  </w:r>
                </w:p>
              </w:tc>
              <w:tc>
                <w:tcPr>
                  <w:tcW w:w="347" w:type="pct"/>
                  <w:vAlign w:val="center"/>
                </w:tcPr>
                <w:p w14:paraId="365B8D9A">
                  <w:pPr>
                    <w:jc w:val="center"/>
                    <w:rPr>
                      <w:rFonts w:hint="eastAsia" w:ascii="Times New Roman" w:hAnsi="Times New Roman"/>
                      <w:color w:val="auto"/>
                      <w:sz w:val="21"/>
                      <w:szCs w:val="21"/>
                      <w:highlight w:val="none"/>
                    </w:rPr>
                  </w:pPr>
                  <w:r>
                    <w:rPr>
                      <w:rFonts w:hint="eastAsia"/>
                      <w:color w:val="auto"/>
                      <w:kern w:val="0"/>
                      <w:szCs w:val="21"/>
                      <w:lang w:val="en-US" w:eastAsia="zh-CN"/>
                    </w:rPr>
                    <w:t>袋装</w:t>
                  </w:r>
                </w:p>
              </w:tc>
              <w:tc>
                <w:tcPr>
                  <w:tcW w:w="487" w:type="pct"/>
                  <w:vAlign w:val="center"/>
                </w:tcPr>
                <w:p w14:paraId="4818D050">
                  <w:pPr>
                    <w:widowControl/>
                    <w:jc w:val="center"/>
                    <w:rPr>
                      <w:rFonts w:hint="default"/>
                      <w:color w:val="auto"/>
                      <w:szCs w:val="21"/>
                      <w:highlight w:val="none"/>
                      <w:lang w:val="en-US" w:eastAsia="zh-CN"/>
                    </w:rPr>
                  </w:pPr>
                  <w:r>
                    <w:rPr>
                      <w:rFonts w:hint="eastAsia"/>
                      <w:color w:val="auto"/>
                      <w:szCs w:val="21"/>
                      <w:highlight w:val="none"/>
                      <w:lang w:val="en-US" w:eastAsia="zh-CN"/>
                    </w:rPr>
                    <w:t>1</w:t>
                  </w:r>
                </w:p>
              </w:tc>
              <w:tc>
                <w:tcPr>
                  <w:tcW w:w="468" w:type="pct"/>
                  <w:vAlign w:val="center"/>
                </w:tcPr>
                <w:p w14:paraId="1829FBFB">
                  <w:pPr>
                    <w:widowControl/>
                    <w:jc w:val="center"/>
                    <w:rPr>
                      <w:rFonts w:hint="eastAsia"/>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4A1EE040">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450" w:type="pct"/>
                  <w:vAlign w:val="center"/>
                </w:tcPr>
                <w:p w14:paraId="79AB06EB">
                  <w:pPr>
                    <w:widowControl/>
                    <w:jc w:val="center"/>
                    <w:rPr>
                      <w:rFonts w:hint="default"/>
                      <w:color w:val="auto"/>
                      <w:szCs w:val="21"/>
                      <w:highlight w:val="none"/>
                      <w:lang w:val="en-US" w:eastAsia="zh-CN"/>
                    </w:rPr>
                  </w:pPr>
                  <w:r>
                    <w:rPr>
                      <w:rFonts w:hint="eastAsia"/>
                      <w:color w:val="auto"/>
                      <w:szCs w:val="21"/>
                      <w:highlight w:val="none"/>
                      <w:lang w:val="en-US" w:eastAsia="zh-CN"/>
                    </w:rPr>
                    <w:t>0.1</w:t>
                  </w:r>
                </w:p>
              </w:tc>
              <w:tc>
                <w:tcPr>
                  <w:tcW w:w="660" w:type="pct"/>
                  <w:vAlign w:val="center"/>
                </w:tcPr>
                <w:p w14:paraId="6422161F">
                  <w:pPr>
                    <w:widowControl/>
                    <w:jc w:val="center"/>
                    <w:rPr>
                      <w:rFonts w:hint="eastAsia"/>
                      <w:color w:val="auto"/>
                      <w:szCs w:val="21"/>
                      <w:highlight w:val="none"/>
                      <w:lang w:val="en-US" w:eastAsia="zh-CN"/>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6880A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30605F34">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7</w:t>
                  </w:r>
                </w:p>
              </w:tc>
              <w:tc>
                <w:tcPr>
                  <w:tcW w:w="586" w:type="pct"/>
                  <w:vAlign w:val="center"/>
                </w:tcPr>
                <w:p w14:paraId="4A78A958">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冲压件</w:t>
                  </w:r>
                </w:p>
              </w:tc>
              <w:tc>
                <w:tcPr>
                  <w:tcW w:w="1284" w:type="pct"/>
                  <w:vAlign w:val="center"/>
                </w:tcPr>
                <w:p w14:paraId="1F8EFD84">
                  <w:pPr>
                    <w:widowControl/>
                    <w:jc w:val="center"/>
                    <w:rPr>
                      <w:rFonts w:hint="eastAsia" w:ascii="Times New Roman"/>
                      <w:color w:val="auto"/>
                      <w:sz w:val="21"/>
                      <w:szCs w:val="21"/>
                      <w:highlight w:val="none"/>
                    </w:rPr>
                  </w:pPr>
                  <w:r>
                    <w:rPr>
                      <w:rFonts w:hint="eastAsia"/>
                      <w:color w:val="auto"/>
                      <w:szCs w:val="21"/>
                      <w:highlight w:val="none"/>
                      <w:lang w:val="en-US" w:eastAsia="zh-CN"/>
                    </w:rPr>
                    <w:t>/</w:t>
                  </w:r>
                </w:p>
              </w:tc>
              <w:tc>
                <w:tcPr>
                  <w:tcW w:w="347" w:type="pct"/>
                  <w:vAlign w:val="center"/>
                </w:tcPr>
                <w:p w14:paraId="665FD670">
                  <w:pPr>
                    <w:jc w:val="center"/>
                    <w:rPr>
                      <w:rFonts w:hint="eastAsia" w:ascii="Times New Roman" w:hAnsi="Times New Roman"/>
                      <w:color w:val="auto"/>
                      <w:sz w:val="21"/>
                      <w:szCs w:val="21"/>
                      <w:highlight w:val="none"/>
                    </w:rPr>
                  </w:pPr>
                </w:p>
              </w:tc>
              <w:tc>
                <w:tcPr>
                  <w:tcW w:w="487" w:type="pct"/>
                  <w:vAlign w:val="center"/>
                </w:tcPr>
                <w:p w14:paraId="0A827C58">
                  <w:pPr>
                    <w:widowControl/>
                    <w:jc w:val="center"/>
                    <w:rPr>
                      <w:rFonts w:hint="default"/>
                      <w:color w:val="auto"/>
                      <w:szCs w:val="21"/>
                      <w:highlight w:val="none"/>
                      <w:lang w:val="en-US" w:eastAsia="zh-CN"/>
                    </w:rPr>
                  </w:pPr>
                  <w:r>
                    <w:rPr>
                      <w:rFonts w:hint="eastAsia"/>
                      <w:color w:val="auto"/>
                      <w:szCs w:val="21"/>
                      <w:highlight w:val="none"/>
                      <w:lang w:val="en-US" w:eastAsia="zh-CN"/>
                    </w:rPr>
                    <w:t>8900</w:t>
                  </w:r>
                </w:p>
              </w:tc>
              <w:tc>
                <w:tcPr>
                  <w:tcW w:w="468" w:type="pct"/>
                  <w:vAlign w:val="center"/>
                </w:tcPr>
                <w:p w14:paraId="1C40E6AA">
                  <w:pPr>
                    <w:widowControl/>
                    <w:jc w:val="center"/>
                    <w:rPr>
                      <w:rFonts w:hint="eastAsia"/>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5C12FDCF">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8900</w:t>
                  </w:r>
                </w:p>
              </w:tc>
              <w:tc>
                <w:tcPr>
                  <w:tcW w:w="450" w:type="pct"/>
                  <w:vAlign w:val="center"/>
                </w:tcPr>
                <w:p w14:paraId="26149F82">
                  <w:pPr>
                    <w:widowControl/>
                    <w:jc w:val="center"/>
                    <w:rPr>
                      <w:rFonts w:hint="default"/>
                      <w:color w:val="auto"/>
                      <w:szCs w:val="21"/>
                      <w:highlight w:val="none"/>
                      <w:lang w:val="en-US" w:eastAsia="zh-CN"/>
                    </w:rPr>
                  </w:pPr>
                  <w:r>
                    <w:rPr>
                      <w:rFonts w:hint="eastAsia"/>
                      <w:color w:val="auto"/>
                      <w:szCs w:val="21"/>
                      <w:highlight w:val="none"/>
                      <w:lang w:val="en-US" w:eastAsia="zh-CN"/>
                    </w:rPr>
                    <w:t>/</w:t>
                  </w:r>
                </w:p>
              </w:tc>
              <w:tc>
                <w:tcPr>
                  <w:tcW w:w="660" w:type="pct"/>
                  <w:vAlign w:val="center"/>
                </w:tcPr>
                <w:p w14:paraId="28F07FF2">
                  <w:pPr>
                    <w:widowControl/>
                    <w:jc w:val="center"/>
                    <w:rPr>
                      <w:rFonts w:hint="default"/>
                      <w:color w:val="auto"/>
                      <w:szCs w:val="21"/>
                      <w:highlight w:val="none"/>
                      <w:lang w:val="en-US" w:eastAsia="zh-CN"/>
                    </w:rPr>
                  </w:pPr>
                  <w:r>
                    <w:rPr>
                      <w:rFonts w:hint="eastAsia"/>
                      <w:color w:val="auto"/>
                      <w:szCs w:val="21"/>
                      <w:highlight w:val="none"/>
                      <w:lang w:val="en-US" w:eastAsia="zh-CN"/>
                    </w:rPr>
                    <w:t>现有项目生产成品</w:t>
                  </w:r>
                </w:p>
              </w:tc>
            </w:tr>
            <w:tr w14:paraId="100B8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60C758AF">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586" w:type="pct"/>
                  <w:vAlign w:val="center"/>
                </w:tcPr>
                <w:p w14:paraId="73960E73">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焊条</w:t>
                  </w:r>
                </w:p>
              </w:tc>
              <w:tc>
                <w:tcPr>
                  <w:tcW w:w="1284" w:type="pct"/>
                  <w:vAlign w:val="center"/>
                </w:tcPr>
                <w:p w14:paraId="07872DBC">
                  <w:pPr>
                    <w:widowControl/>
                    <w:jc w:val="center"/>
                    <w:rPr>
                      <w:rFonts w:hint="eastAsia" w:ascii="Times New Roman"/>
                      <w:color w:val="auto"/>
                      <w:sz w:val="21"/>
                      <w:szCs w:val="21"/>
                      <w:highlight w:val="none"/>
                    </w:rPr>
                  </w:pPr>
                  <w:r>
                    <w:rPr>
                      <w:rFonts w:hint="eastAsia"/>
                      <w:color w:val="auto"/>
                      <w:szCs w:val="21"/>
                      <w:highlight w:val="none"/>
                      <w:lang w:val="en-US" w:eastAsia="zh-CN"/>
                    </w:rPr>
                    <w:t>/</w:t>
                  </w:r>
                </w:p>
              </w:tc>
              <w:tc>
                <w:tcPr>
                  <w:tcW w:w="347" w:type="pct"/>
                  <w:vAlign w:val="center"/>
                </w:tcPr>
                <w:p w14:paraId="634CE0FF">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487" w:type="pct"/>
                  <w:vAlign w:val="center"/>
                </w:tcPr>
                <w:p w14:paraId="7F25828C">
                  <w:pPr>
                    <w:widowControl/>
                    <w:jc w:val="center"/>
                    <w:rPr>
                      <w:rFonts w:hint="default"/>
                      <w:color w:val="auto"/>
                      <w:szCs w:val="21"/>
                      <w:highlight w:val="none"/>
                      <w:lang w:val="en-US" w:eastAsia="zh-CN"/>
                    </w:rPr>
                  </w:pPr>
                  <w:r>
                    <w:rPr>
                      <w:rFonts w:hint="eastAsia"/>
                      <w:color w:val="auto"/>
                      <w:szCs w:val="21"/>
                      <w:highlight w:val="none"/>
                      <w:lang w:val="en-US" w:eastAsia="zh-CN"/>
                    </w:rPr>
                    <w:t>9.1</w:t>
                  </w:r>
                </w:p>
              </w:tc>
              <w:tc>
                <w:tcPr>
                  <w:tcW w:w="468" w:type="pct"/>
                  <w:vAlign w:val="center"/>
                </w:tcPr>
                <w:p w14:paraId="7C34DF14">
                  <w:pPr>
                    <w:widowControl/>
                    <w:jc w:val="center"/>
                    <w:rPr>
                      <w:rFonts w:hint="eastAsia"/>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113C2FCC">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9.1</w:t>
                  </w:r>
                </w:p>
              </w:tc>
              <w:tc>
                <w:tcPr>
                  <w:tcW w:w="450" w:type="pct"/>
                  <w:vAlign w:val="center"/>
                </w:tcPr>
                <w:p w14:paraId="21EAD53C">
                  <w:pPr>
                    <w:widowControl/>
                    <w:jc w:val="center"/>
                    <w:rPr>
                      <w:rFonts w:hint="default"/>
                      <w:color w:val="auto"/>
                      <w:szCs w:val="21"/>
                      <w:highlight w:val="none"/>
                      <w:lang w:val="en-US" w:eastAsia="zh-CN"/>
                    </w:rPr>
                  </w:pPr>
                  <w:r>
                    <w:rPr>
                      <w:rFonts w:hint="eastAsia"/>
                      <w:color w:val="auto"/>
                      <w:szCs w:val="21"/>
                      <w:highlight w:val="none"/>
                      <w:lang w:val="en-US" w:eastAsia="zh-CN"/>
                    </w:rPr>
                    <w:t>1</w:t>
                  </w:r>
                </w:p>
              </w:tc>
              <w:tc>
                <w:tcPr>
                  <w:tcW w:w="660" w:type="pct"/>
                  <w:vAlign w:val="center"/>
                </w:tcPr>
                <w:p w14:paraId="5A796D52">
                  <w:pPr>
                    <w:widowControl/>
                    <w:jc w:val="center"/>
                    <w:rPr>
                      <w:rFonts w:hint="eastAsia"/>
                      <w:color w:val="auto"/>
                      <w:szCs w:val="21"/>
                      <w:highlight w:val="none"/>
                      <w:lang w:val="en-US" w:eastAsia="zh-CN"/>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6B366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31E80500">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9</w:t>
                  </w:r>
                </w:p>
              </w:tc>
              <w:tc>
                <w:tcPr>
                  <w:tcW w:w="586" w:type="pct"/>
                  <w:vAlign w:val="center"/>
                </w:tcPr>
                <w:p w14:paraId="68B69147">
                  <w:pPr>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脱脂剂</w:t>
                  </w:r>
                </w:p>
              </w:tc>
              <w:tc>
                <w:tcPr>
                  <w:tcW w:w="1284" w:type="pct"/>
                  <w:vAlign w:val="center"/>
                </w:tcPr>
                <w:p w14:paraId="7AD04094">
                  <w:pPr>
                    <w:widowControl/>
                    <w:jc w:val="center"/>
                    <w:rPr>
                      <w:rFonts w:hint="eastAsia" w:ascii="Times New Roman"/>
                      <w:color w:val="auto"/>
                      <w:sz w:val="21"/>
                      <w:szCs w:val="21"/>
                      <w:highlight w:val="none"/>
                    </w:rPr>
                  </w:pPr>
                  <w:r>
                    <w:rPr>
                      <w:rFonts w:hint="eastAsia" w:ascii="Times New Roman"/>
                      <w:color w:val="auto"/>
                      <w:sz w:val="21"/>
                      <w:szCs w:val="21"/>
                      <w:highlight w:val="none"/>
                    </w:rPr>
                    <w:t>磷酸盐30%、碳酸盐24%硅酸盐38%、非离子表面活性剂</w:t>
                  </w:r>
                  <w:r>
                    <w:rPr>
                      <w:rFonts w:hint="eastAsia"/>
                      <w:color w:val="auto"/>
                      <w:sz w:val="21"/>
                      <w:szCs w:val="21"/>
                      <w:highlight w:val="none"/>
                      <w:lang w:val="en-US" w:eastAsia="zh-CN"/>
                    </w:rPr>
                    <w:t>5</w:t>
                  </w:r>
                  <w:r>
                    <w:rPr>
                      <w:rFonts w:hint="eastAsia" w:ascii="Times New Roman"/>
                      <w:color w:val="auto"/>
                      <w:sz w:val="21"/>
                      <w:szCs w:val="21"/>
                      <w:highlight w:val="none"/>
                    </w:rPr>
                    <w:t>%</w:t>
                  </w:r>
                </w:p>
              </w:tc>
              <w:tc>
                <w:tcPr>
                  <w:tcW w:w="347" w:type="pct"/>
                  <w:vAlign w:val="center"/>
                </w:tcPr>
                <w:p w14:paraId="102767C2">
                  <w:pPr>
                    <w:jc w:val="center"/>
                    <w:rPr>
                      <w:rFonts w:hint="eastAsia" w:ascii="Times New Roman" w:hAnsi="Times New Roman"/>
                      <w:color w:val="auto"/>
                      <w:sz w:val="21"/>
                      <w:szCs w:val="21"/>
                      <w:highlight w:val="none"/>
                    </w:rPr>
                  </w:pPr>
                  <w:r>
                    <w:rPr>
                      <w:rFonts w:hint="eastAsia"/>
                      <w:color w:val="auto"/>
                      <w:kern w:val="0"/>
                      <w:szCs w:val="21"/>
                      <w:lang w:val="en-US" w:eastAsia="zh-CN"/>
                    </w:rPr>
                    <w:t>桶装</w:t>
                  </w:r>
                </w:p>
              </w:tc>
              <w:tc>
                <w:tcPr>
                  <w:tcW w:w="487" w:type="pct"/>
                  <w:vAlign w:val="center"/>
                </w:tcPr>
                <w:p w14:paraId="4A9D9A3B">
                  <w:pPr>
                    <w:widowControl/>
                    <w:jc w:val="center"/>
                    <w:rPr>
                      <w:rFonts w:hint="default"/>
                      <w:color w:val="auto"/>
                      <w:szCs w:val="21"/>
                      <w:highlight w:val="none"/>
                      <w:lang w:val="en-US" w:eastAsia="zh-CN"/>
                    </w:rPr>
                  </w:pPr>
                  <w:r>
                    <w:rPr>
                      <w:rFonts w:hint="eastAsia"/>
                      <w:color w:val="auto"/>
                      <w:szCs w:val="21"/>
                      <w:highlight w:val="none"/>
                      <w:lang w:val="en-US" w:eastAsia="zh-CN"/>
                    </w:rPr>
                    <w:t>8.2</w:t>
                  </w:r>
                </w:p>
              </w:tc>
              <w:tc>
                <w:tcPr>
                  <w:tcW w:w="468" w:type="pct"/>
                  <w:vAlign w:val="center"/>
                </w:tcPr>
                <w:p w14:paraId="49EEE569">
                  <w:pPr>
                    <w:widowControl/>
                    <w:jc w:val="center"/>
                    <w:rPr>
                      <w:rFonts w:hint="default"/>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77BDEE6D">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8.2</w:t>
                  </w:r>
                </w:p>
              </w:tc>
              <w:tc>
                <w:tcPr>
                  <w:tcW w:w="450" w:type="pct"/>
                  <w:vAlign w:val="center"/>
                </w:tcPr>
                <w:p w14:paraId="5268B0F4">
                  <w:pPr>
                    <w:widowControl/>
                    <w:jc w:val="center"/>
                    <w:rPr>
                      <w:rFonts w:hint="default"/>
                      <w:color w:val="auto"/>
                      <w:szCs w:val="21"/>
                      <w:highlight w:val="none"/>
                      <w:lang w:val="en-US" w:eastAsia="zh-CN"/>
                    </w:rPr>
                  </w:pPr>
                  <w:r>
                    <w:rPr>
                      <w:rFonts w:hint="eastAsia"/>
                      <w:color w:val="auto"/>
                      <w:szCs w:val="21"/>
                      <w:highlight w:val="none"/>
                      <w:lang w:val="en-US" w:eastAsia="zh-CN"/>
                    </w:rPr>
                    <w:t>0.6</w:t>
                  </w:r>
                </w:p>
              </w:tc>
              <w:tc>
                <w:tcPr>
                  <w:tcW w:w="660" w:type="pct"/>
                  <w:vAlign w:val="center"/>
                </w:tcPr>
                <w:p w14:paraId="1D2AE8BB">
                  <w:pPr>
                    <w:widowControl/>
                    <w:jc w:val="center"/>
                    <w:rPr>
                      <w:rFonts w:hint="eastAsia"/>
                      <w:color w:val="auto"/>
                      <w:szCs w:val="21"/>
                      <w:highlight w:val="none"/>
                      <w:lang w:val="en-US" w:eastAsia="zh-CN"/>
                    </w:rPr>
                  </w:pPr>
                  <w:r>
                    <w:rPr>
                      <w:rFonts w:hint="eastAsia"/>
                      <w:color w:val="auto"/>
                      <w:szCs w:val="21"/>
                      <w:highlight w:val="none"/>
                      <w:lang w:val="en-US" w:eastAsia="zh-CN"/>
                    </w:rPr>
                    <w:t>液态</w:t>
                  </w:r>
                  <w:r>
                    <w:rPr>
                      <w:rFonts w:hint="eastAsia"/>
                      <w:color w:val="auto"/>
                      <w:szCs w:val="21"/>
                      <w:highlight w:val="none"/>
                      <w:lang w:eastAsia="zh-CN"/>
                    </w:rPr>
                    <w:t>，</w:t>
                  </w:r>
                  <w:r>
                    <w:rPr>
                      <w:rFonts w:hint="eastAsia"/>
                      <w:color w:val="auto"/>
                      <w:szCs w:val="21"/>
                      <w:highlight w:val="none"/>
                    </w:rPr>
                    <w:t>外购</w:t>
                  </w:r>
                </w:p>
              </w:tc>
            </w:tr>
            <w:tr w14:paraId="64EC0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28B4487D">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586" w:type="pct"/>
                  <w:vAlign w:val="center"/>
                </w:tcPr>
                <w:p w14:paraId="0628B50A">
                  <w:pPr>
                    <w:jc w:val="center"/>
                    <w:rPr>
                      <w:rFonts w:ascii="Times New Roman" w:hAnsi="Times New Roman"/>
                      <w:color w:val="auto"/>
                      <w:sz w:val="21"/>
                      <w:szCs w:val="21"/>
                      <w:highlight w:val="none"/>
                    </w:rPr>
                  </w:pPr>
                  <w:r>
                    <w:rPr>
                      <w:rFonts w:hint="eastAsia"/>
                      <w:color w:val="auto"/>
                      <w:sz w:val="21"/>
                      <w:szCs w:val="21"/>
                      <w:highlight w:val="none"/>
                      <w:lang w:val="en-US" w:eastAsia="zh-CN"/>
                    </w:rPr>
                    <w:t>表调剂</w:t>
                  </w:r>
                </w:p>
              </w:tc>
              <w:tc>
                <w:tcPr>
                  <w:tcW w:w="1284" w:type="pct"/>
                  <w:vAlign w:val="center"/>
                </w:tcPr>
                <w:p w14:paraId="63869486">
                  <w:pPr>
                    <w:widowControl/>
                    <w:jc w:val="center"/>
                    <w:rPr>
                      <w:rFonts w:hint="eastAsia" w:ascii="Times New Roman"/>
                      <w:color w:val="auto"/>
                      <w:sz w:val="21"/>
                      <w:szCs w:val="21"/>
                      <w:highlight w:val="none"/>
                    </w:rPr>
                  </w:pPr>
                  <w:r>
                    <w:rPr>
                      <w:rFonts w:hint="eastAsia" w:ascii="Times New Roman"/>
                      <w:color w:val="auto"/>
                      <w:sz w:val="21"/>
                      <w:szCs w:val="21"/>
                      <w:highlight w:val="none"/>
                    </w:rPr>
                    <w:t>70%T</w:t>
                  </w:r>
                  <w:r>
                    <w:rPr>
                      <w:rFonts w:hint="eastAsia"/>
                      <w:color w:val="auto"/>
                      <w:sz w:val="21"/>
                      <w:szCs w:val="21"/>
                      <w:highlight w:val="none"/>
                      <w:lang w:val="en-US" w:eastAsia="zh-CN"/>
                    </w:rPr>
                    <w:t>i</w:t>
                  </w:r>
                  <w:r>
                    <w:rPr>
                      <w:rFonts w:hint="eastAsia"/>
                      <w:color w:val="auto"/>
                      <w:sz w:val="21"/>
                      <w:szCs w:val="21"/>
                      <w:highlight w:val="none"/>
                      <w:vertAlign w:val="subscript"/>
                      <w:lang w:val="en-US" w:eastAsia="zh-CN"/>
                    </w:rPr>
                    <w:t>3</w:t>
                  </w:r>
                  <w:r>
                    <w:rPr>
                      <w:rFonts w:hint="eastAsia" w:ascii="Times New Roman"/>
                      <w:color w:val="auto"/>
                      <w:sz w:val="21"/>
                      <w:szCs w:val="21"/>
                      <w:highlight w:val="none"/>
                    </w:rPr>
                    <w:t>(PO</w:t>
                  </w:r>
                  <w:r>
                    <w:rPr>
                      <w:rFonts w:hint="eastAsia"/>
                      <w:color w:val="auto"/>
                      <w:sz w:val="21"/>
                      <w:szCs w:val="21"/>
                      <w:highlight w:val="none"/>
                      <w:vertAlign w:val="subscript"/>
                      <w:lang w:val="en-US" w:eastAsia="zh-CN"/>
                    </w:rPr>
                    <w:t>4</w:t>
                  </w:r>
                  <w:r>
                    <w:rPr>
                      <w:rFonts w:hint="eastAsia" w:ascii="Times New Roman"/>
                      <w:color w:val="auto"/>
                      <w:sz w:val="21"/>
                      <w:szCs w:val="21"/>
                      <w:highlight w:val="none"/>
                    </w:rPr>
                    <w:t>)</w:t>
                  </w:r>
                  <w:r>
                    <w:rPr>
                      <w:rFonts w:hint="eastAsia"/>
                      <w:color w:val="auto"/>
                      <w:sz w:val="21"/>
                      <w:szCs w:val="21"/>
                      <w:highlight w:val="none"/>
                      <w:lang w:eastAsia="zh-CN"/>
                    </w:rPr>
                    <w:t>、</w:t>
                  </w:r>
                  <w:r>
                    <w:rPr>
                      <w:rFonts w:hint="eastAsia" w:ascii="Times New Roman"/>
                      <w:color w:val="auto"/>
                      <w:sz w:val="21"/>
                      <w:szCs w:val="21"/>
                      <w:highlight w:val="none"/>
                    </w:rPr>
                    <w:t>15%磷酸氢二</w:t>
                  </w:r>
                  <w:r>
                    <w:rPr>
                      <w:rFonts w:hint="eastAsia"/>
                      <w:color w:val="auto"/>
                      <w:sz w:val="21"/>
                      <w:szCs w:val="21"/>
                      <w:highlight w:val="none"/>
                      <w:lang w:val="en-US" w:eastAsia="zh-CN"/>
                    </w:rPr>
                    <w:t>钠</w:t>
                  </w:r>
                  <w:r>
                    <w:rPr>
                      <w:rFonts w:hint="eastAsia" w:ascii="Times New Roman"/>
                      <w:color w:val="auto"/>
                      <w:sz w:val="21"/>
                      <w:szCs w:val="21"/>
                      <w:highlight w:val="none"/>
                    </w:rPr>
                    <w:t>、焦磷酸钠15%</w:t>
                  </w:r>
                </w:p>
              </w:tc>
              <w:tc>
                <w:tcPr>
                  <w:tcW w:w="347" w:type="pct"/>
                  <w:vAlign w:val="center"/>
                </w:tcPr>
                <w:p w14:paraId="40FEB949">
                  <w:pPr>
                    <w:jc w:val="center"/>
                    <w:rPr>
                      <w:rFonts w:hint="eastAsia" w:ascii="Times New Roman" w:hAnsi="Times New Roman"/>
                      <w:color w:val="auto"/>
                      <w:sz w:val="21"/>
                      <w:szCs w:val="21"/>
                      <w:highlight w:val="none"/>
                    </w:rPr>
                  </w:pPr>
                  <w:r>
                    <w:rPr>
                      <w:rFonts w:hint="eastAsia"/>
                      <w:color w:val="auto"/>
                      <w:kern w:val="0"/>
                      <w:szCs w:val="21"/>
                      <w:lang w:val="en-US" w:eastAsia="zh-CN"/>
                    </w:rPr>
                    <w:t>桶装</w:t>
                  </w:r>
                </w:p>
              </w:tc>
              <w:tc>
                <w:tcPr>
                  <w:tcW w:w="487" w:type="pct"/>
                  <w:vAlign w:val="center"/>
                </w:tcPr>
                <w:p w14:paraId="688A4288">
                  <w:pPr>
                    <w:widowControl/>
                    <w:jc w:val="center"/>
                    <w:rPr>
                      <w:rFonts w:hint="default"/>
                      <w:color w:val="auto"/>
                      <w:szCs w:val="21"/>
                      <w:highlight w:val="none"/>
                      <w:lang w:val="en-US" w:eastAsia="zh-CN"/>
                    </w:rPr>
                  </w:pPr>
                  <w:r>
                    <w:rPr>
                      <w:rFonts w:hint="eastAsia"/>
                      <w:color w:val="auto"/>
                      <w:szCs w:val="21"/>
                      <w:highlight w:val="none"/>
                      <w:lang w:val="en-US" w:eastAsia="zh-CN"/>
                    </w:rPr>
                    <w:t>0.36</w:t>
                  </w:r>
                </w:p>
              </w:tc>
              <w:tc>
                <w:tcPr>
                  <w:tcW w:w="468" w:type="pct"/>
                  <w:vAlign w:val="center"/>
                </w:tcPr>
                <w:p w14:paraId="219C1B39">
                  <w:pPr>
                    <w:widowControl/>
                    <w:jc w:val="center"/>
                    <w:rPr>
                      <w:rFonts w:hint="default"/>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65E27822">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0.36</w:t>
                  </w:r>
                </w:p>
              </w:tc>
              <w:tc>
                <w:tcPr>
                  <w:tcW w:w="450" w:type="pct"/>
                  <w:vAlign w:val="center"/>
                </w:tcPr>
                <w:p w14:paraId="19CD3122">
                  <w:pPr>
                    <w:widowControl/>
                    <w:jc w:val="center"/>
                    <w:rPr>
                      <w:rFonts w:hint="default"/>
                      <w:color w:val="auto"/>
                      <w:szCs w:val="21"/>
                      <w:highlight w:val="none"/>
                      <w:lang w:val="en-US" w:eastAsia="zh-CN"/>
                    </w:rPr>
                  </w:pPr>
                  <w:r>
                    <w:rPr>
                      <w:rFonts w:hint="eastAsia"/>
                      <w:color w:val="auto"/>
                      <w:szCs w:val="21"/>
                      <w:highlight w:val="none"/>
                      <w:lang w:val="en-US" w:eastAsia="zh-CN"/>
                    </w:rPr>
                    <w:t>0.08</w:t>
                  </w:r>
                </w:p>
              </w:tc>
              <w:tc>
                <w:tcPr>
                  <w:tcW w:w="660" w:type="pct"/>
                  <w:vAlign w:val="center"/>
                </w:tcPr>
                <w:p w14:paraId="16120910">
                  <w:pPr>
                    <w:widowControl/>
                    <w:jc w:val="center"/>
                    <w:rPr>
                      <w:rFonts w:hint="eastAsia"/>
                      <w:color w:val="auto"/>
                      <w:szCs w:val="21"/>
                      <w:highlight w:val="none"/>
                      <w:lang w:val="en-US" w:eastAsia="zh-CN"/>
                    </w:rPr>
                  </w:pPr>
                  <w:r>
                    <w:rPr>
                      <w:rFonts w:hint="eastAsia"/>
                      <w:color w:val="auto"/>
                      <w:szCs w:val="21"/>
                      <w:highlight w:val="none"/>
                      <w:lang w:val="en-US" w:eastAsia="zh-CN"/>
                    </w:rPr>
                    <w:t>液态</w:t>
                  </w:r>
                  <w:r>
                    <w:rPr>
                      <w:rFonts w:hint="eastAsia"/>
                      <w:color w:val="auto"/>
                      <w:szCs w:val="21"/>
                      <w:highlight w:val="none"/>
                      <w:lang w:eastAsia="zh-CN"/>
                    </w:rPr>
                    <w:t>，</w:t>
                  </w:r>
                  <w:r>
                    <w:rPr>
                      <w:rFonts w:hint="eastAsia"/>
                      <w:color w:val="auto"/>
                      <w:szCs w:val="21"/>
                      <w:highlight w:val="none"/>
                    </w:rPr>
                    <w:t>外购</w:t>
                  </w:r>
                </w:p>
              </w:tc>
            </w:tr>
            <w:tr w14:paraId="19464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6031DE5B">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11</w:t>
                  </w:r>
                </w:p>
              </w:tc>
              <w:tc>
                <w:tcPr>
                  <w:tcW w:w="586" w:type="pct"/>
                  <w:vAlign w:val="center"/>
                </w:tcPr>
                <w:p w14:paraId="78CC6760">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皮膜液</w:t>
                  </w:r>
                </w:p>
              </w:tc>
              <w:tc>
                <w:tcPr>
                  <w:tcW w:w="1284" w:type="pct"/>
                  <w:vAlign w:val="center"/>
                </w:tcPr>
                <w:p w14:paraId="186496C7">
                  <w:pPr>
                    <w:widowControl/>
                    <w:jc w:val="center"/>
                    <w:rPr>
                      <w:rFonts w:hint="eastAsia" w:ascii="Times New Roman"/>
                      <w:color w:val="auto"/>
                      <w:sz w:val="21"/>
                      <w:szCs w:val="21"/>
                      <w:highlight w:val="none"/>
                    </w:rPr>
                  </w:pPr>
                  <w:r>
                    <w:rPr>
                      <w:rFonts w:hint="eastAsia" w:ascii="Times New Roman"/>
                      <w:color w:val="auto"/>
                      <w:sz w:val="21"/>
                      <w:szCs w:val="21"/>
                      <w:highlight w:val="none"/>
                    </w:rPr>
                    <w:t>35%磷酸锌盐、35%磷酸、三聚磷酸钠30%</w:t>
                  </w:r>
                </w:p>
              </w:tc>
              <w:tc>
                <w:tcPr>
                  <w:tcW w:w="347" w:type="pct"/>
                  <w:vAlign w:val="center"/>
                </w:tcPr>
                <w:p w14:paraId="0E100680">
                  <w:pPr>
                    <w:jc w:val="center"/>
                    <w:rPr>
                      <w:rFonts w:hint="eastAsia" w:ascii="Times New Roman" w:hAnsi="Times New Roman"/>
                      <w:color w:val="auto"/>
                      <w:sz w:val="21"/>
                      <w:szCs w:val="21"/>
                      <w:highlight w:val="none"/>
                    </w:rPr>
                  </w:pPr>
                  <w:r>
                    <w:rPr>
                      <w:rFonts w:hint="eastAsia"/>
                      <w:color w:val="auto"/>
                      <w:kern w:val="0"/>
                      <w:szCs w:val="21"/>
                      <w:lang w:val="en-US" w:eastAsia="zh-CN"/>
                    </w:rPr>
                    <w:t>桶装</w:t>
                  </w:r>
                </w:p>
              </w:tc>
              <w:tc>
                <w:tcPr>
                  <w:tcW w:w="487" w:type="pct"/>
                  <w:vAlign w:val="center"/>
                </w:tcPr>
                <w:p w14:paraId="617EC8C5">
                  <w:pPr>
                    <w:widowControl/>
                    <w:jc w:val="center"/>
                    <w:rPr>
                      <w:rFonts w:hint="default"/>
                      <w:color w:val="auto"/>
                      <w:szCs w:val="21"/>
                      <w:highlight w:val="none"/>
                      <w:lang w:val="en-US" w:eastAsia="zh-CN"/>
                    </w:rPr>
                  </w:pPr>
                  <w:r>
                    <w:rPr>
                      <w:rFonts w:hint="eastAsia"/>
                      <w:color w:val="auto"/>
                      <w:szCs w:val="21"/>
                      <w:highlight w:val="none"/>
                      <w:lang w:val="en-US" w:eastAsia="zh-CN"/>
                    </w:rPr>
                    <w:t>13.5</w:t>
                  </w:r>
                </w:p>
              </w:tc>
              <w:tc>
                <w:tcPr>
                  <w:tcW w:w="468" w:type="pct"/>
                  <w:vAlign w:val="center"/>
                </w:tcPr>
                <w:p w14:paraId="7E67C34F">
                  <w:pPr>
                    <w:widowControl/>
                    <w:jc w:val="center"/>
                    <w:rPr>
                      <w:rFonts w:hint="default"/>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162A9963">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13.5</w:t>
                  </w:r>
                </w:p>
              </w:tc>
              <w:tc>
                <w:tcPr>
                  <w:tcW w:w="450" w:type="pct"/>
                  <w:vAlign w:val="center"/>
                </w:tcPr>
                <w:p w14:paraId="73C138B5">
                  <w:pPr>
                    <w:widowControl/>
                    <w:jc w:val="center"/>
                    <w:rPr>
                      <w:rFonts w:hint="default"/>
                      <w:color w:val="auto"/>
                      <w:szCs w:val="21"/>
                      <w:highlight w:val="none"/>
                      <w:lang w:val="en-US" w:eastAsia="zh-CN"/>
                    </w:rPr>
                  </w:pPr>
                  <w:r>
                    <w:rPr>
                      <w:rFonts w:hint="eastAsia"/>
                      <w:color w:val="auto"/>
                      <w:szCs w:val="21"/>
                      <w:highlight w:val="none"/>
                      <w:lang w:val="en-US" w:eastAsia="zh-CN"/>
                    </w:rPr>
                    <w:t>1</w:t>
                  </w:r>
                </w:p>
              </w:tc>
              <w:tc>
                <w:tcPr>
                  <w:tcW w:w="660" w:type="pct"/>
                  <w:vAlign w:val="center"/>
                </w:tcPr>
                <w:p w14:paraId="6F8B8730">
                  <w:pPr>
                    <w:widowControl/>
                    <w:jc w:val="center"/>
                    <w:rPr>
                      <w:rFonts w:hint="eastAsia"/>
                      <w:color w:val="auto"/>
                      <w:szCs w:val="21"/>
                      <w:highlight w:val="none"/>
                      <w:lang w:val="en-US" w:eastAsia="zh-CN"/>
                    </w:rPr>
                  </w:pPr>
                  <w:r>
                    <w:rPr>
                      <w:rFonts w:hint="eastAsia"/>
                      <w:color w:val="auto"/>
                      <w:szCs w:val="21"/>
                      <w:highlight w:val="none"/>
                      <w:lang w:val="en-US" w:eastAsia="zh-CN"/>
                    </w:rPr>
                    <w:t>液态</w:t>
                  </w:r>
                  <w:r>
                    <w:rPr>
                      <w:rFonts w:hint="eastAsia"/>
                      <w:color w:val="auto"/>
                      <w:szCs w:val="21"/>
                      <w:highlight w:val="none"/>
                      <w:lang w:eastAsia="zh-CN"/>
                    </w:rPr>
                    <w:t>，</w:t>
                  </w:r>
                  <w:r>
                    <w:rPr>
                      <w:rFonts w:hint="eastAsia"/>
                      <w:color w:val="auto"/>
                      <w:szCs w:val="21"/>
                      <w:highlight w:val="none"/>
                    </w:rPr>
                    <w:t>外购</w:t>
                  </w:r>
                </w:p>
              </w:tc>
            </w:tr>
            <w:tr w14:paraId="35796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049B9F95">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12</w:t>
                  </w:r>
                </w:p>
              </w:tc>
              <w:tc>
                <w:tcPr>
                  <w:tcW w:w="586" w:type="pct"/>
                  <w:vAlign w:val="center"/>
                </w:tcPr>
                <w:p w14:paraId="1A56CF15">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塑粉</w:t>
                  </w:r>
                </w:p>
              </w:tc>
              <w:tc>
                <w:tcPr>
                  <w:tcW w:w="1284" w:type="pct"/>
                  <w:vAlign w:val="center"/>
                </w:tcPr>
                <w:p w14:paraId="79C2EBC6">
                  <w:pPr>
                    <w:widowControl/>
                    <w:jc w:val="center"/>
                    <w:rPr>
                      <w:rFonts w:hint="eastAsia" w:ascii="Times New Roman"/>
                      <w:color w:val="auto"/>
                      <w:sz w:val="21"/>
                      <w:szCs w:val="21"/>
                      <w:highlight w:val="none"/>
                    </w:rPr>
                  </w:pPr>
                  <w:r>
                    <w:rPr>
                      <w:rFonts w:hint="eastAsia" w:ascii="Times New Roman"/>
                      <w:color w:val="auto"/>
                      <w:sz w:val="21"/>
                      <w:szCs w:val="21"/>
                      <w:highlight w:val="none"/>
                    </w:rPr>
                    <w:t>聚酯树</w:t>
                  </w:r>
                  <w:r>
                    <w:rPr>
                      <w:rFonts w:hint="eastAsia"/>
                      <w:color w:val="auto"/>
                      <w:sz w:val="21"/>
                      <w:szCs w:val="21"/>
                      <w:highlight w:val="none"/>
                      <w:lang w:val="en-US" w:eastAsia="zh-CN"/>
                    </w:rPr>
                    <w:t>酯</w:t>
                  </w:r>
                  <w:r>
                    <w:rPr>
                      <w:rFonts w:hint="eastAsia" w:ascii="Times New Roman"/>
                      <w:color w:val="auto"/>
                      <w:sz w:val="21"/>
                      <w:szCs w:val="21"/>
                      <w:highlight w:val="none"/>
                    </w:rPr>
                    <w:t>粉、颜料(钛白粉、硫酸钡等)</w:t>
                  </w:r>
                </w:p>
              </w:tc>
              <w:tc>
                <w:tcPr>
                  <w:tcW w:w="347" w:type="pct"/>
                  <w:vAlign w:val="center"/>
                </w:tcPr>
                <w:p w14:paraId="7D5BCB41">
                  <w:pPr>
                    <w:jc w:val="center"/>
                    <w:rPr>
                      <w:rFonts w:hint="eastAsia" w:ascii="Times New Roman" w:hAnsi="Times New Roman"/>
                      <w:color w:val="auto"/>
                      <w:sz w:val="21"/>
                      <w:szCs w:val="21"/>
                      <w:highlight w:val="none"/>
                    </w:rPr>
                  </w:pPr>
                  <w:r>
                    <w:rPr>
                      <w:rFonts w:hint="eastAsia"/>
                      <w:color w:val="auto"/>
                      <w:kern w:val="0"/>
                      <w:szCs w:val="21"/>
                      <w:lang w:val="en-US" w:eastAsia="zh-CN"/>
                    </w:rPr>
                    <w:t>袋装</w:t>
                  </w:r>
                </w:p>
              </w:tc>
              <w:tc>
                <w:tcPr>
                  <w:tcW w:w="487" w:type="pct"/>
                  <w:vAlign w:val="center"/>
                </w:tcPr>
                <w:p w14:paraId="5A73667F">
                  <w:pPr>
                    <w:widowControl/>
                    <w:jc w:val="center"/>
                    <w:rPr>
                      <w:rFonts w:hint="default"/>
                      <w:color w:val="auto"/>
                      <w:szCs w:val="21"/>
                      <w:highlight w:val="none"/>
                      <w:lang w:val="en-US" w:eastAsia="zh-CN"/>
                    </w:rPr>
                  </w:pPr>
                  <w:r>
                    <w:rPr>
                      <w:rFonts w:hint="eastAsia"/>
                      <w:color w:val="auto"/>
                      <w:szCs w:val="21"/>
                      <w:highlight w:val="none"/>
                      <w:lang w:val="en-US" w:eastAsia="zh-CN"/>
                    </w:rPr>
                    <w:t>72</w:t>
                  </w:r>
                </w:p>
              </w:tc>
              <w:tc>
                <w:tcPr>
                  <w:tcW w:w="468" w:type="pct"/>
                  <w:vAlign w:val="center"/>
                </w:tcPr>
                <w:p w14:paraId="0023EFF4">
                  <w:pPr>
                    <w:widowControl/>
                    <w:jc w:val="center"/>
                    <w:rPr>
                      <w:rFonts w:hint="default"/>
                      <w:color w:val="auto"/>
                      <w:szCs w:val="21"/>
                      <w:highlight w:val="none"/>
                      <w:lang w:val="en-US" w:eastAsia="zh-CN"/>
                    </w:rPr>
                  </w:pPr>
                  <w:r>
                    <w:rPr>
                      <w:rFonts w:hint="eastAsia"/>
                      <w:color w:val="auto"/>
                      <w:szCs w:val="21"/>
                      <w:highlight w:val="none"/>
                      <w:lang w:val="en-US" w:eastAsia="zh-CN"/>
                    </w:rPr>
                    <w:t>36</w:t>
                  </w:r>
                </w:p>
              </w:tc>
              <w:tc>
                <w:tcPr>
                  <w:tcW w:w="433" w:type="pct"/>
                  <w:vAlign w:val="center"/>
                </w:tcPr>
                <w:p w14:paraId="49839380">
                  <w:pPr>
                    <w:widowControl/>
                    <w:jc w:val="center"/>
                    <w:rPr>
                      <w:rFonts w:hint="default"/>
                      <w:color w:val="auto"/>
                      <w:szCs w:val="21"/>
                      <w:highlight w:val="none"/>
                      <w:lang w:val="en-US" w:eastAsia="zh-CN"/>
                    </w:rPr>
                  </w:pPr>
                  <w:r>
                    <w:rPr>
                      <w:rFonts w:hint="eastAsia"/>
                      <w:color w:val="auto"/>
                      <w:szCs w:val="21"/>
                      <w:highlight w:val="none"/>
                      <w:lang w:val="en-US" w:eastAsia="zh-CN"/>
                    </w:rPr>
                    <w:t>108</w:t>
                  </w:r>
                </w:p>
              </w:tc>
              <w:tc>
                <w:tcPr>
                  <w:tcW w:w="450" w:type="pct"/>
                  <w:vAlign w:val="center"/>
                </w:tcPr>
                <w:p w14:paraId="61C0A398">
                  <w:pPr>
                    <w:widowControl/>
                    <w:jc w:val="center"/>
                    <w:rPr>
                      <w:rFonts w:hint="default"/>
                      <w:color w:val="auto"/>
                      <w:szCs w:val="21"/>
                      <w:highlight w:val="none"/>
                      <w:lang w:val="en-US" w:eastAsia="zh-CN"/>
                    </w:rPr>
                  </w:pPr>
                  <w:r>
                    <w:rPr>
                      <w:rFonts w:hint="eastAsia"/>
                      <w:color w:val="auto"/>
                      <w:szCs w:val="21"/>
                      <w:highlight w:val="none"/>
                      <w:lang w:val="en-US" w:eastAsia="zh-CN"/>
                    </w:rPr>
                    <w:t>3</w:t>
                  </w:r>
                </w:p>
              </w:tc>
              <w:tc>
                <w:tcPr>
                  <w:tcW w:w="660" w:type="pct"/>
                  <w:vAlign w:val="center"/>
                </w:tcPr>
                <w:p w14:paraId="15373127">
                  <w:pPr>
                    <w:widowControl/>
                    <w:jc w:val="center"/>
                    <w:rPr>
                      <w:rFonts w:hint="eastAsia"/>
                      <w:color w:val="auto"/>
                      <w:szCs w:val="21"/>
                      <w:highlight w:val="none"/>
                      <w:lang w:val="en-US" w:eastAsia="zh-CN"/>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05920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6CB679D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13</w:t>
                  </w:r>
                </w:p>
              </w:tc>
              <w:tc>
                <w:tcPr>
                  <w:tcW w:w="586" w:type="pct"/>
                  <w:vAlign w:val="center"/>
                </w:tcPr>
                <w:p w14:paraId="645DBA09">
                  <w:pPr>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润滑油</w:t>
                  </w:r>
                </w:p>
              </w:tc>
              <w:tc>
                <w:tcPr>
                  <w:tcW w:w="1284" w:type="pct"/>
                  <w:vAlign w:val="center"/>
                </w:tcPr>
                <w:p w14:paraId="02C6AF99">
                  <w:pPr>
                    <w:widowControl/>
                    <w:jc w:val="center"/>
                    <w:rPr>
                      <w:rFonts w:hint="eastAsia" w:asci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347" w:type="pct"/>
                  <w:vAlign w:val="center"/>
                </w:tcPr>
                <w:p w14:paraId="18BAB5D8">
                  <w:pPr>
                    <w:jc w:val="center"/>
                    <w:rPr>
                      <w:rFonts w:hint="eastAsia" w:ascii="Times New Roman" w:hAnsi="Times New Roman"/>
                      <w:color w:val="auto"/>
                      <w:sz w:val="21"/>
                      <w:szCs w:val="21"/>
                      <w:highlight w:val="none"/>
                    </w:rPr>
                  </w:pPr>
                  <w:r>
                    <w:rPr>
                      <w:rFonts w:hint="eastAsia"/>
                      <w:color w:val="auto"/>
                      <w:kern w:val="0"/>
                      <w:szCs w:val="21"/>
                      <w:lang w:val="en-US" w:eastAsia="zh-CN"/>
                    </w:rPr>
                    <w:t>桶装</w:t>
                  </w:r>
                </w:p>
              </w:tc>
              <w:tc>
                <w:tcPr>
                  <w:tcW w:w="487" w:type="pct"/>
                  <w:vAlign w:val="center"/>
                </w:tcPr>
                <w:p w14:paraId="0D93651B">
                  <w:pPr>
                    <w:widowControl/>
                    <w:jc w:val="center"/>
                    <w:rPr>
                      <w:rFonts w:hint="default"/>
                      <w:color w:val="auto"/>
                      <w:szCs w:val="21"/>
                      <w:highlight w:val="none"/>
                      <w:lang w:val="en-US" w:eastAsia="zh-CN"/>
                    </w:rPr>
                  </w:pPr>
                  <w:r>
                    <w:rPr>
                      <w:rFonts w:hint="eastAsia"/>
                      <w:color w:val="auto"/>
                      <w:szCs w:val="21"/>
                      <w:highlight w:val="none"/>
                      <w:lang w:val="en-US" w:eastAsia="zh-CN"/>
                    </w:rPr>
                    <w:t>0.27</w:t>
                  </w:r>
                </w:p>
              </w:tc>
              <w:tc>
                <w:tcPr>
                  <w:tcW w:w="468" w:type="pct"/>
                  <w:vAlign w:val="center"/>
                </w:tcPr>
                <w:p w14:paraId="2DE7C28B">
                  <w:pPr>
                    <w:widowControl/>
                    <w:jc w:val="center"/>
                    <w:rPr>
                      <w:rFonts w:hint="eastAsia"/>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17CC89D7">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0.27</w:t>
                  </w:r>
                </w:p>
              </w:tc>
              <w:tc>
                <w:tcPr>
                  <w:tcW w:w="450" w:type="pct"/>
                  <w:vAlign w:val="center"/>
                </w:tcPr>
                <w:p w14:paraId="1F436D09">
                  <w:pPr>
                    <w:widowControl/>
                    <w:jc w:val="center"/>
                    <w:rPr>
                      <w:rFonts w:hint="eastAsia"/>
                      <w:color w:val="auto"/>
                      <w:szCs w:val="21"/>
                      <w:highlight w:val="none"/>
                      <w:lang w:val="en-US" w:eastAsia="zh-CN"/>
                    </w:rPr>
                  </w:pPr>
                  <w:r>
                    <w:rPr>
                      <w:rFonts w:hint="eastAsia"/>
                      <w:color w:val="auto"/>
                      <w:szCs w:val="21"/>
                      <w:highlight w:val="none"/>
                      <w:lang w:val="en-US" w:eastAsia="zh-CN"/>
                    </w:rPr>
                    <w:t>0.15</w:t>
                  </w:r>
                </w:p>
              </w:tc>
              <w:tc>
                <w:tcPr>
                  <w:tcW w:w="660" w:type="pct"/>
                  <w:vAlign w:val="center"/>
                </w:tcPr>
                <w:p w14:paraId="76D8DC3F">
                  <w:pPr>
                    <w:widowControl/>
                    <w:jc w:val="center"/>
                    <w:rPr>
                      <w:rFonts w:hint="eastAsia"/>
                      <w:color w:val="auto"/>
                      <w:szCs w:val="21"/>
                      <w:highlight w:val="none"/>
                      <w:lang w:val="en-US" w:eastAsia="zh-CN"/>
                    </w:rPr>
                  </w:pPr>
                  <w:r>
                    <w:rPr>
                      <w:rFonts w:hint="eastAsia"/>
                      <w:color w:val="auto"/>
                      <w:szCs w:val="21"/>
                      <w:highlight w:val="none"/>
                      <w:lang w:val="en-US" w:eastAsia="zh-CN"/>
                    </w:rPr>
                    <w:t>液态</w:t>
                  </w:r>
                  <w:r>
                    <w:rPr>
                      <w:rFonts w:hint="eastAsia"/>
                      <w:color w:val="auto"/>
                      <w:szCs w:val="21"/>
                      <w:highlight w:val="none"/>
                      <w:lang w:eastAsia="zh-CN"/>
                    </w:rPr>
                    <w:t>，</w:t>
                  </w:r>
                  <w:r>
                    <w:rPr>
                      <w:rFonts w:hint="eastAsia"/>
                      <w:color w:val="auto"/>
                      <w:szCs w:val="21"/>
                      <w:highlight w:val="none"/>
                    </w:rPr>
                    <w:t>外购</w:t>
                  </w:r>
                </w:p>
              </w:tc>
            </w:tr>
            <w:tr w14:paraId="0B27F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7923F422">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14</w:t>
                  </w:r>
                </w:p>
              </w:tc>
              <w:tc>
                <w:tcPr>
                  <w:tcW w:w="586" w:type="pct"/>
                  <w:vAlign w:val="center"/>
                </w:tcPr>
                <w:p w14:paraId="4F12FA0F">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五金件</w:t>
                  </w:r>
                </w:p>
              </w:tc>
              <w:tc>
                <w:tcPr>
                  <w:tcW w:w="1284" w:type="pct"/>
                  <w:vAlign w:val="center"/>
                </w:tcPr>
                <w:p w14:paraId="63228135">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347" w:type="pct"/>
                  <w:vAlign w:val="center"/>
                </w:tcPr>
                <w:p w14:paraId="6EFB2952">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487" w:type="pct"/>
                  <w:vAlign w:val="center"/>
                </w:tcPr>
                <w:p w14:paraId="48A35978">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27万套</w:t>
                  </w:r>
                </w:p>
              </w:tc>
              <w:tc>
                <w:tcPr>
                  <w:tcW w:w="468" w:type="pct"/>
                  <w:vAlign w:val="center"/>
                </w:tcPr>
                <w:p w14:paraId="1B974706">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5A2010AF">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27万套</w:t>
                  </w:r>
                </w:p>
              </w:tc>
              <w:tc>
                <w:tcPr>
                  <w:tcW w:w="450" w:type="pct"/>
                  <w:vAlign w:val="center"/>
                </w:tcPr>
                <w:p w14:paraId="0AC3E42D">
                  <w:pPr>
                    <w:widowControl/>
                    <w:jc w:val="center"/>
                    <w:rPr>
                      <w:rFonts w:hint="default" w:eastAsia="宋体"/>
                      <w:color w:val="auto"/>
                      <w:szCs w:val="21"/>
                      <w:highlight w:val="none"/>
                      <w:lang w:val="en-US" w:eastAsia="zh-CN"/>
                    </w:rPr>
                  </w:pPr>
                </w:p>
              </w:tc>
              <w:tc>
                <w:tcPr>
                  <w:tcW w:w="660" w:type="pct"/>
                  <w:vAlign w:val="center"/>
                </w:tcPr>
                <w:p w14:paraId="520C21B4">
                  <w:pPr>
                    <w:widowControl/>
                    <w:jc w:val="center"/>
                    <w:rPr>
                      <w:color w:val="auto"/>
                      <w:szCs w:val="21"/>
                      <w:highlight w:val="none"/>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36A71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0C626AE5">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586" w:type="pct"/>
                  <w:vAlign w:val="center"/>
                </w:tcPr>
                <w:p w14:paraId="7624538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烤炉冲压件</w:t>
                  </w:r>
                </w:p>
              </w:tc>
              <w:tc>
                <w:tcPr>
                  <w:tcW w:w="1284" w:type="pct"/>
                  <w:vAlign w:val="center"/>
                </w:tcPr>
                <w:p w14:paraId="43C74858">
                  <w:pPr>
                    <w:widowControl/>
                    <w:jc w:val="center"/>
                    <w:rPr>
                      <w:color w:val="auto"/>
                      <w:szCs w:val="21"/>
                      <w:highlight w:val="none"/>
                    </w:rPr>
                  </w:pPr>
                  <w:r>
                    <w:rPr>
                      <w:rFonts w:hint="eastAsia"/>
                      <w:color w:val="auto"/>
                      <w:szCs w:val="21"/>
                      <w:highlight w:val="none"/>
                      <w:lang w:val="en-US" w:eastAsia="zh-CN"/>
                    </w:rPr>
                    <w:t>/</w:t>
                  </w:r>
                </w:p>
              </w:tc>
              <w:tc>
                <w:tcPr>
                  <w:tcW w:w="347" w:type="pct"/>
                  <w:vAlign w:val="center"/>
                </w:tcPr>
                <w:p w14:paraId="3D81B2D0">
                  <w:pPr>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487" w:type="pct"/>
                  <w:vAlign w:val="center"/>
                </w:tcPr>
                <w:p w14:paraId="3B9D4D94">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1350</w:t>
                  </w:r>
                </w:p>
              </w:tc>
              <w:tc>
                <w:tcPr>
                  <w:tcW w:w="468" w:type="pct"/>
                  <w:vAlign w:val="center"/>
                </w:tcPr>
                <w:p w14:paraId="01338D4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2850</w:t>
                  </w:r>
                </w:p>
              </w:tc>
              <w:tc>
                <w:tcPr>
                  <w:tcW w:w="433" w:type="pct"/>
                  <w:vAlign w:val="center"/>
                </w:tcPr>
                <w:p w14:paraId="7483E6A5">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4200</w:t>
                  </w:r>
                </w:p>
              </w:tc>
              <w:tc>
                <w:tcPr>
                  <w:tcW w:w="450" w:type="pct"/>
                  <w:vAlign w:val="center"/>
                </w:tcPr>
                <w:p w14:paraId="005C5813">
                  <w:pPr>
                    <w:widowControl/>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50</w:t>
                  </w:r>
                </w:p>
              </w:tc>
              <w:tc>
                <w:tcPr>
                  <w:tcW w:w="660" w:type="pct"/>
                  <w:vAlign w:val="center"/>
                </w:tcPr>
                <w:p w14:paraId="5FC23F35">
                  <w:pPr>
                    <w:widowControl/>
                    <w:jc w:val="center"/>
                    <w:rPr>
                      <w:rFonts w:hint="default"/>
                      <w:color w:val="auto"/>
                      <w:szCs w:val="21"/>
                      <w:highlight w:val="none"/>
                      <w:lang w:val="en-US"/>
                    </w:rPr>
                  </w:pPr>
                  <w:r>
                    <w:rPr>
                      <w:rFonts w:hint="eastAsia"/>
                      <w:color w:val="auto"/>
                      <w:szCs w:val="21"/>
                      <w:highlight w:val="none"/>
                      <w:lang w:val="en-US" w:eastAsia="zh-CN"/>
                    </w:rPr>
                    <w:t>现有项目生产成品</w:t>
                  </w:r>
                </w:p>
              </w:tc>
            </w:tr>
            <w:tr w14:paraId="0FD65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460FE38E">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16</w:t>
                  </w:r>
                </w:p>
              </w:tc>
              <w:tc>
                <w:tcPr>
                  <w:tcW w:w="586" w:type="pct"/>
                  <w:vAlign w:val="center"/>
                </w:tcPr>
                <w:p w14:paraId="23FAC9E8">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脱脂粉（137A）</w:t>
                  </w:r>
                </w:p>
              </w:tc>
              <w:tc>
                <w:tcPr>
                  <w:tcW w:w="1284" w:type="pct"/>
                  <w:vAlign w:val="center"/>
                </w:tcPr>
                <w:p w14:paraId="727C80CE">
                  <w:pPr>
                    <w:widowControl/>
                    <w:jc w:val="center"/>
                    <w:rPr>
                      <w:color w:val="auto"/>
                      <w:szCs w:val="21"/>
                      <w:highlight w:val="none"/>
                    </w:rPr>
                  </w:pPr>
                  <w:r>
                    <w:rPr>
                      <w:rFonts w:hint="eastAsia"/>
                      <w:color w:val="auto"/>
                      <w:szCs w:val="21"/>
                      <w:highlight w:val="none"/>
                    </w:rPr>
                    <w:t>硅酸盐60%、碳酸盐32%</w:t>
                  </w:r>
                  <w:r>
                    <w:rPr>
                      <w:rFonts w:hint="eastAsia"/>
                      <w:color w:val="auto"/>
                      <w:szCs w:val="21"/>
                      <w:highlight w:val="none"/>
                      <w:lang w:eastAsia="zh-CN"/>
                    </w:rPr>
                    <w:t>、</w:t>
                  </w:r>
                  <w:r>
                    <w:rPr>
                      <w:rFonts w:hint="eastAsia"/>
                      <w:color w:val="auto"/>
                      <w:szCs w:val="21"/>
                      <w:highlight w:val="none"/>
                    </w:rPr>
                    <w:t>非离子界面活性剂8%</w:t>
                  </w:r>
                </w:p>
              </w:tc>
              <w:tc>
                <w:tcPr>
                  <w:tcW w:w="347" w:type="pct"/>
                  <w:vAlign w:val="center"/>
                </w:tcPr>
                <w:p w14:paraId="47212AA3">
                  <w:pPr>
                    <w:widowControl/>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桶装</w:t>
                  </w:r>
                </w:p>
              </w:tc>
              <w:tc>
                <w:tcPr>
                  <w:tcW w:w="487" w:type="pct"/>
                  <w:vAlign w:val="center"/>
                </w:tcPr>
                <w:p w14:paraId="4ECA1129">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1.1</w:t>
                  </w:r>
                </w:p>
              </w:tc>
              <w:tc>
                <w:tcPr>
                  <w:tcW w:w="468" w:type="pct"/>
                  <w:vAlign w:val="center"/>
                </w:tcPr>
                <w:p w14:paraId="50E059D5">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5417F10C">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1.1</w:t>
                  </w:r>
                </w:p>
              </w:tc>
              <w:tc>
                <w:tcPr>
                  <w:tcW w:w="450" w:type="pct"/>
                  <w:vAlign w:val="center"/>
                </w:tcPr>
                <w:p w14:paraId="31DC004C">
                  <w:pPr>
                    <w:widowControl/>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0.2</w:t>
                  </w:r>
                </w:p>
              </w:tc>
              <w:tc>
                <w:tcPr>
                  <w:tcW w:w="660" w:type="pct"/>
                  <w:vAlign w:val="center"/>
                </w:tcPr>
                <w:p w14:paraId="48A4E466">
                  <w:pPr>
                    <w:widowControl/>
                    <w:jc w:val="center"/>
                    <w:rPr>
                      <w:color w:val="auto"/>
                      <w:szCs w:val="21"/>
                      <w:highlight w:val="none"/>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7F5E3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45EC4B6D">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17</w:t>
                  </w:r>
                </w:p>
              </w:tc>
              <w:tc>
                <w:tcPr>
                  <w:tcW w:w="586" w:type="pct"/>
                  <w:vAlign w:val="center"/>
                </w:tcPr>
                <w:p w14:paraId="1E94E0B1">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脱脂剂（102A）</w:t>
                  </w:r>
                </w:p>
              </w:tc>
              <w:tc>
                <w:tcPr>
                  <w:tcW w:w="1284" w:type="pct"/>
                  <w:vAlign w:val="center"/>
                </w:tcPr>
                <w:p w14:paraId="6130E8AE">
                  <w:pPr>
                    <w:widowControl/>
                    <w:jc w:val="center"/>
                    <w:rPr>
                      <w:rFonts w:hint="eastAsia" w:eastAsia="宋体"/>
                      <w:color w:val="auto"/>
                      <w:szCs w:val="21"/>
                      <w:highlight w:val="none"/>
                      <w:lang w:eastAsia="zh-CN"/>
                    </w:rPr>
                  </w:pPr>
                  <w:r>
                    <w:rPr>
                      <w:rFonts w:hint="eastAsia" w:eastAsia="宋体"/>
                      <w:color w:val="auto"/>
                      <w:szCs w:val="21"/>
                      <w:highlight w:val="none"/>
                      <w:lang w:eastAsia="zh-CN"/>
                    </w:rPr>
                    <w:t>硅酸盐55%、碳酸盐35%</w:t>
                  </w:r>
                  <w:r>
                    <w:rPr>
                      <w:rFonts w:hint="eastAsia"/>
                      <w:color w:val="auto"/>
                      <w:szCs w:val="21"/>
                      <w:highlight w:val="none"/>
                      <w:lang w:eastAsia="zh-CN"/>
                    </w:rPr>
                    <w:t>、</w:t>
                  </w:r>
                  <w:r>
                    <w:rPr>
                      <w:rFonts w:hint="eastAsia" w:eastAsia="宋体"/>
                      <w:color w:val="auto"/>
                      <w:szCs w:val="21"/>
                      <w:highlight w:val="none"/>
                      <w:lang w:eastAsia="zh-CN"/>
                    </w:rPr>
                    <w:t>非离子界面活性剂10%</w:t>
                  </w:r>
                </w:p>
              </w:tc>
              <w:tc>
                <w:tcPr>
                  <w:tcW w:w="347" w:type="pct"/>
                  <w:vAlign w:val="center"/>
                </w:tcPr>
                <w:p w14:paraId="2F61037D">
                  <w:pPr>
                    <w:widowControl/>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桶装</w:t>
                  </w:r>
                </w:p>
              </w:tc>
              <w:tc>
                <w:tcPr>
                  <w:tcW w:w="487" w:type="pct"/>
                  <w:vAlign w:val="center"/>
                </w:tcPr>
                <w:p w14:paraId="272C336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1.8</w:t>
                  </w:r>
                </w:p>
              </w:tc>
              <w:tc>
                <w:tcPr>
                  <w:tcW w:w="468" w:type="pct"/>
                  <w:vAlign w:val="center"/>
                </w:tcPr>
                <w:p w14:paraId="5FC69BEE">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3B86AB75">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1.8</w:t>
                  </w:r>
                </w:p>
              </w:tc>
              <w:tc>
                <w:tcPr>
                  <w:tcW w:w="450" w:type="pct"/>
                  <w:vAlign w:val="center"/>
                </w:tcPr>
                <w:p w14:paraId="3AC8CDED">
                  <w:pPr>
                    <w:widowControl/>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0.2</w:t>
                  </w:r>
                </w:p>
              </w:tc>
              <w:tc>
                <w:tcPr>
                  <w:tcW w:w="660" w:type="pct"/>
                  <w:vAlign w:val="center"/>
                </w:tcPr>
                <w:p w14:paraId="6B6F0794">
                  <w:pPr>
                    <w:widowControl/>
                    <w:jc w:val="center"/>
                    <w:rPr>
                      <w:color w:val="auto"/>
                      <w:szCs w:val="21"/>
                      <w:highlight w:val="none"/>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1E6A3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2EC407BE">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18</w:t>
                  </w:r>
                </w:p>
              </w:tc>
              <w:tc>
                <w:tcPr>
                  <w:tcW w:w="586" w:type="pct"/>
                  <w:vAlign w:val="center"/>
                </w:tcPr>
                <w:p w14:paraId="14EC849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脱脂剂（113B）</w:t>
                  </w:r>
                </w:p>
              </w:tc>
              <w:tc>
                <w:tcPr>
                  <w:tcW w:w="1284" w:type="pct"/>
                  <w:vAlign w:val="center"/>
                </w:tcPr>
                <w:p w14:paraId="0AF823F3">
                  <w:pPr>
                    <w:widowControl/>
                    <w:jc w:val="center"/>
                    <w:rPr>
                      <w:rFonts w:hint="eastAsia" w:eastAsia="宋体"/>
                      <w:color w:val="auto"/>
                      <w:szCs w:val="21"/>
                      <w:highlight w:val="none"/>
                      <w:lang w:eastAsia="zh-CN"/>
                    </w:rPr>
                  </w:pPr>
                  <w:r>
                    <w:rPr>
                      <w:rFonts w:hint="eastAsia" w:eastAsia="宋体"/>
                      <w:color w:val="auto"/>
                      <w:szCs w:val="21"/>
                      <w:highlight w:val="none"/>
                      <w:lang w:eastAsia="zh-CN"/>
                    </w:rPr>
                    <w:t>非离子表面活性剂8%</w:t>
                  </w:r>
                  <w:r>
                    <w:rPr>
                      <w:rFonts w:hint="eastAsia"/>
                      <w:color w:val="auto"/>
                      <w:szCs w:val="21"/>
                      <w:highlight w:val="none"/>
                      <w:lang w:eastAsia="zh-CN"/>
                    </w:rPr>
                    <w:t>、</w:t>
                  </w:r>
                  <w:r>
                    <w:rPr>
                      <w:rFonts w:hint="eastAsia" w:eastAsia="宋体"/>
                      <w:color w:val="auto"/>
                      <w:szCs w:val="21"/>
                      <w:highlight w:val="none"/>
                      <w:lang w:eastAsia="zh-CN"/>
                    </w:rPr>
                    <w:t>水92%</w:t>
                  </w:r>
                </w:p>
              </w:tc>
              <w:tc>
                <w:tcPr>
                  <w:tcW w:w="347" w:type="pct"/>
                  <w:vAlign w:val="center"/>
                </w:tcPr>
                <w:p w14:paraId="6A6A6795">
                  <w:pPr>
                    <w:widowControl/>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桶装</w:t>
                  </w:r>
                </w:p>
              </w:tc>
              <w:tc>
                <w:tcPr>
                  <w:tcW w:w="487" w:type="pct"/>
                  <w:vAlign w:val="center"/>
                </w:tcPr>
                <w:p w14:paraId="4B120656">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0.9</w:t>
                  </w:r>
                </w:p>
              </w:tc>
              <w:tc>
                <w:tcPr>
                  <w:tcW w:w="468" w:type="pct"/>
                  <w:vAlign w:val="center"/>
                </w:tcPr>
                <w:p w14:paraId="7D1703BE">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433" w:type="pct"/>
                  <w:vAlign w:val="center"/>
                </w:tcPr>
                <w:p w14:paraId="543737B3">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0.9</w:t>
                  </w:r>
                </w:p>
              </w:tc>
              <w:tc>
                <w:tcPr>
                  <w:tcW w:w="450" w:type="pct"/>
                  <w:vAlign w:val="center"/>
                </w:tcPr>
                <w:p w14:paraId="290D0FF9">
                  <w:pPr>
                    <w:widowControl/>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0.1</w:t>
                  </w:r>
                </w:p>
              </w:tc>
              <w:tc>
                <w:tcPr>
                  <w:tcW w:w="660" w:type="pct"/>
                  <w:vAlign w:val="center"/>
                </w:tcPr>
                <w:p w14:paraId="1AADB860">
                  <w:pPr>
                    <w:widowControl/>
                    <w:jc w:val="center"/>
                    <w:rPr>
                      <w:rFonts w:hint="eastAsia"/>
                      <w:color w:val="auto"/>
                      <w:szCs w:val="21"/>
                      <w:highlight w:val="none"/>
                      <w:lang w:val="en-US" w:eastAsia="zh-CN"/>
                    </w:rPr>
                  </w:pPr>
                  <w:r>
                    <w:rPr>
                      <w:rFonts w:hint="eastAsia"/>
                      <w:color w:val="auto"/>
                      <w:szCs w:val="21"/>
                      <w:highlight w:val="none"/>
                      <w:lang w:val="en-US" w:eastAsia="zh-CN"/>
                    </w:rPr>
                    <w:t>液态</w:t>
                  </w:r>
                  <w:r>
                    <w:rPr>
                      <w:rFonts w:hint="eastAsia"/>
                      <w:color w:val="auto"/>
                      <w:szCs w:val="21"/>
                      <w:highlight w:val="none"/>
                      <w:lang w:eastAsia="zh-CN"/>
                    </w:rPr>
                    <w:t>，</w:t>
                  </w:r>
                  <w:r>
                    <w:rPr>
                      <w:rFonts w:hint="eastAsia"/>
                      <w:color w:val="auto"/>
                      <w:szCs w:val="21"/>
                      <w:highlight w:val="none"/>
                    </w:rPr>
                    <w:t>外购</w:t>
                  </w:r>
                </w:p>
              </w:tc>
            </w:tr>
            <w:tr w14:paraId="04701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40029F66">
                  <w:pPr>
                    <w:widowControl/>
                    <w:jc w:val="center"/>
                    <w:rPr>
                      <w:rFonts w:hint="eastAsia"/>
                      <w:color w:val="auto"/>
                      <w:szCs w:val="21"/>
                      <w:highlight w:val="none"/>
                      <w:lang w:val="en-US" w:eastAsia="zh-CN"/>
                    </w:rPr>
                  </w:pPr>
                  <w:r>
                    <w:rPr>
                      <w:rFonts w:hint="eastAsia"/>
                      <w:color w:val="auto"/>
                      <w:szCs w:val="21"/>
                      <w:highlight w:val="none"/>
                      <w:lang w:val="en-US" w:eastAsia="zh-CN"/>
                    </w:rPr>
                    <w:t>19</w:t>
                  </w:r>
                </w:p>
              </w:tc>
              <w:tc>
                <w:tcPr>
                  <w:tcW w:w="586" w:type="pct"/>
                  <w:vAlign w:val="center"/>
                </w:tcPr>
                <w:p w14:paraId="652368E8">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无磷转化剂</w:t>
                  </w:r>
                </w:p>
              </w:tc>
              <w:tc>
                <w:tcPr>
                  <w:tcW w:w="1284" w:type="pct"/>
                  <w:vAlign w:val="center"/>
                </w:tcPr>
                <w:p w14:paraId="2551B512">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eastAsia="zh-CN"/>
                    </w:rPr>
                    <w:t>氟锆酸10%、硅酸盐5%</w:t>
                  </w:r>
                  <w:r>
                    <w:rPr>
                      <w:rFonts w:hint="eastAsia"/>
                      <w:color w:val="auto"/>
                      <w:szCs w:val="21"/>
                      <w:highlight w:val="none"/>
                      <w:lang w:eastAsia="zh-CN"/>
                    </w:rPr>
                    <w:t>、</w:t>
                  </w:r>
                  <w:r>
                    <w:rPr>
                      <w:rFonts w:hint="eastAsia" w:eastAsia="宋体"/>
                      <w:color w:val="auto"/>
                      <w:szCs w:val="21"/>
                      <w:highlight w:val="none"/>
                      <w:lang w:eastAsia="zh-CN"/>
                    </w:rPr>
                    <w:t>水85%</w:t>
                  </w:r>
                </w:p>
              </w:tc>
              <w:tc>
                <w:tcPr>
                  <w:tcW w:w="347" w:type="pct"/>
                  <w:vAlign w:val="center"/>
                </w:tcPr>
                <w:p w14:paraId="522A9206">
                  <w:pPr>
                    <w:widowControl/>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桶装</w:t>
                  </w:r>
                </w:p>
              </w:tc>
              <w:tc>
                <w:tcPr>
                  <w:tcW w:w="487" w:type="pct"/>
                  <w:vAlign w:val="center"/>
                </w:tcPr>
                <w:p w14:paraId="71A16B0A">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2.25</w:t>
                  </w:r>
                </w:p>
              </w:tc>
              <w:tc>
                <w:tcPr>
                  <w:tcW w:w="468" w:type="pct"/>
                  <w:vAlign w:val="center"/>
                </w:tcPr>
                <w:p w14:paraId="6B2188AC">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433" w:type="pct"/>
                  <w:vAlign w:val="center"/>
                </w:tcPr>
                <w:p w14:paraId="2AAE0831">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2.25</w:t>
                  </w:r>
                </w:p>
              </w:tc>
              <w:tc>
                <w:tcPr>
                  <w:tcW w:w="450" w:type="pct"/>
                  <w:vAlign w:val="center"/>
                </w:tcPr>
                <w:p w14:paraId="245A7FB3">
                  <w:pPr>
                    <w:widowControl/>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0.5</w:t>
                  </w:r>
                </w:p>
              </w:tc>
              <w:tc>
                <w:tcPr>
                  <w:tcW w:w="660" w:type="pct"/>
                  <w:vAlign w:val="center"/>
                </w:tcPr>
                <w:p w14:paraId="3ED65A86">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液态</w:t>
                  </w:r>
                  <w:r>
                    <w:rPr>
                      <w:rFonts w:hint="eastAsia"/>
                      <w:color w:val="auto"/>
                      <w:szCs w:val="21"/>
                      <w:highlight w:val="none"/>
                      <w:lang w:eastAsia="zh-CN"/>
                    </w:rPr>
                    <w:t>，</w:t>
                  </w:r>
                  <w:r>
                    <w:rPr>
                      <w:rFonts w:hint="eastAsia"/>
                      <w:color w:val="auto"/>
                      <w:szCs w:val="21"/>
                      <w:highlight w:val="none"/>
                    </w:rPr>
                    <w:t>外购</w:t>
                  </w:r>
                </w:p>
              </w:tc>
            </w:tr>
            <w:tr w14:paraId="1E6AE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30F48386">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586" w:type="pct"/>
                  <w:vAlign w:val="center"/>
                </w:tcPr>
                <w:p w14:paraId="31F49341">
                  <w:pPr>
                    <w:widowControl/>
                    <w:jc w:val="center"/>
                    <w:rPr>
                      <w:rFonts w:hint="default"/>
                      <w:color w:val="auto"/>
                      <w:szCs w:val="21"/>
                      <w:highlight w:val="none"/>
                      <w:lang w:val="en-US" w:eastAsia="zh-CN"/>
                    </w:rPr>
                  </w:pPr>
                  <w:r>
                    <w:rPr>
                      <w:rFonts w:hint="eastAsia"/>
                      <w:color w:val="auto"/>
                      <w:szCs w:val="21"/>
                      <w:highlight w:val="none"/>
                      <w:lang w:val="en-US" w:eastAsia="zh-CN"/>
                    </w:rPr>
                    <w:t>102脱脂粉</w:t>
                  </w:r>
                </w:p>
              </w:tc>
              <w:tc>
                <w:tcPr>
                  <w:tcW w:w="1284" w:type="pct"/>
                  <w:vAlign w:val="center"/>
                </w:tcPr>
                <w:p w14:paraId="1E7F657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偏硅酸钠45~55%、磷酸三钠20~30%、碳酸钠10~15%、非离子介面活性剂5~10%</w:t>
                  </w:r>
                </w:p>
              </w:tc>
              <w:tc>
                <w:tcPr>
                  <w:tcW w:w="347" w:type="pct"/>
                  <w:vAlign w:val="center"/>
                </w:tcPr>
                <w:p w14:paraId="7B822F77">
                  <w:pPr>
                    <w:widowControl/>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桶装</w:t>
                  </w:r>
                </w:p>
              </w:tc>
              <w:tc>
                <w:tcPr>
                  <w:tcW w:w="487" w:type="pct"/>
                  <w:vAlign w:val="center"/>
                </w:tcPr>
                <w:p w14:paraId="3B78A083">
                  <w:pPr>
                    <w:widowControl/>
                    <w:jc w:val="center"/>
                    <w:rPr>
                      <w:rFonts w:hint="default"/>
                      <w:color w:val="auto"/>
                      <w:szCs w:val="21"/>
                      <w:highlight w:val="none"/>
                      <w:lang w:val="en-US" w:eastAsia="zh-CN"/>
                    </w:rPr>
                  </w:pPr>
                  <w:r>
                    <w:rPr>
                      <w:rFonts w:hint="eastAsia"/>
                      <w:color w:val="auto"/>
                      <w:szCs w:val="21"/>
                      <w:highlight w:val="none"/>
                      <w:lang w:val="en-US" w:eastAsia="zh-CN"/>
                    </w:rPr>
                    <w:t>/</w:t>
                  </w:r>
                </w:p>
              </w:tc>
              <w:tc>
                <w:tcPr>
                  <w:tcW w:w="468" w:type="pct"/>
                  <w:vAlign w:val="center"/>
                </w:tcPr>
                <w:p w14:paraId="0104609C">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12.1</w:t>
                  </w:r>
                </w:p>
              </w:tc>
              <w:tc>
                <w:tcPr>
                  <w:tcW w:w="433" w:type="pct"/>
                  <w:vAlign w:val="center"/>
                </w:tcPr>
                <w:p w14:paraId="25754156">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12.1</w:t>
                  </w:r>
                </w:p>
              </w:tc>
              <w:tc>
                <w:tcPr>
                  <w:tcW w:w="450" w:type="pct"/>
                  <w:vAlign w:val="center"/>
                </w:tcPr>
                <w:p w14:paraId="5CF1012D">
                  <w:pPr>
                    <w:widowControl/>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660" w:type="pct"/>
                  <w:vAlign w:val="center"/>
                </w:tcPr>
                <w:p w14:paraId="404A49F4">
                  <w:pPr>
                    <w:widowControl/>
                    <w:jc w:val="center"/>
                    <w:rPr>
                      <w:rFonts w:hint="eastAsia"/>
                      <w:color w:val="auto"/>
                      <w:szCs w:val="21"/>
                      <w:highlight w:val="none"/>
                      <w:lang w:val="en-US" w:eastAsia="zh-CN"/>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0AD62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3772E329">
                  <w:pPr>
                    <w:widowControl/>
                    <w:jc w:val="center"/>
                    <w:rPr>
                      <w:rFonts w:hint="default"/>
                      <w:color w:val="auto"/>
                      <w:szCs w:val="21"/>
                      <w:highlight w:val="none"/>
                      <w:lang w:val="en-US" w:eastAsia="zh-CN"/>
                    </w:rPr>
                  </w:pPr>
                  <w:r>
                    <w:rPr>
                      <w:rFonts w:hint="eastAsia"/>
                      <w:color w:val="auto"/>
                      <w:szCs w:val="21"/>
                      <w:highlight w:val="none"/>
                      <w:lang w:val="en-US" w:eastAsia="zh-CN"/>
                    </w:rPr>
                    <w:t>21</w:t>
                  </w:r>
                </w:p>
              </w:tc>
              <w:tc>
                <w:tcPr>
                  <w:tcW w:w="586" w:type="pct"/>
                  <w:vAlign w:val="center"/>
                </w:tcPr>
                <w:p w14:paraId="2D6DB012">
                  <w:pPr>
                    <w:widowControl/>
                    <w:jc w:val="center"/>
                    <w:rPr>
                      <w:rFonts w:hint="default"/>
                      <w:color w:val="auto"/>
                      <w:szCs w:val="21"/>
                      <w:highlight w:val="none"/>
                      <w:lang w:val="en-US" w:eastAsia="zh-CN"/>
                    </w:rPr>
                  </w:pPr>
                  <w:r>
                    <w:rPr>
                      <w:rFonts w:hint="eastAsia"/>
                      <w:color w:val="auto"/>
                      <w:szCs w:val="21"/>
                      <w:highlight w:val="none"/>
                      <w:lang w:val="en-US" w:eastAsia="zh-CN"/>
                    </w:rPr>
                    <w:t>表调剂</w:t>
                  </w:r>
                </w:p>
              </w:tc>
              <w:tc>
                <w:tcPr>
                  <w:tcW w:w="1284" w:type="pct"/>
                  <w:vAlign w:val="center"/>
                </w:tcPr>
                <w:p w14:paraId="04F0EDE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磷酸氢二钠50~70%、三聚磷酸钠20~30%、磷酸钛1~10%</w:t>
                  </w:r>
                </w:p>
              </w:tc>
              <w:tc>
                <w:tcPr>
                  <w:tcW w:w="347" w:type="pct"/>
                  <w:vAlign w:val="center"/>
                </w:tcPr>
                <w:p w14:paraId="720E962F">
                  <w:pPr>
                    <w:widowControl/>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桶装</w:t>
                  </w:r>
                </w:p>
              </w:tc>
              <w:tc>
                <w:tcPr>
                  <w:tcW w:w="487" w:type="pct"/>
                  <w:vAlign w:val="center"/>
                </w:tcPr>
                <w:p w14:paraId="3F78DEAA">
                  <w:pPr>
                    <w:widowControl/>
                    <w:jc w:val="center"/>
                    <w:rPr>
                      <w:rFonts w:hint="default"/>
                      <w:color w:val="auto"/>
                      <w:szCs w:val="21"/>
                      <w:highlight w:val="none"/>
                      <w:lang w:val="en-US" w:eastAsia="zh-CN"/>
                    </w:rPr>
                  </w:pPr>
                  <w:r>
                    <w:rPr>
                      <w:rFonts w:hint="eastAsia"/>
                      <w:color w:val="auto"/>
                      <w:szCs w:val="21"/>
                      <w:highlight w:val="none"/>
                      <w:lang w:val="en-US" w:eastAsia="zh-CN"/>
                    </w:rPr>
                    <w:t>/</w:t>
                  </w:r>
                </w:p>
              </w:tc>
              <w:tc>
                <w:tcPr>
                  <w:tcW w:w="468" w:type="pct"/>
                  <w:vAlign w:val="center"/>
                </w:tcPr>
                <w:p w14:paraId="3919BE38">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0.750</w:t>
                  </w:r>
                </w:p>
              </w:tc>
              <w:tc>
                <w:tcPr>
                  <w:tcW w:w="433" w:type="pct"/>
                  <w:vAlign w:val="center"/>
                </w:tcPr>
                <w:p w14:paraId="3806EE2D">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0.750</w:t>
                  </w:r>
                </w:p>
              </w:tc>
              <w:tc>
                <w:tcPr>
                  <w:tcW w:w="450" w:type="pct"/>
                  <w:vAlign w:val="center"/>
                </w:tcPr>
                <w:p w14:paraId="606223CA">
                  <w:pPr>
                    <w:widowControl/>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0.08</w:t>
                  </w:r>
                </w:p>
              </w:tc>
              <w:tc>
                <w:tcPr>
                  <w:tcW w:w="660" w:type="pct"/>
                  <w:vAlign w:val="center"/>
                </w:tcPr>
                <w:p w14:paraId="223103AF">
                  <w:pPr>
                    <w:widowControl/>
                    <w:jc w:val="center"/>
                    <w:rPr>
                      <w:rFonts w:hint="eastAsia"/>
                      <w:color w:val="auto"/>
                      <w:szCs w:val="21"/>
                      <w:highlight w:val="none"/>
                      <w:lang w:val="en-US" w:eastAsia="zh-CN"/>
                    </w:rPr>
                  </w:pPr>
                  <w:r>
                    <w:rPr>
                      <w:rFonts w:hint="eastAsia"/>
                      <w:color w:val="auto"/>
                      <w:szCs w:val="21"/>
                      <w:highlight w:val="none"/>
                      <w:lang w:val="en-US" w:eastAsia="zh-CN"/>
                    </w:rPr>
                    <w:t>固态</w:t>
                  </w:r>
                  <w:r>
                    <w:rPr>
                      <w:rFonts w:hint="eastAsia"/>
                      <w:color w:val="auto"/>
                      <w:szCs w:val="21"/>
                      <w:highlight w:val="none"/>
                      <w:lang w:eastAsia="zh-CN"/>
                    </w:rPr>
                    <w:t>，</w:t>
                  </w:r>
                  <w:r>
                    <w:rPr>
                      <w:rFonts w:hint="eastAsia"/>
                      <w:color w:val="auto"/>
                      <w:szCs w:val="21"/>
                      <w:highlight w:val="none"/>
                    </w:rPr>
                    <w:t>外购</w:t>
                  </w:r>
                </w:p>
              </w:tc>
            </w:tr>
            <w:tr w14:paraId="1C4E1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Align w:val="center"/>
                </w:tcPr>
                <w:p w14:paraId="0FC924B8">
                  <w:pPr>
                    <w:widowControl/>
                    <w:jc w:val="center"/>
                    <w:rPr>
                      <w:rFonts w:hint="default"/>
                      <w:color w:val="auto"/>
                      <w:szCs w:val="21"/>
                      <w:highlight w:val="none"/>
                      <w:lang w:val="en-US" w:eastAsia="zh-CN"/>
                    </w:rPr>
                  </w:pPr>
                  <w:r>
                    <w:rPr>
                      <w:rFonts w:hint="eastAsia"/>
                      <w:color w:val="auto"/>
                      <w:szCs w:val="21"/>
                      <w:highlight w:val="none"/>
                      <w:lang w:val="en-US" w:eastAsia="zh-CN"/>
                    </w:rPr>
                    <w:t>22</w:t>
                  </w:r>
                </w:p>
              </w:tc>
              <w:tc>
                <w:tcPr>
                  <w:tcW w:w="586" w:type="pct"/>
                  <w:vAlign w:val="center"/>
                </w:tcPr>
                <w:p w14:paraId="7F354D6F">
                  <w:pPr>
                    <w:widowControl/>
                    <w:jc w:val="center"/>
                    <w:rPr>
                      <w:rFonts w:hint="default"/>
                      <w:color w:val="auto"/>
                      <w:szCs w:val="21"/>
                      <w:highlight w:val="none"/>
                      <w:lang w:val="en-US" w:eastAsia="zh-CN"/>
                    </w:rPr>
                  </w:pPr>
                  <w:r>
                    <w:rPr>
                      <w:rFonts w:hint="eastAsia"/>
                      <w:color w:val="auto"/>
                      <w:szCs w:val="21"/>
                      <w:highlight w:val="none"/>
                      <w:lang w:val="en-US" w:eastAsia="zh-CN"/>
                    </w:rPr>
                    <w:t>皮膜液</w:t>
                  </w:r>
                </w:p>
              </w:tc>
              <w:tc>
                <w:tcPr>
                  <w:tcW w:w="1284" w:type="pct"/>
                  <w:vAlign w:val="center"/>
                </w:tcPr>
                <w:p w14:paraId="0F386694">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磷酸10~20%、硝酸5~10%、氧化锌5~20%、水</w:t>
                  </w:r>
                </w:p>
              </w:tc>
              <w:tc>
                <w:tcPr>
                  <w:tcW w:w="347" w:type="pct"/>
                  <w:vAlign w:val="center"/>
                </w:tcPr>
                <w:p w14:paraId="65AF2714">
                  <w:pPr>
                    <w:widowControl/>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桶装</w:t>
                  </w:r>
                </w:p>
              </w:tc>
              <w:tc>
                <w:tcPr>
                  <w:tcW w:w="487" w:type="pct"/>
                  <w:vAlign w:val="center"/>
                </w:tcPr>
                <w:p w14:paraId="3DFCEB5A">
                  <w:pPr>
                    <w:widowControl/>
                    <w:jc w:val="center"/>
                    <w:rPr>
                      <w:rFonts w:hint="default"/>
                      <w:color w:val="auto"/>
                      <w:szCs w:val="21"/>
                      <w:highlight w:val="none"/>
                      <w:lang w:val="en-US" w:eastAsia="zh-CN"/>
                    </w:rPr>
                  </w:pPr>
                  <w:r>
                    <w:rPr>
                      <w:rFonts w:hint="eastAsia"/>
                      <w:color w:val="auto"/>
                      <w:szCs w:val="21"/>
                      <w:highlight w:val="none"/>
                      <w:lang w:val="en-US" w:eastAsia="zh-CN"/>
                    </w:rPr>
                    <w:t>/</w:t>
                  </w:r>
                </w:p>
              </w:tc>
              <w:tc>
                <w:tcPr>
                  <w:tcW w:w="468" w:type="pct"/>
                  <w:vAlign w:val="center"/>
                </w:tcPr>
                <w:p w14:paraId="33063878">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19.5</w:t>
                  </w:r>
                </w:p>
              </w:tc>
              <w:tc>
                <w:tcPr>
                  <w:tcW w:w="433" w:type="pct"/>
                  <w:vAlign w:val="center"/>
                </w:tcPr>
                <w:p w14:paraId="1D61F56F">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19.5</w:t>
                  </w:r>
                </w:p>
              </w:tc>
              <w:tc>
                <w:tcPr>
                  <w:tcW w:w="450" w:type="pct"/>
                  <w:vAlign w:val="center"/>
                </w:tcPr>
                <w:p w14:paraId="4CB781BF">
                  <w:pPr>
                    <w:widowControl/>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660" w:type="pct"/>
                  <w:vAlign w:val="center"/>
                </w:tcPr>
                <w:p w14:paraId="768C9AFD">
                  <w:pPr>
                    <w:widowControl/>
                    <w:jc w:val="center"/>
                    <w:rPr>
                      <w:rFonts w:hint="eastAsia"/>
                      <w:color w:val="auto"/>
                      <w:szCs w:val="21"/>
                      <w:highlight w:val="none"/>
                      <w:lang w:val="en-US" w:eastAsia="zh-CN"/>
                    </w:rPr>
                  </w:pPr>
                  <w:r>
                    <w:rPr>
                      <w:rFonts w:hint="eastAsia"/>
                      <w:color w:val="auto"/>
                      <w:szCs w:val="21"/>
                      <w:highlight w:val="none"/>
                      <w:lang w:val="en-US" w:eastAsia="zh-CN"/>
                    </w:rPr>
                    <w:t>液态</w:t>
                  </w:r>
                  <w:r>
                    <w:rPr>
                      <w:rFonts w:hint="eastAsia"/>
                      <w:color w:val="auto"/>
                      <w:szCs w:val="21"/>
                      <w:highlight w:val="none"/>
                      <w:lang w:eastAsia="zh-CN"/>
                    </w:rPr>
                    <w:t>，</w:t>
                  </w:r>
                  <w:r>
                    <w:rPr>
                      <w:rFonts w:hint="eastAsia"/>
                      <w:color w:val="auto"/>
                      <w:szCs w:val="21"/>
                      <w:highlight w:val="none"/>
                    </w:rPr>
                    <w:t>外购</w:t>
                  </w:r>
                </w:p>
              </w:tc>
            </w:tr>
          </w:tbl>
          <w:p w14:paraId="5C540A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b/>
                <w:bCs/>
                <w:color w:val="auto"/>
                <w:highlight w:val="none"/>
                <w:lang w:val="en-US" w:eastAsia="zh-CN"/>
              </w:rPr>
            </w:pPr>
            <w:r>
              <w:rPr>
                <w:rFonts w:hint="eastAsia"/>
                <w:b/>
                <w:bCs/>
                <w:color w:val="auto"/>
                <w:highlight w:val="none"/>
                <w:lang w:val="en-US" w:eastAsia="zh-CN"/>
              </w:rPr>
              <w:t>塑粉用量可行性分析：</w:t>
            </w:r>
          </w:p>
          <w:p w14:paraId="0241FB3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根据建设单位提供情况，项目喷塑厚度</w:t>
            </w:r>
            <w:r>
              <w:rPr>
                <w:rFonts w:hint="eastAsia"/>
                <w:b w:val="0"/>
                <w:bCs w:val="0"/>
                <w:color w:val="auto"/>
                <w:highlight w:val="none"/>
                <w:lang w:val="en-US" w:eastAsia="zh-CN"/>
              </w:rPr>
              <w:t>约</w:t>
            </w:r>
            <w:r>
              <w:rPr>
                <w:rFonts w:hint="default"/>
                <w:b w:val="0"/>
                <w:bCs w:val="0"/>
                <w:color w:val="auto"/>
                <w:highlight w:val="none"/>
                <w:lang w:val="en-US" w:eastAsia="zh-CN"/>
              </w:rPr>
              <w:t>为</w:t>
            </w:r>
            <w:r>
              <w:rPr>
                <w:rFonts w:hint="default" w:ascii="Times New Roman" w:hAnsi="Times New Roman" w:cs="Times New Roman"/>
                <w:b w:val="0"/>
                <w:bCs w:val="0"/>
                <w:color w:val="auto"/>
                <w:highlight w:val="none"/>
                <w:lang w:val="en-US" w:eastAsia="zh-CN"/>
              </w:rPr>
              <w:t>120μm，本</w:t>
            </w:r>
            <w:r>
              <w:rPr>
                <w:rFonts w:hint="default"/>
                <w:b w:val="0"/>
                <w:bCs w:val="0"/>
                <w:color w:val="auto"/>
                <w:highlight w:val="none"/>
                <w:lang w:val="en-US" w:eastAsia="zh-CN"/>
              </w:rPr>
              <w:t>次评价厚度取0.08毫米，</w:t>
            </w:r>
            <w:r>
              <w:rPr>
                <w:rFonts w:hint="eastAsia"/>
                <w:b w:val="0"/>
                <w:bCs w:val="0"/>
                <w:color w:val="auto"/>
                <w:highlight w:val="none"/>
                <w:lang w:val="en-US" w:eastAsia="zh-CN"/>
              </w:rPr>
              <w:t>单个烤炉喷涂面积约2.6</w:t>
            </w:r>
            <w:r>
              <w:rPr>
                <w:rFonts w:hint="default"/>
                <w:b w:val="0"/>
                <w:bCs w:val="0"/>
                <w:color w:val="auto"/>
                <w:highlight w:val="none"/>
                <w:lang w:val="en-US" w:eastAsia="zh-CN"/>
              </w:rPr>
              <w:t>平方米</w:t>
            </w:r>
            <w:r>
              <w:rPr>
                <w:rFonts w:hint="eastAsia"/>
                <w:b w:val="0"/>
                <w:bCs w:val="0"/>
                <w:color w:val="auto"/>
                <w:highlight w:val="none"/>
                <w:lang w:val="en-US" w:eastAsia="zh-CN"/>
              </w:rPr>
              <w:t>，项目总喷涂面积约为13</w:t>
            </w:r>
            <w:r>
              <w:rPr>
                <w:rFonts w:hint="default"/>
                <w:b w:val="0"/>
                <w:bCs w:val="0"/>
                <w:color w:val="auto"/>
                <w:highlight w:val="none"/>
                <w:lang w:val="en-US" w:eastAsia="zh-CN"/>
              </w:rPr>
              <w:t>万</w:t>
            </w:r>
            <w:bookmarkStart w:id="18" w:name="OLE_LINK4"/>
            <w:r>
              <w:rPr>
                <w:rFonts w:hint="default"/>
                <w:b w:val="0"/>
                <w:bCs w:val="0"/>
                <w:color w:val="auto"/>
                <w:highlight w:val="none"/>
                <w:lang w:val="en-US" w:eastAsia="zh-CN"/>
              </w:rPr>
              <w:t>平方米</w:t>
            </w:r>
            <w:bookmarkEnd w:id="18"/>
            <w:r>
              <w:rPr>
                <w:rFonts w:hint="default"/>
                <w:b w:val="0"/>
                <w:bCs w:val="0"/>
                <w:color w:val="auto"/>
                <w:highlight w:val="none"/>
                <w:lang w:val="en-US" w:eastAsia="zh-CN"/>
              </w:rPr>
              <w:t>，喷涂塑粉体积为</w:t>
            </w:r>
            <w:r>
              <w:rPr>
                <w:rFonts w:hint="eastAsia"/>
                <w:b w:val="0"/>
                <w:bCs w:val="0"/>
                <w:color w:val="auto"/>
                <w:highlight w:val="none"/>
                <w:lang w:val="en-US" w:eastAsia="zh-CN"/>
              </w:rPr>
              <w:t>23.4</w:t>
            </w:r>
            <w:r>
              <w:rPr>
                <w:rFonts w:hint="default"/>
                <w:b w:val="0"/>
                <w:bCs w:val="0"/>
                <w:color w:val="auto"/>
                <w:highlight w:val="none"/>
                <w:lang w:val="en-US" w:eastAsia="zh-CN"/>
              </w:rPr>
              <w:t>立方米，根据建设单位提供</w:t>
            </w:r>
            <w:r>
              <w:rPr>
                <w:rFonts w:hint="eastAsia"/>
                <w:b w:val="0"/>
                <w:bCs w:val="0"/>
                <w:color w:val="auto"/>
                <w:highlight w:val="none"/>
                <w:lang w:val="en-US" w:eastAsia="zh-CN"/>
              </w:rPr>
              <w:t>塑粉</w:t>
            </w:r>
            <w:r>
              <w:rPr>
                <w:rFonts w:hint="default"/>
                <w:b w:val="0"/>
                <w:bCs w:val="0"/>
                <w:color w:val="auto"/>
                <w:highlight w:val="none"/>
                <w:lang w:val="en-US" w:eastAsia="zh-CN"/>
              </w:rPr>
              <w:t>密度约为1.</w:t>
            </w:r>
            <w:r>
              <w:rPr>
                <w:rFonts w:hint="eastAsia"/>
                <w:b w:val="0"/>
                <w:bCs w:val="0"/>
                <w:color w:val="auto"/>
                <w:highlight w:val="none"/>
                <w:lang w:val="en-US" w:eastAsia="zh-CN"/>
              </w:rPr>
              <w:t>2</w:t>
            </w:r>
            <w:r>
              <w:rPr>
                <w:rFonts w:hint="default"/>
                <w:b w:val="0"/>
                <w:bCs w:val="0"/>
                <w:color w:val="auto"/>
                <w:highlight w:val="none"/>
                <w:lang w:val="en-US" w:eastAsia="zh-CN"/>
              </w:rPr>
              <w:t>~1.</w:t>
            </w:r>
            <w:r>
              <w:rPr>
                <w:rFonts w:hint="eastAsia"/>
                <w:b w:val="0"/>
                <w:bCs w:val="0"/>
                <w:color w:val="auto"/>
                <w:highlight w:val="none"/>
                <w:lang w:val="en-US" w:eastAsia="zh-CN"/>
              </w:rPr>
              <w:t>5</w:t>
            </w:r>
            <w:r>
              <w:rPr>
                <w:rFonts w:hint="default"/>
                <w:b w:val="0"/>
                <w:bCs w:val="0"/>
                <w:color w:val="auto"/>
                <w:highlight w:val="none"/>
                <w:lang w:val="en-US" w:eastAsia="zh-CN"/>
              </w:rPr>
              <w:t>g/cm</w:t>
            </w:r>
            <w:r>
              <w:rPr>
                <w:rFonts w:hint="default"/>
                <w:b w:val="0"/>
                <w:bCs w:val="0"/>
                <w:color w:val="auto"/>
                <w:highlight w:val="none"/>
                <w:vertAlign w:val="superscript"/>
                <w:lang w:val="en-US" w:eastAsia="zh-CN"/>
              </w:rPr>
              <w:t>3</w:t>
            </w:r>
            <w:r>
              <w:rPr>
                <w:rFonts w:hint="default"/>
                <w:b w:val="0"/>
                <w:bCs w:val="0"/>
                <w:color w:val="auto"/>
                <w:highlight w:val="none"/>
                <w:lang w:val="en-US" w:eastAsia="zh-CN"/>
              </w:rPr>
              <w:t>，本次评价取</w:t>
            </w:r>
            <w:r>
              <w:rPr>
                <w:rFonts w:hint="eastAsia"/>
                <w:b w:val="0"/>
                <w:bCs w:val="0"/>
                <w:color w:val="auto"/>
                <w:highlight w:val="none"/>
                <w:lang w:val="en-US" w:eastAsia="zh-CN"/>
              </w:rPr>
              <w:t>1.5</w:t>
            </w:r>
            <w:r>
              <w:rPr>
                <w:rFonts w:hint="default"/>
                <w:b w:val="0"/>
                <w:bCs w:val="0"/>
                <w:color w:val="auto"/>
                <w:highlight w:val="none"/>
                <w:lang w:val="en-US" w:eastAsia="zh-CN"/>
              </w:rPr>
              <w:t>g/cm</w:t>
            </w:r>
            <w:r>
              <w:rPr>
                <w:rFonts w:hint="default"/>
                <w:b w:val="0"/>
                <w:bCs w:val="0"/>
                <w:color w:val="auto"/>
                <w:highlight w:val="none"/>
                <w:vertAlign w:val="superscript"/>
                <w:lang w:val="en-US" w:eastAsia="zh-CN"/>
              </w:rPr>
              <w:t>3</w:t>
            </w:r>
            <w:r>
              <w:rPr>
                <w:rFonts w:hint="default"/>
                <w:b w:val="0"/>
                <w:bCs w:val="0"/>
                <w:color w:val="auto"/>
                <w:highlight w:val="none"/>
                <w:lang w:val="en-US" w:eastAsia="zh-CN"/>
              </w:rPr>
              <w:t>，则附着在</w:t>
            </w:r>
            <w:r>
              <w:rPr>
                <w:rFonts w:hint="eastAsia"/>
                <w:b w:val="0"/>
                <w:bCs w:val="0"/>
                <w:color w:val="auto"/>
                <w:highlight w:val="none"/>
                <w:lang w:val="en-US" w:eastAsia="zh-CN"/>
              </w:rPr>
              <w:t>工件</w:t>
            </w:r>
            <w:r>
              <w:rPr>
                <w:rFonts w:hint="default"/>
                <w:b w:val="0"/>
                <w:bCs w:val="0"/>
                <w:color w:val="auto"/>
                <w:highlight w:val="none"/>
                <w:lang w:val="en-US" w:eastAsia="zh-CN"/>
              </w:rPr>
              <w:t>上的粉末量为</w:t>
            </w:r>
            <w:r>
              <w:rPr>
                <w:rFonts w:hint="eastAsia"/>
                <w:b w:val="0"/>
                <w:bCs w:val="0"/>
                <w:color w:val="auto"/>
                <w:highlight w:val="none"/>
                <w:lang w:val="en-US" w:eastAsia="zh-CN"/>
              </w:rPr>
              <w:t>35.1</w:t>
            </w:r>
            <w:r>
              <w:rPr>
                <w:rFonts w:hint="default"/>
                <w:b w:val="0"/>
                <w:bCs w:val="0"/>
                <w:color w:val="auto"/>
                <w:highlight w:val="none"/>
                <w:lang w:val="en-US" w:eastAsia="zh-CN"/>
              </w:rPr>
              <w:t>t，根据建设单位提供情况，粉末附着率为70%，</w:t>
            </w:r>
            <w:r>
              <w:rPr>
                <w:rFonts w:hint="eastAsia"/>
                <w:b w:val="0"/>
                <w:bCs w:val="0"/>
                <w:color w:val="auto"/>
                <w:highlight w:val="none"/>
                <w:lang w:val="en-US" w:eastAsia="zh-CN"/>
              </w:rPr>
              <w:t>未附着部分经收集处理后回用于喷塑工序。</w:t>
            </w:r>
            <w:r>
              <w:rPr>
                <w:rFonts w:hint="default"/>
                <w:b w:val="0"/>
                <w:bCs w:val="0"/>
                <w:color w:val="auto"/>
                <w:highlight w:val="none"/>
                <w:lang w:val="en-US" w:eastAsia="zh-CN"/>
              </w:rPr>
              <w:t>则项目塑粉用量</w:t>
            </w:r>
            <w:r>
              <w:rPr>
                <w:rFonts w:hint="eastAsia"/>
                <w:b w:val="0"/>
                <w:bCs w:val="0"/>
                <w:color w:val="auto"/>
                <w:highlight w:val="none"/>
                <w:lang w:val="en-US" w:eastAsia="zh-CN"/>
              </w:rPr>
              <w:t>约</w:t>
            </w:r>
            <w:r>
              <w:rPr>
                <w:rFonts w:hint="default"/>
                <w:b w:val="0"/>
                <w:bCs w:val="0"/>
                <w:color w:val="auto"/>
                <w:highlight w:val="none"/>
                <w:lang w:val="en-US" w:eastAsia="zh-CN"/>
              </w:rPr>
              <w:t>为</w:t>
            </w:r>
            <w:r>
              <w:rPr>
                <w:rFonts w:hint="eastAsia"/>
                <w:b w:val="0"/>
                <w:bCs w:val="0"/>
                <w:color w:val="auto"/>
                <w:highlight w:val="none"/>
                <w:lang w:val="en-US" w:eastAsia="zh-CN"/>
              </w:rPr>
              <w:t>35.6</w:t>
            </w:r>
            <w:r>
              <w:rPr>
                <w:rFonts w:hint="default"/>
                <w:b w:val="0"/>
                <w:bCs w:val="0"/>
                <w:color w:val="auto"/>
                <w:highlight w:val="none"/>
                <w:lang w:val="en-US" w:eastAsia="zh-CN"/>
              </w:rPr>
              <w:t>t/a。</w:t>
            </w:r>
          </w:p>
          <w:p w14:paraId="012A654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企业提供</w:t>
            </w:r>
            <w:r>
              <w:rPr>
                <w:rFonts w:hint="eastAsia"/>
                <w:b w:val="0"/>
                <w:bCs w:val="0"/>
                <w:color w:val="auto"/>
                <w:highlight w:val="none"/>
                <w:lang w:val="en-US" w:eastAsia="zh-CN"/>
              </w:rPr>
              <w:t>项目</w:t>
            </w:r>
            <w:r>
              <w:rPr>
                <w:rFonts w:hint="default"/>
                <w:b w:val="0"/>
                <w:bCs w:val="0"/>
                <w:color w:val="auto"/>
                <w:highlight w:val="none"/>
                <w:lang w:val="en-US" w:eastAsia="zh-CN"/>
              </w:rPr>
              <w:t>塑粉总用量为</w:t>
            </w:r>
            <w:r>
              <w:rPr>
                <w:rFonts w:hint="eastAsia"/>
                <w:b w:val="0"/>
                <w:bCs w:val="0"/>
                <w:color w:val="auto"/>
                <w:highlight w:val="none"/>
                <w:lang w:val="en-US" w:eastAsia="zh-CN"/>
              </w:rPr>
              <w:t>36</w:t>
            </w:r>
            <w:r>
              <w:rPr>
                <w:rFonts w:hint="default"/>
                <w:b w:val="0"/>
                <w:bCs w:val="0"/>
                <w:color w:val="auto"/>
                <w:highlight w:val="none"/>
                <w:lang w:val="en-US" w:eastAsia="zh-CN"/>
              </w:rPr>
              <w:t>t/a，考虑到在实际的施工过程中，由于涂装工件的形状、要求的</w:t>
            </w:r>
            <w:r>
              <w:rPr>
                <w:rFonts w:hint="eastAsia"/>
                <w:b w:val="0"/>
                <w:bCs w:val="0"/>
                <w:color w:val="auto"/>
                <w:highlight w:val="none"/>
                <w:lang w:val="en-US" w:eastAsia="zh-CN"/>
              </w:rPr>
              <w:t>塑粉</w:t>
            </w:r>
            <w:r>
              <w:rPr>
                <w:rFonts w:hint="default"/>
                <w:b w:val="0"/>
                <w:bCs w:val="0"/>
                <w:color w:val="auto"/>
                <w:highlight w:val="none"/>
                <w:lang w:val="en-US" w:eastAsia="zh-CN"/>
              </w:rPr>
              <w:t>厚度、涂装方法、工人的技术、环境条件等各种因素的影响，涂装的实际用量一定会大于理论用量，因此本项目</w:t>
            </w:r>
            <w:r>
              <w:rPr>
                <w:rFonts w:hint="eastAsia"/>
                <w:b w:val="0"/>
                <w:bCs w:val="0"/>
                <w:color w:val="auto"/>
                <w:highlight w:val="none"/>
                <w:lang w:val="en-US" w:eastAsia="zh-CN"/>
              </w:rPr>
              <w:t>塑粉</w:t>
            </w:r>
            <w:r>
              <w:rPr>
                <w:rFonts w:hint="default"/>
                <w:b w:val="0"/>
                <w:bCs w:val="0"/>
                <w:color w:val="auto"/>
                <w:highlight w:val="none"/>
                <w:lang w:val="en-US" w:eastAsia="zh-CN"/>
              </w:rPr>
              <w:t>用量</w:t>
            </w:r>
            <w:r>
              <w:rPr>
                <w:rFonts w:hint="eastAsia"/>
                <w:b w:val="0"/>
                <w:bCs w:val="0"/>
                <w:color w:val="auto"/>
                <w:highlight w:val="none"/>
                <w:lang w:val="en-US" w:eastAsia="zh-CN"/>
              </w:rPr>
              <w:t>36t/a合理。</w:t>
            </w:r>
          </w:p>
          <w:p w14:paraId="4D366712">
            <w:pPr>
              <w:pStyle w:val="104"/>
              <w:ind w:firstLine="420"/>
              <w:rPr>
                <w:bCs/>
                <w:color w:val="auto"/>
                <w:sz w:val="21"/>
                <w:szCs w:val="21"/>
                <w:highlight w:val="none"/>
              </w:rPr>
            </w:pPr>
            <w:r>
              <w:rPr>
                <w:color w:val="auto"/>
                <w:sz w:val="21"/>
                <w:szCs w:val="21"/>
                <w:highlight w:val="none"/>
              </w:rPr>
              <w:t>主要产品及原辅料理化性质见下表。</w:t>
            </w:r>
          </w:p>
          <w:p w14:paraId="425C83C3">
            <w:pPr>
              <w:adjustRightInd w:val="0"/>
              <w:snapToGrid w:val="0"/>
              <w:jc w:val="center"/>
              <w:rPr>
                <w:b/>
                <w:snapToGrid w:val="0"/>
                <w:color w:val="auto"/>
                <w:kern w:val="0"/>
                <w:szCs w:val="21"/>
                <w:highlight w:val="none"/>
              </w:rPr>
            </w:pPr>
            <w:r>
              <w:rPr>
                <w:b/>
                <w:snapToGrid w:val="0"/>
                <w:color w:val="auto"/>
                <w:kern w:val="0"/>
                <w:szCs w:val="21"/>
                <w:highlight w:val="none"/>
              </w:rPr>
              <w:t>表2-</w:t>
            </w:r>
            <w:r>
              <w:rPr>
                <w:rFonts w:hint="eastAsia"/>
                <w:b/>
                <w:snapToGrid w:val="0"/>
                <w:color w:val="auto"/>
                <w:kern w:val="0"/>
                <w:szCs w:val="21"/>
                <w:highlight w:val="none"/>
                <w:lang w:val="en-US" w:eastAsia="zh-CN"/>
              </w:rPr>
              <w:t>6</w:t>
            </w:r>
            <w:r>
              <w:rPr>
                <w:b/>
                <w:snapToGrid w:val="0"/>
                <w:color w:val="auto"/>
                <w:kern w:val="0"/>
                <w:szCs w:val="21"/>
                <w:highlight w:val="none"/>
              </w:rPr>
              <w:t xml:space="preserve"> 项目原辅材料理化性质表</w:t>
            </w:r>
          </w:p>
          <w:tbl>
            <w:tblPr>
              <w:tblStyle w:val="31"/>
              <w:tblW w:w="79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927"/>
              <w:gridCol w:w="4920"/>
              <w:gridCol w:w="1170"/>
              <w:gridCol w:w="960"/>
            </w:tblGrid>
            <w:tr w14:paraId="60648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927" w:type="dxa"/>
                  <w:tcBorders>
                    <w:tl2br w:val="nil"/>
                    <w:tr2bl w:val="nil"/>
                  </w:tcBorders>
                  <w:vAlign w:val="center"/>
                </w:tcPr>
                <w:p w14:paraId="2D1F7AA8">
                  <w:pPr>
                    <w:widowControl/>
                    <w:adjustRightInd w:val="0"/>
                    <w:snapToGrid w:val="0"/>
                    <w:jc w:val="center"/>
                    <w:rPr>
                      <w:rFonts w:hAnsi="宋体"/>
                      <w:color w:val="auto"/>
                      <w:sz w:val="21"/>
                      <w:szCs w:val="21"/>
                      <w:highlight w:val="none"/>
                    </w:rPr>
                  </w:pPr>
                  <w:r>
                    <w:rPr>
                      <w:rFonts w:hint="eastAsia" w:hAnsi="宋体"/>
                      <w:color w:val="auto"/>
                      <w:sz w:val="21"/>
                      <w:szCs w:val="21"/>
                      <w:highlight w:val="none"/>
                    </w:rPr>
                    <w:t>名称</w:t>
                  </w:r>
                </w:p>
              </w:tc>
              <w:tc>
                <w:tcPr>
                  <w:tcW w:w="4920" w:type="dxa"/>
                  <w:tcBorders>
                    <w:tl2br w:val="nil"/>
                    <w:tr2bl w:val="nil"/>
                  </w:tcBorders>
                  <w:vAlign w:val="center"/>
                </w:tcPr>
                <w:p w14:paraId="4148B9B6">
                  <w:pPr>
                    <w:widowControl/>
                    <w:adjustRightInd w:val="0"/>
                    <w:snapToGrid w:val="0"/>
                    <w:jc w:val="center"/>
                    <w:rPr>
                      <w:rFonts w:hAnsi="宋体"/>
                      <w:color w:val="auto"/>
                      <w:sz w:val="21"/>
                      <w:szCs w:val="21"/>
                      <w:highlight w:val="none"/>
                    </w:rPr>
                  </w:pPr>
                  <w:r>
                    <w:rPr>
                      <w:rFonts w:hint="eastAsia" w:hAnsi="宋体"/>
                      <w:color w:val="auto"/>
                      <w:sz w:val="21"/>
                      <w:szCs w:val="21"/>
                      <w:highlight w:val="none"/>
                    </w:rPr>
                    <w:t>理化性质</w:t>
                  </w:r>
                </w:p>
              </w:tc>
              <w:tc>
                <w:tcPr>
                  <w:tcW w:w="1170" w:type="dxa"/>
                  <w:tcBorders>
                    <w:tl2br w:val="nil"/>
                    <w:tr2bl w:val="nil"/>
                  </w:tcBorders>
                  <w:vAlign w:val="center"/>
                </w:tcPr>
                <w:p w14:paraId="5D547C1F">
                  <w:pPr>
                    <w:widowControl/>
                    <w:adjustRightInd w:val="0"/>
                    <w:snapToGrid w:val="0"/>
                    <w:jc w:val="center"/>
                    <w:rPr>
                      <w:rFonts w:hAnsi="宋体"/>
                      <w:color w:val="auto"/>
                      <w:sz w:val="21"/>
                      <w:szCs w:val="21"/>
                      <w:highlight w:val="none"/>
                    </w:rPr>
                  </w:pPr>
                  <w:r>
                    <w:rPr>
                      <w:rFonts w:hint="eastAsia" w:hAnsi="宋体"/>
                      <w:color w:val="auto"/>
                      <w:sz w:val="21"/>
                      <w:szCs w:val="21"/>
                      <w:highlight w:val="none"/>
                    </w:rPr>
                    <w:t>燃烧爆炸性</w:t>
                  </w:r>
                </w:p>
              </w:tc>
              <w:tc>
                <w:tcPr>
                  <w:tcW w:w="960" w:type="dxa"/>
                  <w:tcBorders>
                    <w:tl2br w:val="nil"/>
                    <w:tr2bl w:val="nil"/>
                  </w:tcBorders>
                  <w:vAlign w:val="center"/>
                </w:tcPr>
                <w:p w14:paraId="3B8032C7">
                  <w:pPr>
                    <w:widowControl/>
                    <w:adjustRightInd w:val="0"/>
                    <w:snapToGrid w:val="0"/>
                    <w:jc w:val="center"/>
                    <w:rPr>
                      <w:rFonts w:hAnsi="宋体"/>
                      <w:color w:val="auto"/>
                      <w:sz w:val="21"/>
                      <w:szCs w:val="21"/>
                      <w:highlight w:val="none"/>
                    </w:rPr>
                  </w:pPr>
                  <w:r>
                    <w:rPr>
                      <w:rFonts w:hint="eastAsia" w:hAnsi="宋体"/>
                      <w:color w:val="auto"/>
                      <w:sz w:val="21"/>
                      <w:szCs w:val="21"/>
                      <w:highlight w:val="none"/>
                    </w:rPr>
                    <w:t>毒性毒理</w:t>
                  </w:r>
                </w:p>
              </w:tc>
            </w:tr>
            <w:tr w14:paraId="47977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927" w:type="dxa"/>
                  <w:tcBorders>
                    <w:tl2br w:val="nil"/>
                    <w:tr2bl w:val="nil"/>
                  </w:tcBorders>
                  <w:vAlign w:val="center"/>
                </w:tcPr>
                <w:p w14:paraId="7611207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脱脂剂</w:t>
                  </w:r>
                </w:p>
              </w:tc>
              <w:tc>
                <w:tcPr>
                  <w:tcW w:w="4920" w:type="dxa"/>
                  <w:tcBorders>
                    <w:tl2br w:val="nil"/>
                    <w:tr2bl w:val="nil"/>
                  </w:tcBorders>
                  <w:vAlign w:val="center"/>
                </w:tcPr>
                <w:p w14:paraId="519E2E5F">
                  <w:pPr>
                    <w:autoSpaceDE w:val="0"/>
                    <w:autoSpaceDN w:val="0"/>
                    <w:adjustRightIn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lang w:val="en-US" w:eastAsia="zh-CN" w:bidi="ar"/>
                    </w:rPr>
                    <w:t>白色至粉红色结晶粉末，溶于水</w:t>
                  </w:r>
                </w:p>
              </w:tc>
              <w:tc>
                <w:tcPr>
                  <w:tcW w:w="1170" w:type="dxa"/>
                  <w:tcBorders>
                    <w:tl2br w:val="nil"/>
                    <w:tr2bl w:val="nil"/>
                  </w:tcBorders>
                  <w:vAlign w:val="center"/>
                </w:tcPr>
                <w:p w14:paraId="27E9460C">
                  <w:pPr>
                    <w:snapToGrid w:val="0"/>
                    <w:jc w:val="center"/>
                    <w:rPr>
                      <w:rFonts w:hint="eastAsia" w:hAnsi="宋体" w:eastAsia="宋体"/>
                      <w:color w:val="auto"/>
                      <w:sz w:val="21"/>
                      <w:szCs w:val="21"/>
                      <w:highlight w:val="none"/>
                      <w:lang w:eastAsia="zh-CN"/>
                    </w:rPr>
                  </w:pPr>
                  <w:r>
                    <w:rPr>
                      <w:rFonts w:hint="eastAsia"/>
                      <w:color w:val="auto"/>
                      <w:sz w:val="21"/>
                      <w:szCs w:val="21"/>
                      <w:highlight w:val="none"/>
                      <w:lang w:val="en-US" w:eastAsia="zh-CN"/>
                    </w:rPr>
                    <w:t>-</w:t>
                  </w:r>
                </w:p>
              </w:tc>
              <w:tc>
                <w:tcPr>
                  <w:tcW w:w="960" w:type="dxa"/>
                  <w:tcBorders>
                    <w:tl2br w:val="nil"/>
                    <w:tr2bl w:val="nil"/>
                  </w:tcBorders>
                  <w:vAlign w:val="center"/>
                </w:tcPr>
                <w:p w14:paraId="796B6383">
                  <w:pPr>
                    <w:snapToGrid w:val="0"/>
                    <w:jc w:val="center"/>
                    <w:rPr>
                      <w:rFonts w:hint="eastAsia" w:hAnsi="宋体" w:eastAsia="宋体"/>
                      <w:color w:val="auto"/>
                      <w:sz w:val="21"/>
                      <w:szCs w:val="21"/>
                      <w:highlight w:val="none"/>
                      <w:lang w:eastAsia="zh-CN"/>
                    </w:rPr>
                  </w:pPr>
                  <w:r>
                    <w:rPr>
                      <w:rFonts w:hint="eastAsia"/>
                      <w:color w:val="auto"/>
                      <w:sz w:val="21"/>
                      <w:szCs w:val="21"/>
                      <w:highlight w:val="none"/>
                      <w:lang w:val="en-US" w:eastAsia="zh-CN"/>
                    </w:rPr>
                    <w:t>-</w:t>
                  </w:r>
                </w:p>
              </w:tc>
            </w:tr>
            <w:tr w14:paraId="6A762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927" w:type="dxa"/>
                  <w:tcBorders>
                    <w:tl2br w:val="nil"/>
                    <w:tr2bl w:val="nil"/>
                  </w:tcBorders>
                  <w:vAlign w:val="center"/>
                </w:tcPr>
                <w:p w14:paraId="627D642E">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表调剂</w:t>
                  </w:r>
                </w:p>
              </w:tc>
              <w:tc>
                <w:tcPr>
                  <w:tcW w:w="4920" w:type="dxa"/>
                  <w:tcBorders>
                    <w:tl2br w:val="nil"/>
                    <w:tr2bl w:val="nil"/>
                  </w:tcBorders>
                  <w:vAlign w:val="center"/>
                </w:tcPr>
                <w:p w14:paraId="738B6371">
                  <w:pPr>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lang w:val="en-US" w:eastAsia="zh-CN" w:bidi="ar"/>
                    </w:rPr>
                    <w:t>白色固体粉末，溶于水</w:t>
                  </w:r>
                </w:p>
              </w:tc>
              <w:tc>
                <w:tcPr>
                  <w:tcW w:w="1170" w:type="dxa"/>
                  <w:tcBorders>
                    <w:tl2br w:val="nil"/>
                    <w:tr2bl w:val="nil"/>
                  </w:tcBorders>
                  <w:vAlign w:val="center"/>
                </w:tcPr>
                <w:p w14:paraId="43A1A99D">
                  <w:pPr>
                    <w:autoSpaceDE w:val="0"/>
                    <w:autoSpaceDN w:val="0"/>
                    <w:adjustRightInd w:val="0"/>
                    <w:snapToGrid w:val="0"/>
                    <w:jc w:val="center"/>
                    <w:rPr>
                      <w:rFonts w:hint="eastAsia" w:hAnsi="宋体" w:eastAsia="宋体"/>
                      <w:color w:val="auto"/>
                      <w:sz w:val="21"/>
                      <w:szCs w:val="21"/>
                      <w:highlight w:val="none"/>
                      <w:lang w:val="en-US" w:eastAsia="zh-CN"/>
                    </w:rPr>
                  </w:pPr>
                  <w:r>
                    <w:rPr>
                      <w:rFonts w:hint="eastAsia"/>
                      <w:color w:val="auto"/>
                      <w:kern w:val="0"/>
                      <w:sz w:val="21"/>
                      <w:szCs w:val="21"/>
                      <w:highlight w:val="none"/>
                      <w:lang w:val="en-US" w:eastAsia="zh-CN"/>
                    </w:rPr>
                    <w:t>-</w:t>
                  </w:r>
                </w:p>
              </w:tc>
              <w:tc>
                <w:tcPr>
                  <w:tcW w:w="960" w:type="dxa"/>
                  <w:tcBorders>
                    <w:tl2br w:val="nil"/>
                    <w:tr2bl w:val="nil"/>
                  </w:tcBorders>
                  <w:vAlign w:val="center"/>
                </w:tcPr>
                <w:p w14:paraId="4D776473">
                  <w:pPr>
                    <w:autoSpaceDE w:val="0"/>
                    <w:autoSpaceDN w:val="0"/>
                    <w:adjustRightInd w:val="0"/>
                    <w:snapToGrid w:val="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w:t>
                  </w:r>
                </w:p>
              </w:tc>
            </w:tr>
            <w:tr w14:paraId="19288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927" w:type="dxa"/>
                  <w:vAlign w:val="center"/>
                </w:tcPr>
                <w:p w14:paraId="7426A0E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皮膜液</w:t>
                  </w:r>
                </w:p>
              </w:tc>
              <w:tc>
                <w:tcPr>
                  <w:tcW w:w="4920" w:type="dxa"/>
                  <w:vAlign w:val="center"/>
                </w:tcPr>
                <w:p w14:paraId="6BE22E49">
                  <w:pPr>
                    <w:autoSpaceDE w:val="0"/>
                    <w:autoSpaceDN w:val="0"/>
                    <w:adjustRightInd w:val="0"/>
                    <w:snapToGrid w:val="0"/>
                    <w:jc w:val="center"/>
                    <w:rPr>
                      <w:rFonts w:hint="default" w:hAnsi="宋体" w:eastAsia="宋体"/>
                      <w:color w:val="auto"/>
                      <w:sz w:val="21"/>
                      <w:szCs w:val="21"/>
                      <w:highlight w:val="none"/>
                      <w:lang w:val="en-US" w:eastAsia="zh-CN"/>
                    </w:rPr>
                  </w:pPr>
                  <w:r>
                    <w:rPr>
                      <w:rFonts w:hint="eastAsia" w:hAnsi="宋体"/>
                      <w:color w:val="auto"/>
                      <w:sz w:val="21"/>
                      <w:szCs w:val="21"/>
                      <w:highlight w:val="none"/>
                      <w:lang w:val="en-US" w:eastAsia="zh-CN"/>
                    </w:rPr>
                    <w:t>淡绿色液体，全溶于水，pH值2.0±0.5，与水比重1.25±0.02</w:t>
                  </w:r>
                </w:p>
              </w:tc>
              <w:tc>
                <w:tcPr>
                  <w:tcW w:w="0" w:type="auto"/>
                  <w:vAlign w:val="center"/>
                </w:tcPr>
                <w:p w14:paraId="4044E35E">
                  <w:pPr>
                    <w:autoSpaceDE w:val="0"/>
                    <w:autoSpaceDN w:val="0"/>
                    <w:adjustRightInd w:val="0"/>
                    <w:snapToGrid w:val="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w:t>
                  </w:r>
                </w:p>
              </w:tc>
              <w:tc>
                <w:tcPr>
                  <w:tcW w:w="0" w:type="auto"/>
                  <w:vAlign w:val="center"/>
                </w:tcPr>
                <w:p w14:paraId="4A75C9BF">
                  <w:pPr>
                    <w:autoSpaceDE w:val="0"/>
                    <w:autoSpaceDN w:val="0"/>
                    <w:adjustRightInd w:val="0"/>
                    <w:snapToGrid w:val="0"/>
                    <w:jc w:val="center"/>
                    <w:rPr>
                      <w:rFonts w:hint="eastAsia" w:hAnsi="宋体" w:eastAsia="宋体"/>
                      <w:color w:val="auto"/>
                      <w:sz w:val="21"/>
                      <w:szCs w:val="21"/>
                      <w:highlight w:val="none"/>
                      <w:lang w:val="en-US" w:eastAsia="zh-CN"/>
                    </w:rPr>
                  </w:pPr>
                  <w:r>
                    <w:rPr>
                      <w:rFonts w:hint="eastAsia" w:hAnsi="宋体"/>
                      <w:color w:val="auto"/>
                      <w:sz w:val="21"/>
                      <w:szCs w:val="21"/>
                      <w:highlight w:val="none"/>
                      <w:lang w:val="en-US" w:eastAsia="zh-CN"/>
                    </w:rPr>
                    <w:t>-</w:t>
                  </w:r>
                </w:p>
              </w:tc>
            </w:tr>
            <w:tr w14:paraId="7433A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927" w:type="dxa"/>
                  <w:vAlign w:val="center"/>
                </w:tcPr>
                <w:p w14:paraId="3C945CB3">
                  <w:pPr>
                    <w:widowControl/>
                    <w:adjustRightInd w:val="0"/>
                    <w:snapToGrid w:val="0"/>
                    <w:jc w:val="center"/>
                    <w:rPr>
                      <w:rFonts w:hint="eastAsia"/>
                      <w:color w:val="auto"/>
                      <w:sz w:val="21"/>
                      <w:szCs w:val="21"/>
                      <w:highlight w:val="none"/>
                      <w:lang w:val="en-US" w:eastAsia="zh-CN"/>
                    </w:rPr>
                  </w:pPr>
                  <w:r>
                    <w:rPr>
                      <w:rFonts w:hint="eastAsia" w:hAnsi="宋体"/>
                      <w:color w:val="auto"/>
                      <w:sz w:val="21"/>
                      <w:szCs w:val="21"/>
                      <w:highlight w:val="none"/>
                      <w:lang w:val="en-US" w:eastAsia="zh-CN"/>
                    </w:rPr>
                    <w:t>天然气</w:t>
                  </w:r>
                </w:p>
              </w:tc>
              <w:tc>
                <w:tcPr>
                  <w:tcW w:w="4920" w:type="dxa"/>
                  <w:vAlign w:val="center"/>
                </w:tcPr>
                <w:p w14:paraId="082954A0">
                  <w:pPr>
                    <w:widowControl/>
                    <w:adjustRightInd w:val="0"/>
                    <w:snapToGrid w:val="0"/>
                    <w:jc w:val="center"/>
                    <w:rPr>
                      <w:rFonts w:hint="eastAsia" w:hAnsi="宋体"/>
                      <w:color w:val="auto"/>
                      <w:sz w:val="21"/>
                      <w:szCs w:val="21"/>
                      <w:highlight w:val="none"/>
                      <w:lang w:val="en-US" w:eastAsia="zh-CN"/>
                    </w:rPr>
                  </w:pPr>
                  <w:r>
                    <w:rPr>
                      <w:rFonts w:hint="eastAsia" w:hAnsi="宋体"/>
                      <w:color w:val="auto"/>
                      <w:sz w:val="21"/>
                      <w:szCs w:val="21"/>
                      <w:highlight w:val="none"/>
                    </w:rPr>
                    <w:t>天然气是存在于地下岩石储集层中以烃为主体的混合气体的统称，比重约0.65，比空气轻，具有无色、无味、无毒之特性。天然气不溶于水，密度为0.7174kg/Nm</w:t>
                  </w:r>
                  <w:r>
                    <w:rPr>
                      <w:rFonts w:hint="eastAsia" w:hAnsi="宋体"/>
                      <w:color w:val="auto"/>
                      <w:sz w:val="21"/>
                      <w:szCs w:val="21"/>
                      <w:highlight w:val="none"/>
                      <w:vertAlign w:val="superscript"/>
                      <w:lang w:val="en-US" w:eastAsia="zh-CN"/>
                    </w:rPr>
                    <w:t>3</w:t>
                  </w:r>
                </w:p>
              </w:tc>
              <w:tc>
                <w:tcPr>
                  <w:tcW w:w="1170" w:type="dxa"/>
                  <w:vAlign w:val="center"/>
                </w:tcPr>
                <w:p w14:paraId="6817C3D8">
                  <w:pPr>
                    <w:widowControl/>
                    <w:adjustRightInd w:val="0"/>
                    <w:snapToGrid w:val="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易燃易爆</w:t>
                  </w:r>
                </w:p>
              </w:tc>
              <w:tc>
                <w:tcPr>
                  <w:tcW w:w="960" w:type="dxa"/>
                  <w:vAlign w:val="center"/>
                </w:tcPr>
                <w:p w14:paraId="324ED76F">
                  <w:pPr>
                    <w:widowControl/>
                    <w:adjustRightInd w:val="0"/>
                    <w:snapToGrid w:val="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低毒</w:t>
                  </w:r>
                </w:p>
              </w:tc>
            </w:tr>
          </w:tbl>
          <w:p w14:paraId="5640D33A">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0"/>
              <w:rPr>
                <w:rFonts w:hint="eastAsia" w:eastAsia="宋体"/>
                <w:b/>
                <w:color w:val="auto"/>
                <w:kern w:val="0"/>
                <w:szCs w:val="21"/>
                <w:highlight w:val="none"/>
                <w:lang w:eastAsia="zh-CN"/>
              </w:rPr>
            </w:pPr>
            <w:r>
              <w:rPr>
                <w:rFonts w:hint="eastAsia"/>
                <w:b/>
                <w:color w:val="auto"/>
                <w:kern w:val="0"/>
                <w:szCs w:val="21"/>
                <w:highlight w:val="none"/>
                <w:lang w:val="en-US" w:eastAsia="zh-CN"/>
              </w:rPr>
              <w:t>6</w:t>
            </w:r>
            <w:r>
              <w:rPr>
                <w:b/>
                <w:color w:val="auto"/>
                <w:kern w:val="0"/>
                <w:szCs w:val="21"/>
                <w:highlight w:val="none"/>
              </w:rPr>
              <w:t>、</w:t>
            </w:r>
            <w:r>
              <w:rPr>
                <w:rFonts w:hint="eastAsia"/>
                <w:b/>
                <w:color w:val="auto"/>
                <w:kern w:val="0"/>
                <w:szCs w:val="21"/>
                <w:highlight w:val="none"/>
                <w:lang w:val="en-US" w:eastAsia="zh-CN"/>
              </w:rPr>
              <w:t>元素平衡</w:t>
            </w:r>
          </w:p>
          <w:p w14:paraId="26134FD5">
            <w:pPr>
              <w:pStyle w:val="10"/>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420" w:firstLineChars="200"/>
              <w:textAlignment w:val="auto"/>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本项目所用皮膜液中含有约5~20%的氧化锌，本次评价以20%计。项目皮膜液用量为19.5t/a，则锌元素量约为3.9t/a，其中大部分生成锌磷酸化合物层附着在工件表面约3.8797t/a，部分进入槽渣作为危废处理，约0.0104t/a，少部分随工件进入清洗废水中，为0.0099t/a</w:t>
            </w:r>
            <w:r>
              <w:rPr>
                <w:color w:val="auto"/>
                <w:sz w:val="21"/>
                <w:szCs w:val="21"/>
                <w:highlight w:val="none"/>
              </w:rPr>
              <w:t>；</w:t>
            </w:r>
            <w:r>
              <w:rPr>
                <w:rFonts w:hint="eastAsia" w:ascii="Times New Roman" w:hAnsi="Times New Roman" w:cs="Times New Roman"/>
                <w:color w:val="auto"/>
                <w:sz w:val="21"/>
                <w:szCs w:val="21"/>
                <w:highlight w:val="none"/>
                <w:lang w:val="en-US" w:eastAsia="zh-CN"/>
              </w:rPr>
              <w:t>项目锌元素平衡表见下表。</w:t>
            </w:r>
          </w:p>
          <w:p w14:paraId="283AF417">
            <w:pPr>
              <w:shd w:val="clear" w:color="auto" w:fill="auto"/>
              <w:jc w:val="center"/>
              <w:rPr>
                <w:rFonts w:ascii="Times New Roman" w:hAnsi="Times New Roman"/>
                <w:b/>
                <w:color w:val="auto"/>
                <w:sz w:val="21"/>
                <w:szCs w:val="21"/>
                <w:highlight w:val="none"/>
              </w:rPr>
            </w:pPr>
            <w:r>
              <w:rPr>
                <w:rFonts w:ascii="Times New Roman" w:hAnsi="Times New Roman"/>
                <w:b/>
                <w:color w:val="auto"/>
                <w:sz w:val="21"/>
                <w:szCs w:val="21"/>
                <w:highlight w:val="none"/>
              </w:rPr>
              <w:t>表</w:t>
            </w:r>
            <w:r>
              <w:rPr>
                <w:rFonts w:hint="eastAsia"/>
                <w:b/>
                <w:color w:val="auto"/>
                <w:sz w:val="21"/>
                <w:szCs w:val="21"/>
                <w:highlight w:val="none"/>
                <w:lang w:val="en-US" w:eastAsia="zh-CN"/>
              </w:rPr>
              <w:t xml:space="preserve">2-7 </w:t>
            </w:r>
            <w:r>
              <w:rPr>
                <w:rFonts w:hint="eastAsia" w:ascii="Times New Roman" w:hAnsi="Times New Roman"/>
                <w:b/>
                <w:color w:val="auto"/>
                <w:sz w:val="21"/>
                <w:szCs w:val="21"/>
                <w:highlight w:val="none"/>
                <w:lang w:val="en-US" w:eastAsia="zh-CN"/>
              </w:rPr>
              <w:t>锌</w:t>
            </w:r>
            <w:r>
              <w:rPr>
                <w:rFonts w:ascii="Times New Roman" w:hAnsi="Times New Roman"/>
                <w:b/>
                <w:color w:val="auto"/>
                <w:sz w:val="21"/>
                <w:szCs w:val="21"/>
                <w:highlight w:val="none"/>
              </w:rPr>
              <w:t>平衡表单位：t/a</w:t>
            </w:r>
          </w:p>
          <w:tbl>
            <w:tblPr>
              <w:tblStyle w:val="30"/>
              <w:tblW w:w="79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34"/>
              <w:gridCol w:w="1020"/>
              <w:gridCol w:w="1618"/>
              <w:gridCol w:w="957"/>
              <w:gridCol w:w="1857"/>
              <w:gridCol w:w="1135"/>
            </w:tblGrid>
            <w:tr w14:paraId="76511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29" w:type="dxa"/>
                  <w:gridSpan w:val="4"/>
                  <w:tcBorders>
                    <w:tl2br w:val="nil"/>
                    <w:tr2bl w:val="nil"/>
                  </w:tcBorders>
                  <w:noWrap w:val="0"/>
                  <w:vAlign w:val="center"/>
                </w:tcPr>
                <w:p w14:paraId="58FE7DE3">
                  <w:pPr>
                    <w:shd w:val="clear" w:color="auto" w:fill="auto"/>
                    <w:jc w:val="center"/>
                    <w:rPr>
                      <w:rFonts w:ascii="Times New Roman" w:hAnsi="Times New Roman"/>
                      <w:b/>
                      <w:color w:val="auto"/>
                      <w:sz w:val="21"/>
                      <w:szCs w:val="21"/>
                      <w:highlight w:val="none"/>
                    </w:rPr>
                  </w:pPr>
                  <w:r>
                    <w:rPr>
                      <w:rFonts w:ascii="Times New Roman" w:hAnsi="Times New Roman"/>
                      <w:b/>
                      <w:color w:val="auto"/>
                      <w:sz w:val="21"/>
                      <w:szCs w:val="21"/>
                      <w:highlight w:val="none"/>
                    </w:rPr>
                    <w:t>入方</w:t>
                  </w:r>
                </w:p>
              </w:tc>
              <w:tc>
                <w:tcPr>
                  <w:tcW w:w="2992" w:type="dxa"/>
                  <w:gridSpan w:val="2"/>
                  <w:tcBorders>
                    <w:tl2br w:val="nil"/>
                    <w:tr2bl w:val="nil"/>
                  </w:tcBorders>
                  <w:noWrap w:val="0"/>
                  <w:vAlign w:val="center"/>
                </w:tcPr>
                <w:p w14:paraId="75112864">
                  <w:pPr>
                    <w:shd w:val="clear" w:color="auto" w:fill="auto"/>
                    <w:jc w:val="center"/>
                    <w:rPr>
                      <w:rFonts w:ascii="Times New Roman" w:hAnsi="Times New Roman"/>
                      <w:b/>
                      <w:color w:val="auto"/>
                      <w:sz w:val="21"/>
                      <w:szCs w:val="21"/>
                      <w:highlight w:val="none"/>
                    </w:rPr>
                  </w:pPr>
                  <w:r>
                    <w:rPr>
                      <w:rFonts w:ascii="Times New Roman" w:hAnsi="Times New Roman"/>
                      <w:b/>
                      <w:color w:val="auto"/>
                      <w:sz w:val="21"/>
                      <w:szCs w:val="21"/>
                      <w:highlight w:val="none"/>
                    </w:rPr>
                    <w:t>出方</w:t>
                  </w:r>
                </w:p>
              </w:tc>
            </w:tr>
            <w:tr w14:paraId="561A6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334" w:type="dxa"/>
                  <w:tcBorders>
                    <w:tl2br w:val="nil"/>
                    <w:tr2bl w:val="nil"/>
                  </w:tcBorders>
                  <w:noWrap w:val="0"/>
                  <w:vAlign w:val="center"/>
                </w:tcPr>
                <w:p w14:paraId="12A70F47">
                  <w:pPr>
                    <w:shd w:val="clear" w:color="auto" w:fill="auto"/>
                    <w:jc w:val="center"/>
                    <w:rPr>
                      <w:rFonts w:ascii="Times New Roman" w:hAnsi="Times New Roman"/>
                      <w:color w:val="auto"/>
                      <w:sz w:val="21"/>
                      <w:szCs w:val="21"/>
                      <w:highlight w:val="none"/>
                    </w:rPr>
                  </w:pPr>
                  <w:r>
                    <w:rPr>
                      <w:rFonts w:ascii="Times New Roman" w:hAnsi="Times New Roman"/>
                      <w:color w:val="auto"/>
                      <w:sz w:val="21"/>
                      <w:szCs w:val="21"/>
                      <w:highlight w:val="none"/>
                    </w:rPr>
                    <w:t>来源</w:t>
                  </w:r>
                </w:p>
              </w:tc>
              <w:tc>
                <w:tcPr>
                  <w:tcW w:w="1020" w:type="dxa"/>
                  <w:tcBorders>
                    <w:tl2br w:val="nil"/>
                    <w:tr2bl w:val="nil"/>
                  </w:tcBorders>
                  <w:noWrap w:val="0"/>
                  <w:vAlign w:val="center"/>
                </w:tcPr>
                <w:p w14:paraId="4D8BBB77">
                  <w:pPr>
                    <w:shd w:val="clear" w:color="auto" w:fill="auto"/>
                    <w:jc w:val="center"/>
                    <w:rPr>
                      <w:rFonts w:ascii="Times New Roman" w:hAnsi="Times New Roman"/>
                      <w:color w:val="auto"/>
                      <w:sz w:val="21"/>
                      <w:szCs w:val="21"/>
                      <w:highlight w:val="none"/>
                    </w:rPr>
                  </w:pPr>
                  <w:r>
                    <w:rPr>
                      <w:rFonts w:ascii="Times New Roman" w:hAnsi="Times New Roman"/>
                      <w:color w:val="auto"/>
                      <w:sz w:val="21"/>
                      <w:szCs w:val="21"/>
                      <w:highlight w:val="none"/>
                    </w:rPr>
                    <w:t>用量</w:t>
                  </w:r>
                </w:p>
              </w:tc>
              <w:tc>
                <w:tcPr>
                  <w:tcW w:w="1618" w:type="dxa"/>
                  <w:tcBorders>
                    <w:tl2br w:val="nil"/>
                    <w:tr2bl w:val="nil"/>
                  </w:tcBorders>
                  <w:noWrap w:val="0"/>
                  <w:vAlign w:val="center"/>
                </w:tcPr>
                <w:p w14:paraId="4DD06690">
                  <w:pPr>
                    <w:shd w:val="clear" w:color="auto" w:fill="auto"/>
                    <w:jc w:val="center"/>
                    <w:rPr>
                      <w:rFonts w:ascii="Times New Roman" w:hAnsi="Times New Roman"/>
                      <w:color w:val="auto"/>
                      <w:sz w:val="21"/>
                      <w:szCs w:val="21"/>
                      <w:highlight w:val="none"/>
                    </w:rPr>
                  </w:pPr>
                  <w:r>
                    <w:rPr>
                      <w:rFonts w:ascii="Times New Roman" w:hAnsi="Times New Roman"/>
                      <w:color w:val="auto"/>
                      <w:sz w:val="21"/>
                      <w:szCs w:val="21"/>
                      <w:highlight w:val="none"/>
                    </w:rPr>
                    <w:t>成分含量</w:t>
                  </w:r>
                </w:p>
              </w:tc>
              <w:tc>
                <w:tcPr>
                  <w:tcW w:w="957" w:type="dxa"/>
                  <w:tcBorders>
                    <w:tl2br w:val="nil"/>
                    <w:tr2bl w:val="nil"/>
                  </w:tcBorders>
                  <w:noWrap w:val="0"/>
                  <w:vAlign w:val="center"/>
                </w:tcPr>
                <w:p w14:paraId="58D27BBB">
                  <w:pPr>
                    <w:shd w:val="clear" w:color="auto" w:fill="auto"/>
                    <w:jc w:val="center"/>
                    <w:rPr>
                      <w:rFonts w:ascii="Times New Roman" w:hAnsi="Times New Roman"/>
                      <w:color w:val="auto"/>
                      <w:sz w:val="21"/>
                      <w:szCs w:val="21"/>
                      <w:highlight w:val="none"/>
                    </w:rPr>
                  </w:pPr>
                  <w:r>
                    <w:rPr>
                      <w:rFonts w:ascii="Times New Roman" w:hAnsi="Times New Roman"/>
                      <w:color w:val="auto"/>
                      <w:sz w:val="21"/>
                      <w:szCs w:val="21"/>
                      <w:highlight w:val="none"/>
                    </w:rPr>
                    <w:t>含</w:t>
                  </w:r>
                  <w:r>
                    <w:rPr>
                      <w:rFonts w:hint="eastAsia" w:ascii="Times New Roman" w:hAnsi="Times New Roman"/>
                      <w:color w:val="auto"/>
                      <w:sz w:val="21"/>
                      <w:szCs w:val="21"/>
                      <w:highlight w:val="none"/>
                      <w:lang w:val="en-US" w:eastAsia="zh-CN"/>
                    </w:rPr>
                    <w:t>锌</w:t>
                  </w:r>
                  <w:r>
                    <w:rPr>
                      <w:rFonts w:ascii="Times New Roman" w:hAnsi="Times New Roman"/>
                      <w:color w:val="auto"/>
                      <w:sz w:val="21"/>
                      <w:szCs w:val="21"/>
                      <w:highlight w:val="none"/>
                    </w:rPr>
                    <w:t>量</w:t>
                  </w:r>
                </w:p>
              </w:tc>
              <w:tc>
                <w:tcPr>
                  <w:tcW w:w="1857" w:type="dxa"/>
                  <w:tcBorders>
                    <w:tl2br w:val="nil"/>
                    <w:tr2bl w:val="nil"/>
                  </w:tcBorders>
                  <w:noWrap w:val="0"/>
                  <w:vAlign w:val="center"/>
                </w:tcPr>
                <w:p w14:paraId="38AC11A9">
                  <w:pPr>
                    <w:shd w:val="clear" w:color="auto" w:fill="auto"/>
                    <w:jc w:val="center"/>
                    <w:rPr>
                      <w:rFonts w:ascii="Times New Roman" w:hAnsi="Times New Roman"/>
                      <w:color w:val="auto"/>
                      <w:sz w:val="21"/>
                      <w:szCs w:val="21"/>
                      <w:highlight w:val="none"/>
                    </w:rPr>
                  </w:pPr>
                  <w:r>
                    <w:rPr>
                      <w:rFonts w:ascii="Times New Roman" w:hAnsi="Times New Roman"/>
                      <w:color w:val="auto"/>
                      <w:sz w:val="21"/>
                      <w:szCs w:val="21"/>
                      <w:highlight w:val="none"/>
                    </w:rPr>
                    <w:t>产品</w:t>
                  </w:r>
                </w:p>
              </w:tc>
              <w:tc>
                <w:tcPr>
                  <w:tcW w:w="1135" w:type="dxa"/>
                  <w:tcBorders>
                    <w:tl2br w:val="nil"/>
                    <w:tr2bl w:val="nil"/>
                  </w:tcBorders>
                  <w:noWrap w:val="0"/>
                  <w:vAlign w:val="center"/>
                </w:tcPr>
                <w:p w14:paraId="292E1A3D">
                  <w:pPr>
                    <w:shd w:val="clear" w:color="auto" w:fill="auto"/>
                    <w:jc w:val="center"/>
                    <w:rPr>
                      <w:rFonts w:ascii="Times New Roman" w:hAnsi="Times New Roman"/>
                      <w:color w:val="auto"/>
                      <w:sz w:val="21"/>
                      <w:szCs w:val="21"/>
                      <w:highlight w:val="none"/>
                    </w:rPr>
                  </w:pPr>
                  <w:r>
                    <w:rPr>
                      <w:rFonts w:ascii="Times New Roman" w:hAnsi="Times New Roman"/>
                      <w:color w:val="auto"/>
                      <w:sz w:val="21"/>
                      <w:szCs w:val="21"/>
                      <w:highlight w:val="none"/>
                    </w:rPr>
                    <w:t>含</w:t>
                  </w:r>
                  <w:r>
                    <w:rPr>
                      <w:rFonts w:hint="eastAsia"/>
                      <w:color w:val="auto"/>
                      <w:sz w:val="21"/>
                      <w:szCs w:val="21"/>
                      <w:highlight w:val="none"/>
                      <w:lang w:val="en-US" w:eastAsia="zh-CN"/>
                    </w:rPr>
                    <w:t>锌</w:t>
                  </w:r>
                  <w:r>
                    <w:rPr>
                      <w:rFonts w:ascii="Times New Roman" w:hAnsi="Times New Roman"/>
                      <w:color w:val="auto"/>
                      <w:sz w:val="21"/>
                      <w:szCs w:val="21"/>
                      <w:highlight w:val="none"/>
                    </w:rPr>
                    <w:t>量</w:t>
                  </w:r>
                </w:p>
              </w:tc>
            </w:tr>
            <w:tr w14:paraId="24A8D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1334" w:type="dxa"/>
                  <w:tcBorders>
                    <w:tl2br w:val="nil"/>
                    <w:tr2bl w:val="nil"/>
                  </w:tcBorders>
                  <w:noWrap w:val="0"/>
                  <w:vAlign w:val="center"/>
                </w:tcPr>
                <w:p w14:paraId="0F86683A">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皮膜液</w:t>
                  </w:r>
                </w:p>
              </w:tc>
              <w:tc>
                <w:tcPr>
                  <w:tcW w:w="1020" w:type="dxa"/>
                  <w:tcBorders>
                    <w:tl2br w:val="nil"/>
                    <w:tr2bl w:val="nil"/>
                  </w:tcBorders>
                  <w:noWrap w:val="0"/>
                  <w:vAlign w:val="center"/>
                </w:tcPr>
                <w:p w14:paraId="6D4684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19.5</w:t>
                  </w:r>
                </w:p>
              </w:tc>
              <w:tc>
                <w:tcPr>
                  <w:tcW w:w="1618" w:type="dxa"/>
                  <w:tcBorders>
                    <w:tl2br w:val="nil"/>
                    <w:tr2bl w:val="nil"/>
                  </w:tcBorders>
                  <w:noWrap w:val="0"/>
                  <w:vAlign w:val="center"/>
                </w:tcPr>
                <w:p w14:paraId="23C422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5~20%</w:t>
                  </w:r>
                </w:p>
              </w:tc>
              <w:tc>
                <w:tcPr>
                  <w:tcW w:w="957" w:type="dxa"/>
                  <w:tcBorders>
                    <w:tl2br w:val="nil"/>
                    <w:tr2bl w:val="nil"/>
                  </w:tcBorders>
                  <w:noWrap w:val="0"/>
                  <w:vAlign w:val="center"/>
                </w:tcPr>
                <w:p w14:paraId="58863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3.9</w:t>
                  </w:r>
                </w:p>
              </w:tc>
              <w:tc>
                <w:tcPr>
                  <w:tcW w:w="1857" w:type="dxa"/>
                  <w:tcBorders>
                    <w:tl2br w:val="nil"/>
                    <w:tr2bl w:val="nil"/>
                  </w:tcBorders>
                  <w:noWrap w:val="0"/>
                  <w:vAlign w:val="center"/>
                </w:tcPr>
                <w:p w14:paraId="3CC8CAB7">
                  <w:pPr>
                    <w:keepNext w:val="0"/>
                    <w:keepLines w:val="0"/>
                    <w:widowControl/>
                    <w:suppressLineNumbers w:val="0"/>
                    <w:shd w:val="clear" w:color="auto" w:fill="auto"/>
                    <w:jc w:val="center"/>
                    <w:textAlignment w:val="center"/>
                    <w:rPr>
                      <w:rFonts w:hint="eastAsia" w:ascii="Times New Roman" w:hAnsi="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危废（槽渣）</w:t>
                  </w:r>
                </w:p>
              </w:tc>
              <w:tc>
                <w:tcPr>
                  <w:tcW w:w="1135" w:type="dxa"/>
                  <w:tcBorders>
                    <w:tl2br w:val="nil"/>
                    <w:tr2bl w:val="nil"/>
                  </w:tcBorders>
                  <w:noWrap w:val="0"/>
                  <w:vAlign w:val="center"/>
                </w:tcPr>
                <w:p w14:paraId="1C90671F">
                  <w:pPr>
                    <w:keepNext w:val="0"/>
                    <w:keepLines w:val="0"/>
                    <w:widowControl/>
                    <w:suppressLineNumbers w:val="0"/>
                    <w:shd w:val="clear" w:color="auto" w:fill="auto"/>
                    <w:jc w:val="center"/>
                    <w:textAlignment w:val="center"/>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0.0104</w:t>
                  </w:r>
                </w:p>
              </w:tc>
            </w:tr>
            <w:tr w14:paraId="4F4B3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1334" w:type="dxa"/>
                  <w:tcBorders>
                    <w:tl2br w:val="nil"/>
                    <w:tr2bl w:val="nil"/>
                  </w:tcBorders>
                  <w:noWrap w:val="0"/>
                  <w:vAlign w:val="center"/>
                </w:tcPr>
                <w:p w14:paraId="5E7223F5">
                  <w:pPr>
                    <w:keepNext w:val="0"/>
                    <w:keepLines w:val="0"/>
                    <w:widowControl/>
                    <w:suppressLineNumbers w:val="0"/>
                    <w:shd w:val="clear" w:color="auto" w:fill="auto"/>
                    <w:jc w:val="center"/>
                    <w:textAlignment w:val="center"/>
                    <w:rPr>
                      <w:rFonts w:ascii="Times New Roman" w:hAnsi="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20" w:type="dxa"/>
                  <w:tcBorders>
                    <w:tl2br w:val="nil"/>
                    <w:tr2bl w:val="nil"/>
                  </w:tcBorders>
                  <w:noWrap w:val="0"/>
                  <w:vAlign w:val="center"/>
                </w:tcPr>
                <w:p w14:paraId="32DD2DC2">
                  <w:pPr>
                    <w:keepNext w:val="0"/>
                    <w:keepLines w:val="0"/>
                    <w:widowControl/>
                    <w:suppressLineNumbers w:val="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618" w:type="dxa"/>
                  <w:tcBorders>
                    <w:tl2br w:val="nil"/>
                    <w:tr2bl w:val="nil"/>
                  </w:tcBorders>
                  <w:noWrap w:val="0"/>
                  <w:vAlign w:val="center"/>
                </w:tcPr>
                <w:p w14:paraId="15AB5244">
                  <w:pPr>
                    <w:keepNext w:val="0"/>
                    <w:keepLines w:val="0"/>
                    <w:widowControl/>
                    <w:suppressLineNumbers w:val="0"/>
                    <w:jc w:val="center"/>
                    <w:textAlignment w:val="center"/>
                    <w:rPr>
                      <w:rFonts w:ascii="Times New Roman" w:hAnsi="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7" w:type="dxa"/>
                  <w:tcBorders>
                    <w:tl2br w:val="nil"/>
                    <w:tr2bl w:val="nil"/>
                  </w:tcBorders>
                  <w:noWrap w:val="0"/>
                  <w:vAlign w:val="center"/>
                </w:tcPr>
                <w:p w14:paraId="1D9C6F9C">
                  <w:pPr>
                    <w:keepNext w:val="0"/>
                    <w:keepLines w:val="0"/>
                    <w:widowControl/>
                    <w:suppressLineNumbers w:val="0"/>
                    <w:jc w:val="center"/>
                    <w:textAlignment w:val="center"/>
                    <w:rPr>
                      <w:rFonts w:hint="default" w:ascii="Times New Roman" w:hAnsi="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857" w:type="dxa"/>
                  <w:tcBorders>
                    <w:tl2br w:val="nil"/>
                    <w:tr2bl w:val="nil"/>
                  </w:tcBorders>
                  <w:noWrap w:val="0"/>
                  <w:vAlign w:val="center"/>
                </w:tcPr>
                <w:p w14:paraId="770DB0D8">
                  <w:pPr>
                    <w:keepNext w:val="0"/>
                    <w:keepLines w:val="0"/>
                    <w:widowControl/>
                    <w:suppressLineNumbers w:val="0"/>
                    <w:shd w:val="clear" w:color="auto" w:fill="auto"/>
                    <w:jc w:val="center"/>
                    <w:textAlignment w:val="center"/>
                    <w:rPr>
                      <w:rFonts w:hint="eastAsia" w:ascii="Times New Roman" w:hAnsi="Times New Roman"/>
                      <w:color w:val="auto"/>
                      <w:sz w:val="21"/>
                      <w:szCs w:val="21"/>
                      <w:highlight w:val="none"/>
                      <w:lang w:val="en-US" w:eastAsia="zh-CN"/>
                    </w:rPr>
                  </w:pPr>
                  <w:r>
                    <w:rPr>
                      <w:rFonts w:hint="eastAsia" w:ascii="宋体" w:hAnsi="宋体" w:cs="宋体"/>
                      <w:i w:val="0"/>
                      <w:iCs w:val="0"/>
                      <w:color w:val="auto"/>
                      <w:kern w:val="0"/>
                      <w:sz w:val="21"/>
                      <w:szCs w:val="21"/>
                      <w:highlight w:val="none"/>
                      <w:u w:val="none"/>
                      <w:lang w:val="en-US" w:eastAsia="zh-CN" w:bidi="ar"/>
                    </w:rPr>
                    <w:t>废水</w:t>
                  </w:r>
                </w:p>
              </w:tc>
              <w:tc>
                <w:tcPr>
                  <w:tcW w:w="1135" w:type="dxa"/>
                  <w:tcBorders>
                    <w:tl2br w:val="nil"/>
                    <w:tr2bl w:val="nil"/>
                  </w:tcBorders>
                  <w:noWrap w:val="0"/>
                  <w:vAlign w:val="center"/>
                </w:tcPr>
                <w:p w14:paraId="47DC72FA">
                  <w:pPr>
                    <w:keepNext w:val="0"/>
                    <w:keepLines w:val="0"/>
                    <w:widowControl/>
                    <w:suppressLineNumbers w:val="0"/>
                    <w:shd w:val="clear" w:color="auto" w:fill="auto"/>
                    <w:jc w:val="center"/>
                    <w:textAlignment w:val="center"/>
                    <w:rPr>
                      <w:rFonts w:hint="default" w:ascii="Times New Roman" w:hAnsi="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0.0099</w:t>
                  </w:r>
                </w:p>
              </w:tc>
            </w:tr>
            <w:tr w14:paraId="39B50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1334" w:type="dxa"/>
                  <w:tcBorders>
                    <w:tl2br w:val="nil"/>
                    <w:tr2bl w:val="nil"/>
                  </w:tcBorders>
                  <w:noWrap w:val="0"/>
                  <w:vAlign w:val="center"/>
                </w:tcPr>
                <w:p w14:paraId="525F8B64">
                  <w:pPr>
                    <w:keepNext w:val="0"/>
                    <w:keepLines w:val="0"/>
                    <w:widowControl/>
                    <w:suppressLineNumbers w:val="0"/>
                    <w:shd w:val="clear" w:color="auto" w:fill="auto"/>
                    <w:jc w:val="center"/>
                    <w:textAlignment w:val="center"/>
                    <w:rPr>
                      <w:rFonts w:ascii="Times New Roman" w:hAnsi="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20" w:type="dxa"/>
                  <w:tcBorders>
                    <w:tl2br w:val="nil"/>
                    <w:tr2bl w:val="nil"/>
                  </w:tcBorders>
                  <w:noWrap w:val="0"/>
                  <w:vAlign w:val="center"/>
                </w:tcPr>
                <w:p w14:paraId="0B675243">
                  <w:pPr>
                    <w:keepNext w:val="0"/>
                    <w:keepLines w:val="0"/>
                    <w:widowControl/>
                    <w:suppressLineNumbers w:val="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618" w:type="dxa"/>
                  <w:tcBorders>
                    <w:tl2br w:val="nil"/>
                    <w:tr2bl w:val="nil"/>
                  </w:tcBorders>
                  <w:noWrap w:val="0"/>
                  <w:vAlign w:val="center"/>
                </w:tcPr>
                <w:p w14:paraId="2CB56307">
                  <w:pPr>
                    <w:keepNext w:val="0"/>
                    <w:keepLines w:val="0"/>
                    <w:widowControl/>
                    <w:suppressLineNumbers w:val="0"/>
                    <w:jc w:val="center"/>
                    <w:textAlignment w:val="center"/>
                    <w:rPr>
                      <w:rFonts w:ascii="Times New Roman" w:hAnsi="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7" w:type="dxa"/>
                  <w:tcBorders>
                    <w:tl2br w:val="nil"/>
                    <w:tr2bl w:val="nil"/>
                  </w:tcBorders>
                  <w:noWrap w:val="0"/>
                  <w:vAlign w:val="center"/>
                </w:tcPr>
                <w:p w14:paraId="565A407E">
                  <w:pPr>
                    <w:keepNext w:val="0"/>
                    <w:keepLines w:val="0"/>
                    <w:widowControl/>
                    <w:suppressLineNumbers w:val="0"/>
                    <w:jc w:val="center"/>
                    <w:textAlignment w:val="center"/>
                    <w:rPr>
                      <w:rFonts w:hint="default" w:ascii="Times New Roman" w:hAnsi="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857" w:type="dxa"/>
                  <w:tcBorders>
                    <w:tl2br w:val="nil"/>
                    <w:tr2bl w:val="nil"/>
                  </w:tcBorders>
                  <w:noWrap w:val="0"/>
                  <w:vAlign w:val="center"/>
                </w:tcPr>
                <w:p w14:paraId="7E1750CB">
                  <w:pPr>
                    <w:keepNext w:val="0"/>
                    <w:keepLines w:val="0"/>
                    <w:widowControl/>
                    <w:suppressLineNumbers w:val="0"/>
                    <w:shd w:val="clear" w:color="auto" w:fill="auto"/>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随工件</w:t>
                  </w:r>
                </w:p>
              </w:tc>
              <w:tc>
                <w:tcPr>
                  <w:tcW w:w="1135" w:type="dxa"/>
                  <w:tcBorders>
                    <w:tl2br w:val="nil"/>
                    <w:tr2bl w:val="nil"/>
                  </w:tcBorders>
                  <w:noWrap w:val="0"/>
                  <w:vAlign w:val="center"/>
                </w:tcPr>
                <w:p w14:paraId="79C868B9">
                  <w:pPr>
                    <w:keepNext w:val="0"/>
                    <w:keepLines w:val="0"/>
                    <w:widowControl/>
                    <w:suppressLineNumbers w:val="0"/>
                    <w:shd w:val="clear" w:color="auto" w:fill="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3.8797</w:t>
                  </w:r>
                </w:p>
              </w:tc>
            </w:tr>
            <w:tr w14:paraId="6C31C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1334" w:type="dxa"/>
                  <w:tcBorders>
                    <w:tl2br w:val="nil"/>
                    <w:tr2bl w:val="nil"/>
                  </w:tcBorders>
                  <w:noWrap w:val="0"/>
                  <w:vAlign w:val="center"/>
                </w:tcPr>
                <w:p w14:paraId="0EEE24BE">
                  <w:pPr>
                    <w:keepNext w:val="0"/>
                    <w:keepLines w:val="0"/>
                    <w:widowControl/>
                    <w:suppressLineNumbers w:val="0"/>
                    <w:shd w:val="clear" w:color="auto" w:fill="auto"/>
                    <w:jc w:val="center"/>
                    <w:textAlignment w:val="center"/>
                    <w:rPr>
                      <w:rFonts w:ascii="Times New Roman" w:hAnsi="Times New Roman"/>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1020" w:type="dxa"/>
                  <w:tcBorders>
                    <w:tl2br w:val="nil"/>
                    <w:tr2bl w:val="nil"/>
                  </w:tcBorders>
                  <w:noWrap w:val="0"/>
                  <w:vAlign w:val="center"/>
                </w:tcPr>
                <w:p w14:paraId="1B67FBDD">
                  <w:pPr>
                    <w:keepNext w:val="0"/>
                    <w:keepLines w:val="0"/>
                    <w:widowControl/>
                    <w:suppressLineNumbers w:val="0"/>
                    <w:shd w:val="clear" w:color="auto" w:fill="auto"/>
                    <w:jc w:val="center"/>
                    <w:textAlignment w:val="center"/>
                    <w:rPr>
                      <w:rFonts w:ascii="Times New Roman" w:hAnsi="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618" w:type="dxa"/>
                  <w:tcBorders>
                    <w:tl2br w:val="nil"/>
                    <w:tr2bl w:val="nil"/>
                  </w:tcBorders>
                  <w:noWrap w:val="0"/>
                  <w:vAlign w:val="center"/>
                </w:tcPr>
                <w:p w14:paraId="1F1A5C6A">
                  <w:pPr>
                    <w:keepNext w:val="0"/>
                    <w:keepLines w:val="0"/>
                    <w:widowControl/>
                    <w:suppressLineNumbers w:val="0"/>
                    <w:shd w:val="clear" w:color="auto" w:fill="auto"/>
                    <w:jc w:val="center"/>
                    <w:textAlignment w:val="center"/>
                    <w:rPr>
                      <w:rFonts w:ascii="Times New Roman" w:hAnsi="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7" w:type="dxa"/>
                  <w:tcBorders>
                    <w:tl2br w:val="nil"/>
                    <w:tr2bl w:val="nil"/>
                  </w:tcBorders>
                  <w:noWrap w:val="0"/>
                  <w:vAlign w:val="center"/>
                </w:tcPr>
                <w:p w14:paraId="1F4B2C3C">
                  <w:pPr>
                    <w:keepNext w:val="0"/>
                    <w:keepLines w:val="0"/>
                    <w:widowControl/>
                    <w:suppressLineNumbers w:val="0"/>
                    <w:shd w:val="clear" w:color="auto" w:fill="auto"/>
                    <w:jc w:val="center"/>
                    <w:textAlignment w:val="center"/>
                    <w:rPr>
                      <w:rFonts w:hint="default" w:ascii="Times New Roman" w:hAnsi="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3.9</w:t>
                  </w:r>
                </w:p>
              </w:tc>
              <w:tc>
                <w:tcPr>
                  <w:tcW w:w="1857" w:type="dxa"/>
                  <w:tcBorders>
                    <w:tl2br w:val="nil"/>
                    <w:tr2bl w:val="nil"/>
                  </w:tcBorders>
                  <w:noWrap w:val="0"/>
                  <w:vAlign w:val="center"/>
                </w:tcPr>
                <w:p w14:paraId="3FE2266C">
                  <w:pPr>
                    <w:keepNext w:val="0"/>
                    <w:keepLines w:val="0"/>
                    <w:widowControl/>
                    <w:suppressLineNumbers w:val="0"/>
                    <w:shd w:val="clear" w:color="auto" w:fill="auto"/>
                    <w:jc w:val="center"/>
                    <w:textAlignment w:val="center"/>
                    <w:rPr>
                      <w:rFonts w:hint="eastAsia" w:ascii="Times New Roman" w:hAnsi="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35" w:type="dxa"/>
                  <w:tcBorders>
                    <w:tl2br w:val="nil"/>
                    <w:tr2bl w:val="nil"/>
                  </w:tcBorders>
                  <w:noWrap w:val="0"/>
                  <w:vAlign w:val="center"/>
                </w:tcPr>
                <w:p w14:paraId="56BDB24F">
                  <w:pPr>
                    <w:keepNext w:val="0"/>
                    <w:keepLines w:val="0"/>
                    <w:widowControl/>
                    <w:suppressLineNumbers w:val="0"/>
                    <w:shd w:val="clear" w:color="auto" w:fill="auto"/>
                    <w:jc w:val="center"/>
                    <w:textAlignment w:val="center"/>
                    <w:rPr>
                      <w:rFonts w:hint="default" w:ascii="Times New Roman" w:hAnsi="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3.9</w:t>
                  </w:r>
                </w:p>
              </w:tc>
            </w:tr>
          </w:tbl>
          <w:p w14:paraId="104AF984">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0"/>
              <w:rPr>
                <w:rFonts w:hint="eastAsia" w:eastAsia="宋体"/>
                <w:b/>
                <w:color w:val="auto"/>
                <w:kern w:val="0"/>
                <w:szCs w:val="21"/>
                <w:highlight w:val="none"/>
                <w:lang w:val="en-US" w:eastAsia="zh-CN"/>
              </w:rPr>
            </w:pPr>
            <w:r>
              <w:rPr>
                <w:rFonts w:hint="eastAsia"/>
                <w:b/>
                <w:color w:val="auto"/>
                <w:kern w:val="0"/>
                <w:szCs w:val="21"/>
                <w:highlight w:val="none"/>
                <w:lang w:val="en-US" w:eastAsia="zh-CN"/>
              </w:rPr>
              <w:t>7</w:t>
            </w:r>
            <w:r>
              <w:rPr>
                <w:b/>
                <w:color w:val="auto"/>
                <w:kern w:val="0"/>
                <w:szCs w:val="21"/>
                <w:highlight w:val="none"/>
              </w:rPr>
              <w:t>、水平衡</w:t>
            </w:r>
          </w:p>
          <w:p w14:paraId="3EC810D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hint="default" w:ascii="Times New Roman" w:hAnsi="Times New Roman" w:eastAsia="宋体" w:cs="Times New Roman"/>
                <w:color w:val="auto"/>
                <w:sz w:val="21"/>
                <w:szCs w:val="21"/>
                <w:highlight w:val="none"/>
              </w:rPr>
            </w:pPr>
            <w:r>
              <w:rPr>
                <w:rFonts w:hint="eastAsia" w:eastAsia="宋体"/>
                <w:color w:val="auto"/>
                <w:sz w:val="21"/>
                <w:szCs w:val="21"/>
              </w:rPr>
              <w:t>本项目用水为生活用水及</w:t>
            </w:r>
            <w:r>
              <w:rPr>
                <w:rFonts w:hint="eastAsia" w:eastAsia="宋体"/>
                <w:color w:val="auto"/>
                <w:sz w:val="21"/>
                <w:szCs w:val="21"/>
                <w:lang w:val="en-US" w:eastAsia="zh-CN"/>
              </w:rPr>
              <w:t>生产</w:t>
            </w:r>
            <w:r>
              <w:rPr>
                <w:rFonts w:hint="eastAsia" w:eastAsia="宋体"/>
                <w:color w:val="auto"/>
                <w:sz w:val="21"/>
                <w:szCs w:val="21"/>
              </w:rPr>
              <w:t>用水。</w:t>
            </w:r>
          </w:p>
          <w:p w14:paraId="5E7C9250">
            <w:pPr>
              <w:keepNext w:val="0"/>
              <w:keepLines w:val="0"/>
              <w:pageBreakBefore w:val="0"/>
              <w:widowControl w:val="0"/>
              <w:kinsoku/>
              <w:wordWrap/>
              <w:overflowPunct/>
              <w:topLinePunct w:val="0"/>
              <w:autoSpaceDE/>
              <w:autoSpaceDN/>
              <w:bidi w:val="0"/>
              <w:adjustRightInd/>
              <w:snapToGrid/>
              <w:spacing w:line="360" w:lineRule="auto"/>
              <w:ind w:right="0"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生活用水</w:t>
            </w:r>
          </w:p>
          <w:p w14:paraId="2F4EC379">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新增</w:t>
            </w:r>
            <w:r>
              <w:rPr>
                <w:rFonts w:hint="default" w:ascii="Times New Roman" w:hAnsi="Times New Roman" w:eastAsia="宋体" w:cs="Times New Roman"/>
                <w:color w:val="auto"/>
                <w:sz w:val="21"/>
                <w:szCs w:val="21"/>
                <w:highlight w:val="none"/>
              </w:rPr>
              <w:t>员工人数为</w:t>
            </w:r>
            <w:r>
              <w:rPr>
                <w:rFonts w:hint="eastAsia"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人，</w:t>
            </w:r>
            <w:r>
              <w:rPr>
                <w:rFonts w:hint="eastAsia" w:eastAsia="宋体"/>
                <w:b w:val="0"/>
                <w:bCs w:val="0"/>
                <w:color w:val="000000"/>
                <w:sz w:val="21"/>
                <w:szCs w:val="21"/>
                <w:highlight w:val="none"/>
                <w:lang w:val="en-US" w:eastAsia="zh-CN"/>
              </w:rPr>
              <w:t>参照《建筑给水排水设计标准》（GB50015-2019），车间工人的生活用水定额可取30L/（人·班）~50L/（人·班），本项目按最大值50L/（人·班）计算</w:t>
            </w:r>
            <w:r>
              <w:rPr>
                <w:b w:val="0"/>
                <w:bCs w:val="0"/>
                <w:sz w:val="21"/>
                <w:szCs w:val="21"/>
                <w:highlight w:val="none"/>
              </w:rPr>
              <w:t>，</w:t>
            </w:r>
            <w:r>
              <w:rPr>
                <w:rFonts w:hint="default" w:ascii="Times New Roman" w:hAnsi="Times New Roman" w:eastAsia="宋体" w:cs="Times New Roman"/>
                <w:color w:val="auto"/>
                <w:sz w:val="21"/>
                <w:szCs w:val="21"/>
                <w:highlight w:val="none"/>
              </w:rPr>
              <w:t>项目年工作时间</w:t>
            </w: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天，则年生活用水总量为</w:t>
            </w:r>
            <w:r>
              <w:rPr>
                <w:rFonts w:hint="eastAsia"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t。废水量按用水量的80%计，则生活污水产生量为</w:t>
            </w:r>
            <w:r>
              <w:rPr>
                <w:rFonts w:hint="eastAsia" w:cs="Times New Roman"/>
                <w:color w:val="auto"/>
                <w:sz w:val="21"/>
                <w:szCs w:val="21"/>
                <w:highlight w:val="none"/>
                <w:lang w:val="en-US" w:eastAsia="zh-CN"/>
              </w:rPr>
              <w:t>24</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t/a。生活污水经化粪池预处理后排入园区污水管网，接管至</w:t>
            </w:r>
            <w:r>
              <w:rPr>
                <w:rFonts w:hint="eastAsia" w:ascii="Times New Roman" w:hAnsi="Times New Roman" w:eastAsia="宋体" w:cs="Times New Roman"/>
                <w:color w:val="auto"/>
                <w:sz w:val="21"/>
                <w:szCs w:val="21"/>
                <w:highlight w:val="none"/>
                <w:lang w:val="en-US" w:eastAsia="zh-CN"/>
              </w:rPr>
              <w:t>李口镇污水处理厂</w:t>
            </w:r>
            <w:r>
              <w:rPr>
                <w:rFonts w:hint="default" w:ascii="Times New Roman" w:hAnsi="Times New Roman" w:eastAsia="宋体" w:cs="Times New Roman"/>
                <w:bCs/>
                <w:color w:val="auto"/>
                <w:sz w:val="21"/>
                <w:szCs w:val="21"/>
                <w:highlight w:val="none"/>
              </w:rPr>
              <w:t>，尾水</w:t>
            </w:r>
            <w:r>
              <w:rPr>
                <w:rFonts w:hint="default" w:ascii="Times New Roman" w:hAnsi="Times New Roman" w:eastAsia="宋体" w:cs="Times New Roman"/>
                <w:color w:val="auto"/>
                <w:sz w:val="21"/>
                <w:szCs w:val="21"/>
                <w:highlight w:val="none"/>
              </w:rPr>
              <w:t>处理达标后</w:t>
            </w:r>
            <w:r>
              <w:rPr>
                <w:rFonts w:hint="default" w:ascii="Times New Roman" w:hAnsi="Times New Roman" w:eastAsia="宋体" w:cs="Times New Roman"/>
                <w:bCs/>
                <w:color w:val="auto"/>
                <w:sz w:val="21"/>
                <w:szCs w:val="21"/>
                <w:highlight w:val="none"/>
              </w:rPr>
              <w:t>最终排入</w:t>
            </w:r>
            <w:r>
              <w:rPr>
                <w:rFonts w:hint="eastAsia" w:cs="Times New Roman"/>
                <w:bCs/>
                <w:color w:val="auto"/>
                <w:sz w:val="21"/>
                <w:szCs w:val="21"/>
                <w:highlight w:val="none"/>
                <w:lang w:val="en-US" w:eastAsia="zh-CN"/>
              </w:rPr>
              <w:t>其葛河</w:t>
            </w:r>
            <w:r>
              <w:rPr>
                <w:rFonts w:hint="default" w:ascii="Times New Roman" w:hAnsi="Times New Roman" w:eastAsia="宋体" w:cs="Times New Roman"/>
                <w:bCs/>
                <w:color w:val="auto"/>
                <w:sz w:val="21"/>
                <w:szCs w:val="21"/>
                <w:highlight w:val="none"/>
              </w:rPr>
              <w:t>。</w:t>
            </w:r>
          </w:p>
          <w:p w14:paraId="1557296D">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200" w:right="0" w:rightChars="0"/>
              <w:textAlignment w:val="auto"/>
              <w:rPr>
                <w:rFonts w:hint="eastAsia"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（2）</w:t>
            </w:r>
            <w:r>
              <w:rPr>
                <w:rFonts w:hint="eastAsia" w:ascii="Times New Roman" w:hAnsi="Times New Roman" w:eastAsia="宋体" w:cs="Times New Roman"/>
                <w:b/>
                <w:bCs w:val="0"/>
                <w:color w:val="auto"/>
                <w:sz w:val="21"/>
                <w:szCs w:val="21"/>
                <w:highlight w:val="none"/>
                <w:lang w:val="en-US" w:eastAsia="zh-CN"/>
              </w:rPr>
              <w:t>生产用水</w:t>
            </w:r>
          </w:p>
          <w:p w14:paraId="6E39A28D">
            <w:pPr>
              <w:keepNext w:val="0"/>
              <w:keepLines w:val="0"/>
              <w:pageBreakBefore w:val="0"/>
              <w:widowControl w:val="0"/>
              <w:tabs>
                <w:tab w:val="left" w:pos="2790"/>
              </w:tabs>
              <w:kinsoku/>
              <w:wordWrap/>
              <w:overflowPunct/>
              <w:topLinePunct w:val="0"/>
              <w:autoSpaceDE/>
              <w:autoSpaceDN/>
              <w:bidi w:val="0"/>
              <w:adjustRightInd/>
              <w:snapToGrid/>
              <w:spacing w:line="360" w:lineRule="auto"/>
              <w:ind w:right="0" w:firstLine="420" w:firstLineChars="200"/>
              <w:jc w:val="both"/>
              <w:textAlignment w:val="auto"/>
              <w:rPr>
                <w:color w:val="auto"/>
                <w:highlight w:val="none"/>
              </w:rPr>
            </w:pPr>
            <w:r>
              <w:rPr>
                <w:rFonts w:hint="default" w:ascii="Times New Roman" w:hAnsi="Times New Roman" w:cs="Times New Roman"/>
                <w:b w:val="0"/>
                <w:bCs/>
                <w:color w:val="auto"/>
                <w:sz w:val="21"/>
                <w:szCs w:val="21"/>
                <w:highlight w:val="none"/>
                <w:lang w:val="en-US" w:eastAsia="zh-CN"/>
              </w:rPr>
              <w:t>本项目生产用水主要为喷塑前表面处理生产线用水，本项目设置1条表面处理线，各环节用水及废水产生情况见下表</w:t>
            </w:r>
            <w:r>
              <w:rPr>
                <w:rFonts w:hint="eastAsia" w:ascii="Times New Roman" w:hAnsi="Times New Roman" w:cs="Times New Roman"/>
                <w:b w:val="0"/>
                <w:bCs/>
                <w:color w:val="auto"/>
                <w:sz w:val="21"/>
                <w:szCs w:val="21"/>
                <w:highlight w:val="none"/>
                <w:lang w:val="en-US" w:eastAsia="zh-CN"/>
              </w:rPr>
              <w:t>，生产用水为自来水</w:t>
            </w:r>
            <w:r>
              <w:rPr>
                <w:rFonts w:hint="default" w:ascii="Times New Roman" w:hAnsi="Times New Roman" w:cs="Times New Roman"/>
                <w:b w:val="0"/>
                <w:bCs/>
                <w:color w:val="auto"/>
                <w:sz w:val="21"/>
                <w:szCs w:val="21"/>
                <w:highlight w:val="none"/>
                <w:lang w:val="en-US" w:eastAsia="zh-CN"/>
              </w:rPr>
              <w:t>。</w:t>
            </w:r>
          </w:p>
        </w:tc>
      </w:tr>
    </w:tbl>
    <w:p w14:paraId="359D0669">
      <w:pPr>
        <w:pStyle w:val="25"/>
        <w:jc w:val="center"/>
        <w:rPr>
          <w:rFonts w:ascii="黑体" w:hAnsi="黑体" w:eastAsia="黑体"/>
          <w:snapToGrid w:val="0"/>
          <w:color w:val="FF0000"/>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3067"/>
      </w:tblGrid>
      <w:tr w14:paraId="6787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14:paraId="40CFAF0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snapToGrid w:val="0"/>
                <w:color w:val="000000"/>
                <w:sz w:val="21"/>
                <w:szCs w:val="21"/>
                <w:highlight w:val="none"/>
                <w:vertAlign w:val="baseline"/>
              </w:rPr>
            </w:pPr>
          </w:p>
        </w:tc>
        <w:tc>
          <w:tcPr>
            <w:tcW w:w="13067" w:type="dxa"/>
            <w:noWrap w:val="0"/>
            <w:vAlign w:val="center"/>
          </w:tcPr>
          <w:p w14:paraId="77C39527">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表2-</w:t>
            </w:r>
            <w:r>
              <w:rPr>
                <w:rFonts w:hint="eastAsia" w:cs="Times New Roman"/>
                <w:b/>
                <w:bCs/>
                <w:color w:val="000000"/>
                <w:kern w:val="0"/>
                <w:sz w:val="21"/>
                <w:szCs w:val="21"/>
                <w:highlight w:val="none"/>
                <w:lang w:val="en-US" w:eastAsia="zh-CN" w:bidi="ar-SA"/>
              </w:rPr>
              <w:t>8</w:t>
            </w:r>
            <w:r>
              <w:rPr>
                <w:rFonts w:hint="default" w:ascii="Times New Roman" w:hAnsi="Times New Roman" w:eastAsia="宋体" w:cs="Times New Roman"/>
                <w:b/>
                <w:bCs/>
                <w:color w:val="000000"/>
                <w:kern w:val="0"/>
                <w:sz w:val="21"/>
                <w:szCs w:val="21"/>
                <w:highlight w:val="none"/>
                <w:lang w:val="en-US" w:eastAsia="zh-CN" w:bidi="ar-SA"/>
              </w:rPr>
              <w:t xml:space="preserve"> </w:t>
            </w:r>
            <w:r>
              <w:rPr>
                <w:rFonts w:hint="eastAsia" w:ascii="Times New Roman" w:hAnsi="Times New Roman" w:eastAsia="宋体" w:cs="Times New Roman"/>
                <w:b/>
                <w:bCs/>
                <w:color w:val="000000"/>
                <w:kern w:val="0"/>
                <w:sz w:val="21"/>
                <w:szCs w:val="21"/>
                <w:highlight w:val="none"/>
                <w:lang w:val="en-US" w:eastAsia="zh-CN" w:bidi="ar-SA"/>
              </w:rPr>
              <w:t>项目生产用水、废水产生情况统计一览表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28" w:type="dxa"/>
                <w:bottom w:w="0" w:type="dxa"/>
                <w:right w:w="28" w:type="dxa"/>
              </w:tblCellMar>
            </w:tblPr>
            <w:tblGrid>
              <w:gridCol w:w="957"/>
              <w:gridCol w:w="797"/>
              <w:gridCol w:w="546"/>
              <w:gridCol w:w="528"/>
              <w:gridCol w:w="696"/>
              <w:gridCol w:w="960"/>
              <w:gridCol w:w="720"/>
              <w:gridCol w:w="705"/>
              <w:gridCol w:w="765"/>
              <w:gridCol w:w="735"/>
              <w:gridCol w:w="795"/>
              <w:gridCol w:w="585"/>
              <w:gridCol w:w="690"/>
              <w:gridCol w:w="810"/>
              <w:gridCol w:w="750"/>
              <w:gridCol w:w="750"/>
              <w:gridCol w:w="1062"/>
            </w:tblGrid>
            <w:tr w14:paraId="7FCF9D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00" w:hRule="atLeast"/>
                <w:jc w:val="center"/>
              </w:trPr>
              <w:tc>
                <w:tcPr>
                  <w:tcW w:w="957" w:type="dxa"/>
                  <w:vMerge w:val="restart"/>
                  <w:tcBorders>
                    <w:tl2br w:val="nil"/>
                    <w:tr2bl w:val="nil"/>
                  </w:tcBorders>
                  <w:shd w:val="clear" w:color="auto" w:fill="auto"/>
                  <w:vAlign w:val="center"/>
                </w:tcPr>
                <w:p w14:paraId="38934B6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设备名称</w:t>
                  </w:r>
                </w:p>
              </w:tc>
              <w:tc>
                <w:tcPr>
                  <w:tcW w:w="1871" w:type="dxa"/>
                  <w:gridSpan w:val="3"/>
                  <w:tcBorders>
                    <w:tl2br w:val="nil"/>
                    <w:tr2bl w:val="nil"/>
                  </w:tcBorders>
                  <w:shd w:val="clear" w:color="auto" w:fill="auto"/>
                  <w:vAlign w:val="center"/>
                </w:tcPr>
                <w:p w14:paraId="2D1F8EB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槽体尺寸</w:t>
                  </w:r>
                </w:p>
              </w:tc>
              <w:tc>
                <w:tcPr>
                  <w:tcW w:w="696" w:type="dxa"/>
                  <w:vMerge w:val="restart"/>
                  <w:tcBorders>
                    <w:tl2br w:val="nil"/>
                    <w:tr2bl w:val="nil"/>
                  </w:tcBorders>
                  <w:shd w:val="clear" w:color="auto" w:fill="auto"/>
                  <w:vAlign w:val="center"/>
                </w:tcPr>
                <w:p w14:paraId="6E84FA7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槽</w:t>
                  </w:r>
                  <w:r>
                    <w:rPr>
                      <w:rFonts w:hint="eastAsia" w:cs="Times New Roman"/>
                      <w:i w:val="0"/>
                      <w:iCs w:val="0"/>
                      <w:color w:val="000000"/>
                      <w:kern w:val="0"/>
                      <w:sz w:val="21"/>
                      <w:szCs w:val="21"/>
                      <w:u w:val="none"/>
                      <w:lang w:val="en-US" w:eastAsia="zh-CN" w:bidi="ar"/>
                    </w:rPr>
                    <w:t>液体积</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60" w:type="dxa"/>
                  <w:vMerge w:val="restart"/>
                  <w:tcBorders>
                    <w:tl2br w:val="nil"/>
                    <w:tr2bl w:val="nil"/>
                  </w:tcBorders>
                  <w:shd w:val="clear" w:color="auto" w:fill="auto"/>
                  <w:vAlign w:val="center"/>
                </w:tcPr>
                <w:p w14:paraId="199E00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单次槽液配制用水量m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20" w:type="dxa"/>
                  <w:vMerge w:val="restart"/>
                  <w:tcBorders>
                    <w:tl2br w:val="nil"/>
                    <w:tr2bl w:val="nil"/>
                  </w:tcBorders>
                  <w:shd w:val="clear" w:color="auto" w:fill="auto"/>
                  <w:vAlign w:val="center"/>
                </w:tcPr>
                <w:p w14:paraId="12E9C96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槽液配置原料用量</w:t>
                  </w:r>
                  <w:r>
                    <w:rPr>
                      <w:rFonts w:hint="eastAsia" w:cs="Times New Roman"/>
                      <w:i w:val="0"/>
                      <w:iCs w:val="0"/>
                      <w:color w:val="000000"/>
                      <w:kern w:val="0"/>
                      <w:sz w:val="21"/>
                      <w:szCs w:val="21"/>
                      <w:u w:val="none"/>
                      <w:lang w:val="en-US" w:eastAsia="zh-CN" w:bidi="ar"/>
                    </w:rPr>
                    <w:t>kg</w:t>
                  </w:r>
                </w:p>
              </w:tc>
              <w:tc>
                <w:tcPr>
                  <w:tcW w:w="705" w:type="dxa"/>
                  <w:vMerge w:val="restart"/>
                  <w:tcBorders>
                    <w:tl2br w:val="nil"/>
                    <w:tr2bl w:val="nil"/>
                  </w:tcBorders>
                  <w:shd w:val="clear" w:color="auto" w:fill="auto"/>
                  <w:vAlign w:val="center"/>
                </w:tcPr>
                <w:p w14:paraId="031A25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槽液更换频率</w:t>
                  </w:r>
                </w:p>
              </w:tc>
              <w:tc>
                <w:tcPr>
                  <w:tcW w:w="765" w:type="dxa"/>
                  <w:vMerge w:val="restart"/>
                  <w:tcBorders>
                    <w:tl2br w:val="nil"/>
                    <w:tr2bl w:val="nil"/>
                  </w:tcBorders>
                  <w:shd w:val="clear" w:color="auto" w:fill="auto"/>
                  <w:vAlign w:val="center"/>
                </w:tcPr>
                <w:p w14:paraId="2FDE8E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喷淋流量m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c>
                <w:tcPr>
                  <w:tcW w:w="735" w:type="dxa"/>
                  <w:vMerge w:val="restart"/>
                  <w:tcBorders>
                    <w:tl2br w:val="nil"/>
                    <w:tr2bl w:val="nil"/>
                  </w:tcBorders>
                  <w:shd w:val="clear" w:color="auto" w:fill="auto"/>
                  <w:vAlign w:val="center"/>
                </w:tcPr>
                <w:p w14:paraId="073180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补水量m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/d</w:t>
                  </w:r>
                </w:p>
              </w:tc>
              <w:tc>
                <w:tcPr>
                  <w:tcW w:w="795" w:type="dxa"/>
                  <w:vMerge w:val="restart"/>
                  <w:tcBorders>
                    <w:tl2br w:val="nil"/>
                    <w:tr2bl w:val="nil"/>
                  </w:tcBorders>
                  <w:shd w:val="clear" w:color="auto" w:fill="auto"/>
                  <w:vAlign w:val="center"/>
                </w:tcPr>
                <w:p w14:paraId="1B6D78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补充原料量kg/d</w:t>
                  </w:r>
                </w:p>
              </w:tc>
              <w:tc>
                <w:tcPr>
                  <w:tcW w:w="585" w:type="dxa"/>
                  <w:vMerge w:val="restart"/>
                  <w:tcBorders>
                    <w:tl2br w:val="nil"/>
                    <w:tr2bl w:val="nil"/>
                  </w:tcBorders>
                  <w:shd w:val="clear" w:color="auto" w:fill="auto"/>
                  <w:vAlign w:val="center"/>
                </w:tcPr>
                <w:p w14:paraId="7E71CC0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温度℃</w:t>
                  </w:r>
                </w:p>
              </w:tc>
              <w:tc>
                <w:tcPr>
                  <w:tcW w:w="690" w:type="dxa"/>
                  <w:vMerge w:val="restart"/>
                  <w:tcBorders>
                    <w:tl2br w:val="nil"/>
                    <w:tr2bl w:val="nil"/>
                  </w:tcBorders>
                  <w:shd w:val="clear" w:color="auto" w:fill="auto"/>
                  <w:vAlign w:val="center"/>
                </w:tcPr>
                <w:p w14:paraId="100CC1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工件停留时间</w:t>
                  </w:r>
                </w:p>
              </w:tc>
              <w:tc>
                <w:tcPr>
                  <w:tcW w:w="810" w:type="dxa"/>
                  <w:vMerge w:val="restart"/>
                  <w:tcBorders>
                    <w:tl2br w:val="nil"/>
                    <w:tr2bl w:val="nil"/>
                  </w:tcBorders>
                  <w:shd w:val="clear" w:color="auto" w:fill="auto"/>
                  <w:vAlign w:val="center"/>
                </w:tcPr>
                <w:p w14:paraId="0BC585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损耗水量</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/d</w:t>
                  </w:r>
                </w:p>
              </w:tc>
              <w:tc>
                <w:tcPr>
                  <w:tcW w:w="750" w:type="dxa"/>
                  <w:vMerge w:val="restart"/>
                  <w:tcBorders>
                    <w:tl2br w:val="nil"/>
                    <w:tr2bl w:val="nil"/>
                  </w:tcBorders>
                  <w:shd w:val="clear" w:color="auto" w:fill="auto"/>
                  <w:vAlign w:val="center"/>
                </w:tcPr>
                <w:p w14:paraId="2C9864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年用水量</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a</w:t>
                  </w:r>
                </w:p>
              </w:tc>
              <w:tc>
                <w:tcPr>
                  <w:tcW w:w="750" w:type="dxa"/>
                  <w:vMerge w:val="restart"/>
                  <w:tcBorders>
                    <w:tl2br w:val="nil"/>
                    <w:tr2bl w:val="nil"/>
                  </w:tcBorders>
                  <w:shd w:val="clear" w:color="auto" w:fill="auto"/>
                  <w:vAlign w:val="center"/>
                </w:tcPr>
                <w:p w14:paraId="79224D2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废</w:t>
                  </w:r>
                  <w:r>
                    <w:rPr>
                      <w:rFonts w:hint="eastAsia" w:cs="Times New Roman"/>
                      <w:i w:val="0"/>
                      <w:iCs w:val="0"/>
                      <w:color w:val="000000"/>
                      <w:kern w:val="0"/>
                      <w:sz w:val="21"/>
                      <w:szCs w:val="21"/>
                      <w:u w:val="none"/>
                      <w:lang w:val="en-US" w:eastAsia="zh-CN" w:bidi="ar"/>
                    </w:rPr>
                    <w:t>水</w:t>
                  </w:r>
                  <w:r>
                    <w:rPr>
                      <w:rFonts w:hint="eastAsia" w:ascii="Times New Roman" w:hAnsi="Times New Roman" w:eastAsia="宋体" w:cs="Times New Roman"/>
                      <w:i w:val="0"/>
                      <w:iCs w:val="0"/>
                      <w:color w:val="000000"/>
                      <w:kern w:val="0"/>
                      <w:sz w:val="21"/>
                      <w:szCs w:val="21"/>
                      <w:u w:val="none"/>
                      <w:lang w:val="en-US" w:eastAsia="zh-CN" w:bidi="ar"/>
                    </w:rPr>
                    <w:t>产生量</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a</w:t>
                  </w:r>
                </w:p>
              </w:tc>
              <w:tc>
                <w:tcPr>
                  <w:tcW w:w="1062" w:type="dxa"/>
                  <w:vMerge w:val="restart"/>
                  <w:tcBorders>
                    <w:tl2br w:val="nil"/>
                    <w:tr2bl w:val="nil"/>
                  </w:tcBorders>
                  <w:shd w:val="clear" w:color="auto" w:fill="auto"/>
                  <w:vAlign w:val="center"/>
                </w:tcPr>
                <w:p w14:paraId="073A544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废液去向</w:t>
                  </w:r>
                </w:p>
              </w:tc>
            </w:tr>
            <w:tr w14:paraId="32F8E1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0" w:hRule="atLeast"/>
                <w:jc w:val="center"/>
              </w:trPr>
              <w:tc>
                <w:tcPr>
                  <w:tcW w:w="957" w:type="dxa"/>
                  <w:vMerge w:val="continue"/>
                  <w:tcBorders>
                    <w:tl2br w:val="nil"/>
                    <w:tr2bl w:val="nil"/>
                  </w:tcBorders>
                  <w:shd w:val="clear" w:color="auto" w:fill="auto"/>
                  <w:vAlign w:val="center"/>
                </w:tcPr>
                <w:p w14:paraId="73C5339A">
                  <w:pPr>
                    <w:jc w:val="center"/>
                    <w:rPr>
                      <w:rFonts w:hint="default" w:ascii="Times New Roman" w:hAnsi="Times New Roman" w:eastAsia="宋体" w:cs="Times New Roman"/>
                      <w:i w:val="0"/>
                      <w:iCs w:val="0"/>
                      <w:color w:val="000000"/>
                      <w:sz w:val="21"/>
                      <w:szCs w:val="21"/>
                      <w:u w:val="none"/>
                    </w:rPr>
                  </w:pPr>
                </w:p>
              </w:tc>
              <w:tc>
                <w:tcPr>
                  <w:tcW w:w="797" w:type="dxa"/>
                  <w:tcBorders>
                    <w:tl2br w:val="nil"/>
                    <w:tr2bl w:val="nil"/>
                  </w:tcBorders>
                  <w:shd w:val="clear" w:color="auto" w:fill="auto"/>
                  <w:vAlign w:val="center"/>
                </w:tcPr>
                <w:p w14:paraId="08C05F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长m</w:t>
                  </w:r>
                </w:p>
              </w:tc>
              <w:tc>
                <w:tcPr>
                  <w:tcW w:w="546" w:type="dxa"/>
                  <w:tcBorders>
                    <w:tl2br w:val="nil"/>
                    <w:tr2bl w:val="nil"/>
                  </w:tcBorders>
                  <w:shd w:val="clear" w:color="auto" w:fill="auto"/>
                  <w:vAlign w:val="center"/>
                </w:tcPr>
                <w:p w14:paraId="5B2CA4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宽m</w:t>
                  </w:r>
                </w:p>
              </w:tc>
              <w:tc>
                <w:tcPr>
                  <w:tcW w:w="528" w:type="dxa"/>
                  <w:tcBorders>
                    <w:tl2br w:val="nil"/>
                    <w:tr2bl w:val="nil"/>
                  </w:tcBorders>
                  <w:shd w:val="clear" w:color="auto" w:fill="auto"/>
                  <w:vAlign w:val="center"/>
                </w:tcPr>
                <w:p w14:paraId="587E249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高m</w:t>
                  </w:r>
                </w:p>
              </w:tc>
              <w:tc>
                <w:tcPr>
                  <w:tcW w:w="696" w:type="dxa"/>
                  <w:vMerge w:val="continue"/>
                  <w:tcBorders>
                    <w:tl2br w:val="nil"/>
                    <w:tr2bl w:val="nil"/>
                  </w:tcBorders>
                  <w:shd w:val="clear" w:color="auto" w:fill="auto"/>
                  <w:vAlign w:val="center"/>
                </w:tcPr>
                <w:p w14:paraId="6D13784B">
                  <w:pPr>
                    <w:jc w:val="center"/>
                    <w:rPr>
                      <w:rFonts w:hint="default" w:ascii="Times New Roman" w:hAnsi="Times New Roman" w:eastAsia="宋体" w:cs="Times New Roman"/>
                      <w:i w:val="0"/>
                      <w:iCs w:val="0"/>
                      <w:color w:val="000000"/>
                      <w:sz w:val="21"/>
                      <w:szCs w:val="21"/>
                      <w:u w:val="none"/>
                    </w:rPr>
                  </w:pPr>
                </w:p>
              </w:tc>
              <w:tc>
                <w:tcPr>
                  <w:tcW w:w="960" w:type="dxa"/>
                  <w:vMerge w:val="continue"/>
                  <w:tcBorders>
                    <w:tl2br w:val="nil"/>
                    <w:tr2bl w:val="nil"/>
                  </w:tcBorders>
                  <w:shd w:val="clear" w:color="auto" w:fill="auto"/>
                  <w:vAlign w:val="center"/>
                </w:tcPr>
                <w:p w14:paraId="3254655D">
                  <w:pPr>
                    <w:jc w:val="center"/>
                    <w:rPr>
                      <w:rFonts w:hint="default" w:ascii="Times New Roman" w:hAnsi="Times New Roman" w:eastAsia="宋体" w:cs="Times New Roman"/>
                      <w:i w:val="0"/>
                      <w:iCs w:val="0"/>
                      <w:color w:val="000000"/>
                      <w:sz w:val="21"/>
                      <w:szCs w:val="21"/>
                      <w:u w:val="none"/>
                    </w:rPr>
                  </w:pPr>
                </w:p>
              </w:tc>
              <w:tc>
                <w:tcPr>
                  <w:tcW w:w="720" w:type="dxa"/>
                  <w:vMerge w:val="continue"/>
                  <w:tcBorders>
                    <w:tl2br w:val="nil"/>
                    <w:tr2bl w:val="nil"/>
                  </w:tcBorders>
                  <w:shd w:val="clear" w:color="auto" w:fill="auto"/>
                  <w:vAlign w:val="center"/>
                </w:tcPr>
                <w:p w14:paraId="57A77957">
                  <w:pPr>
                    <w:jc w:val="center"/>
                    <w:rPr>
                      <w:rFonts w:hint="default" w:ascii="Times New Roman" w:hAnsi="Times New Roman" w:eastAsia="宋体" w:cs="Times New Roman"/>
                      <w:i w:val="0"/>
                      <w:iCs w:val="0"/>
                      <w:color w:val="000000"/>
                      <w:sz w:val="21"/>
                      <w:szCs w:val="21"/>
                      <w:u w:val="none"/>
                    </w:rPr>
                  </w:pPr>
                </w:p>
              </w:tc>
              <w:tc>
                <w:tcPr>
                  <w:tcW w:w="705" w:type="dxa"/>
                  <w:vMerge w:val="continue"/>
                  <w:tcBorders>
                    <w:tl2br w:val="nil"/>
                    <w:tr2bl w:val="nil"/>
                  </w:tcBorders>
                  <w:shd w:val="clear" w:color="auto" w:fill="auto"/>
                  <w:vAlign w:val="center"/>
                </w:tcPr>
                <w:p w14:paraId="54836200">
                  <w:pPr>
                    <w:jc w:val="center"/>
                    <w:rPr>
                      <w:rFonts w:hint="default" w:ascii="Times New Roman" w:hAnsi="Times New Roman" w:eastAsia="宋体" w:cs="Times New Roman"/>
                      <w:i w:val="0"/>
                      <w:iCs w:val="0"/>
                      <w:color w:val="000000"/>
                      <w:sz w:val="21"/>
                      <w:szCs w:val="21"/>
                      <w:u w:val="none"/>
                    </w:rPr>
                  </w:pPr>
                </w:p>
              </w:tc>
              <w:tc>
                <w:tcPr>
                  <w:tcW w:w="765" w:type="dxa"/>
                  <w:vMerge w:val="continue"/>
                  <w:tcBorders>
                    <w:tl2br w:val="nil"/>
                    <w:tr2bl w:val="nil"/>
                  </w:tcBorders>
                  <w:shd w:val="clear" w:color="auto" w:fill="auto"/>
                  <w:vAlign w:val="center"/>
                </w:tcPr>
                <w:p w14:paraId="39D6AB70">
                  <w:pPr>
                    <w:jc w:val="center"/>
                    <w:rPr>
                      <w:rFonts w:hint="default" w:ascii="Times New Roman" w:hAnsi="Times New Roman" w:eastAsia="宋体" w:cs="Times New Roman"/>
                      <w:i w:val="0"/>
                      <w:iCs w:val="0"/>
                      <w:color w:val="000000"/>
                      <w:sz w:val="21"/>
                      <w:szCs w:val="21"/>
                      <w:u w:val="none"/>
                    </w:rPr>
                  </w:pPr>
                </w:p>
              </w:tc>
              <w:tc>
                <w:tcPr>
                  <w:tcW w:w="735" w:type="dxa"/>
                  <w:vMerge w:val="continue"/>
                  <w:tcBorders>
                    <w:tl2br w:val="nil"/>
                    <w:tr2bl w:val="nil"/>
                  </w:tcBorders>
                  <w:shd w:val="clear" w:color="auto" w:fill="auto"/>
                  <w:vAlign w:val="center"/>
                </w:tcPr>
                <w:p w14:paraId="1B4C5E0A">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l2br w:val="nil"/>
                    <w:tr2bl w:val="nil"/>
                  </w:tcBorders>
                  <w:shd w:val="clear" w:color="auto" w:fill="auto"/>
                  <w:vAlign w:val="center"/>
                </w:tcPr>
                <w:p w14:paraId="1BFD7F42">
                  <w:pPr>
                    <w:jc w:val="center"/>
                    <w:rPr>
                      <w:rFonts w:hint="default" w:ascii="Times New Roman" w:hAnsi="Times New Roman" w:eastAsia="宋体" w:cs="Times New Roman"/>
                      <w:i w:val="0"/>
                      <w:iCs w:val="0"/>
                      <w:color w:val="000000"/>
                      <w:sz w:val="21"/>
                      <w:szCs w:val="21"/>
                      <w:u w:val="none"/>
                    </w:rPr>
                  </w:pPr>
                </w:p>
              </w:tc>
              <w:tc>
                <w:tcPr>
                  <w:tcW w:w="585" w:type="dxa"/>
                  <w:vMerge w:val="continue"/>
                  <w:tcBorders>
                    <w:tl2br w:val="nil"/>
                    <w:tr2bl w:val="nil"/>
                  </w:tcBorders>
                  <w:shd w:val="clear" w:color="auto" w:fill="auto"/>
                  <w:vAlign w:val="center"/>
                </w:tcPr>
                <w:p w14:paraId="4AB0411E">
                  <w:pPr>
                    <w:jc w:val="center"/>
                    <w:rPr>
                      <w:rFonts w:hint="default" w:ascii="Times New Roman" w:hAnsi="Times New Roman" w:eastAsia="宋体" w:cs="Times New Roman"/>
                      <w:i w:val="0"/>
                      <w:iCs w:val="0"/>
                      <w:color w:val="000000"/>
                      <w:sz w:val="21"/>
                      <w:szCs w:val="21"/>
                      <w:u w:val="none"/>
                    </w:rPr>
                  </w:pPr>
                </w:p>
              </w:tc>
              <w:tc>
                <w:tcPr>
                  <w:tcW w:w="690" w:type="dxa"/>
                  <w:vMerge w:val="continue"/>
                  <w:tcBorders>
                    <w:tl2br w:val="nil"/>
                    <w:tr2bl w:val="nil"/>
                  </w:tcBorders>
                  <w:shd w:val="clear" w:color="auto" w:fill="auto"/>
                  <w:vAlign w:val="center"/>
                </w:tcPr>
                <w:p w14:paraId="38898F35">
                  <w:pPr>
                    <w:jc w:val="center"/>
                    <w:rPr>
                      <w:rFonts w:hint="default" w:ascii="Times New Roman" w:hAnsi="Times New Roman" w:eastAsia="宋体" w:cs="Times New Roman"/>
                      <w:i w:val="0"/>
                      <w:iCs w:val="0"/>
                      <w:color w:val="000000"/>
                      <w:sz w:val="21"/>
                      <w:szCs w:val="21"/>
                      <w:u w:val="none"/>
                    </w:rPr>
                  </w:pPr>
                </w:p>
              </w:tc>
              <w:tc>
                <w:tcPr>
                  <w:tcW w:w="810" w:type="dxa"/>
                  <w:vMerge w:val="continue"/>
                  <w:tcBorders>
                    <w:tl2br w:val="nil"/>
                    <w:tr2bl w:val="nil"/>
                  </w:tcBorders>
                  <w:shd w:val="clear" w:color="auto" w:fill="auto"/>
                  <w:vAlign w:val="center"/>
                </w:tcPr>
                <w:p w14:paraId="4C379FF2">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23746AED">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03FBFF86">
                  <w:pPr>
                    <w:jc w:val="center"/>
                    <w:rPr>
                      <w:rFonts w:hint="default" w:ascii="Times New Roman" w:hAnsi="Times New Roman" w:eastAsia="宋体" w:cs="Times New Roman"/>
                      <w:i w:val="0"/>
                      <w:iCs w:val="0"/>
                      <w:color w:val="000000"/>
                      <w:sz w:val="21"/>
                      <w:szCs w:val="21"/>
                      <w:u w:val="none"/>
                    </w:rPr>
                  </w:pPr>
                </w:p>
              </w:tc>
              <w:tc>
                <w:tcPr>
                  <w:tcW w:w="1062" w:type="dxa"/>
                  <w:vMerge w:val="continue"/>
                  <w:tcBorders>
                    <w:tl2br w:val="nil"/>
                    <w:tr2bl w:val="nil"/>
                  </w:tcBorders>
                  <w:shd w:val="clear" w:color="auto" w:fill="auto"/>
                  <w:vAlign w:val="center"/>
                </w:tcPr>
                <w:p w14:paraId="2716B8B6">
                  <w:pPr>
                    <w:jc w:val="center"/>
                    <w:rPr>
                      <w:rFonts w:hint="default" w:ascii="Times New Roman" w:hAnsi="Times New Roman" w:eastAsia="宋体" w:cs="Times New Roman"/>
                      <w:i w:val="0"/>
                      <w:iCs w:val="0"/>
                      <w:color w:val="000000"/>
                      <w:sz w:val="21"/>
                      <w:szCs w:val="21"/>
                      <w:u w:val="none"/>
                    </w:rPr>
                  </w:pPr>
                </w:p>
              </w:tc>
            </w:tr>
            <w:tr w14:paraId="6D7D92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540" w:hRule="atLeast"/>
                <w:jc w:val="center"/>
              </w:trPr>
              <w:tc>
                <w:tcPr>
                  <w:tcW w:w="957" w:type="dxa"/>
                  <w:tcBorders>
                    <w:tl2br w:val="nil"/>
                    <w:tr2bl w:val="nil"/>
                  </w:tcBorders>
                  <w:shd w:val="clear" w:color="auto" w:fill="auto"/>
                  <w:vAlign w:val="center"/>
                </w:tcPr>
                <w:p w14:paraId="5B37B30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预脱脂槽（喷淋）</w:t>
                  </w:r>
                </w:p>
              </w:tc>
              <w:tc>
                <w:tcPr>
                  <w:tcW w:w="797" w:type="dxa"/>
                  <w:tcBorders>
                    <w:tl2br w:val="nil"/>
                    <w:tr2bl w:val="nil"/>
                  </w:tcBorders>
                  <w:shd w:val="clear" w:color="auto" w:fill="auto"/>
                  <w:vAlign w:val="center"/>
                </w:tcPr>
                <w:p w14:paraId="3B3FF6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546" w:type="dxa"/>
                  <w:tcBorders>
                    <w:tl2br w:val="nil"/>
                    <w:tr2bl w:val="nil"/>
                  </w:tcBorders>
                  <w:shd w:val="clear" w:color="auto" w:fill="auto"/>
                  <w:vAlign w:val="center"/>
                </w:tcPr>
                <w:p w14:paraId="1619F4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528" w:type="dxa"/>
                  <w:tcBorders>
                    <w:tl2br w:val="nil"/>
                    <w:tr2bl w:val="nil"/>
                  </w:tcBorders>
                  <w:shd w:val="clear" w:color="auto" w:fill="auto"/>
                  <w:vAlign w:val="center"/>
                </w:tcPr>
                <w:p w14:paraId="5293639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696" w:type="dxa"/>
                  <w:tcBorders>
                    <w:tl2br w:val="nil"/>
                    <w:tr2bl w:val="nil"/>
                  </w:tcBorders>
                  <w:shd w:val="clear" w:color="auto" w:fill="auto"/>
                  <w:vAlign w:val="center"/>
                </w:tcPr>
                <w:p w14:paraId="7634EE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2.288</w:t>
                  </w:r>
                </w:p>
              </w:tc>
              <w:tc>
                <w:tcPr>
                  <w:tcW w:w="960" w:type="dxa"/>
                  <w:tcBorders>
                    <w:tl2br w:val="nil"/>
                    <w:tr2bl w:val="nil"/>
                  </w:tcBorders>
                  <w:shd w:val="clear" w:color="auto" w:fill="auto"/>
                  <w:vAlign w:val="center"/>
                </w:tcPr>
                <w:p w14:paraId="637E5F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20" w:type="dxa"/>
                  <w:tcBorders>
                    <w:tl2br w:val="nil"/>
                    <w:tr2bl w:val="nil"/>
                  </w:tcBorders>
                  <w:shd w:val="clear" w:color="auto" w:fill="auto"/>
                  <w:vAlign w:val="center"/>
                </w:tcPr>
                <w:p w14:paraId="34EEEA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05" w:type="dxa"/>
                  <w:tcBorders>
                    <w:tl2br w:val="nil"/>
                    <w:tr2bl w:val="nil"/>
                  </w:tcBorders>
                  <w:shd w:val="clear" w:color="auto" w:fill="auto"/>
                  <w:vAlign w:val="center"/>
                </w:tcPr>
                <w:p w14:paraId="51268D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年</w:t>
                  </w:r>
                </w:p>
              </w:tc>
              <w:tc>
                <w:tcPr>
                  <w:tcW w:w="765" w:type="dxa"/>
                  <w:tcBorders>
                    <w:tl2br w:val="nil"/>
                    <w:tr2bl w:val="nil"/>
                  </w:tcBorders>
                  <w:shd w:val="clear" w:color="auto" w:fill="auto"/>
                  <w:vAlign w:val="center"/>
                </w:tcPr>
                <w:p w14:paraId="45896A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735" w:type="dxa"/>
                  <w:tcBorders>
                    <w:tl2br w:val="nil"/>
                    <w:tr2bl w:val="nil"/>
                  </w:tcBorders>
                  <w:shd w:val="clear" w:color="auto" w:fill="auto"/>
                  <w:vAlign w:val="center"/>
                </w:tcPr>
                <w:p w14:paraId="1B7DFB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795" w:type="dxa"/>
                  <w:tcBorders>
                    <w:tl2br w:val="nil"/>
                    <w:tr2bl w:val="nil"/>
                  </w:tcBorders>
                  <w:shd w:val="clear" w:color="auto" w:fill="auto"/>
                  <w:vAlign w:val="center"/>
                </w:tcPr>
                <w:p w14:paraId="64B5E0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85" w:type="dxa"/>
                  <w:tcBorders>
                    <w:tl2br w:val="nil"/>
                    <w:tr2bl w:val="nil"/>
                  </w:tcBorders>
                  <w:shd w:val="clear" w:color="auto" w:fill="auto"/>
                  <w:vAlign w:val="center"/>
                </w:tcPr>
                <w:p w14:paraId="31C7AB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室温</w:t>
                  </w:r>
                </w:p>
              </w:tc>
              <w:tc>
                <w:tcPr>
                  <w:tcW w:w="690" w:type="dxa"/>
                  <w:tcBorders>
                    <w:tl2br w:val="nil"/>
                    <w:tr2bl w:val="nil"/>
                  </w:tcBorders>
                  <w:shd w:val="clear" w:color="auto" w:fill="auto"/>
                  <w:vAlign w:val="center"/>
                </w:tcPr>
                <w:p w14:paraId="40232E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分钟</w:t>
                  </w:r>
                </w:p>
              </w:tc>
              <w:tc>
                <w:tcPr>
                  <w:tcW w:w="810" w:type="dxa"/>
                  <w:tcBorders>
                    <w:tl2br w:val="nil"/>
                    <w:tr2bl w:val="nil"/>
                  </w:tcBorders>
                  <w:shd w:val="clear" w:color="auto" w:fill="auto"/>
                  <w:vAlign w:val="center"/>
                </w:tcPr>
                <w:p w14:paraId="7F3DDD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750" w:type="dxa"/>
                  <w:tcBorders>
                    <w:tl2br w:val="nil"/>
                    <w:tr2bl w:val="nil"/>
                  </w:tcBorders>
                  <w:shd w:val="clear" w:color="auto" w:fill="auto"/>
                  <w:vAlign w:val="center"/>
                </w:tcPr>
                <w:p w14:paraId="3FA860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750" w:type="dxa"/>
                  <w:tcBorders>
                    <w:tl2br w:val="nil"/>
                    <w:tr2bl w:val="nil"/>
                  </w:tcBorders>
                  <w:shd w:val="clear" w:color="auto" w:fill="auto"/>
                  <w:vAlign w:val="center"/>
                </w:tcPr>
                <w:p w14:paraId="7937A83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62" w:type="dxa"/>
                  <w:tcBorders>
                    <w:tl2br w:val="nil"/>
                    <w:tr2bl w:val="nil"/>
                  </w:tcBorders>
                  <w:shd w:val="clear" w:color="auto" w:fill="auto"/>
                  <w:vAlign w:val="center"/>
                </w:tcPr>
                <w:p w14:paraId="73E7EC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厂区污水处理站</w:t>
                  </w:r>
                </w:p>
              </w:tc>
            </w:tr>
            <w:tr w14:paraId="6599C2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30" w:hRule="atLeast"/>
                <w:jc w:val="center"/>
              </w:trPr>
              <w:tc>
                <w:tcPr>
                  <w:tcW w:w="957" w:type="dxa"/>
                  <w:vMerge w:val="restart"/>
                  <w:tcBorders>
                    <w:tl2br w:val="nil"/>
                    <w:tr2bl w:val="nil"/>
                  </w:tcBorders>
                  <w:shd w:val="clear" w:color="auto" w:fill="auto"/>
                  <w:vAlign w:val="center"/>
                </w:tcPr>
                <w:p w14:paraId="40089A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脱脂槽（浸泡）</w:t>
                  </w:r>
                </w:p>
              </w:tc>
              <w:tc>
                <w:tcPr>
                  <w:tcW w:w="797" w:type="dxa"/>
                  <w:tcBorders>
                    <w:tl2br w:val="nil"/>
                    <w:tr2bl w:val="nil"/>
                  </w:tcBorders>
                  <w:shd w:val="clear" w:color="auto" w:fill="auto"/>
                  <w:vAlign w:val="center"/>
                </w:tcPr>
                <w:p w14:paraId="004B28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上11.3</w:t>
                  </w:r>
                </w:p>
              </w:tc>
              <w:tc>
                <w:tcPr>
                  <w:tcW w:w="546" w:type="dxa"/>
                  <w:vMerge w:val="restart"/>
                  <w:tcBorders>
                    <w:tl2br w:val="nil"/>
                    <w:tr2bl w:val="nil"/>
                  </w:tcBorders>
                  <w:shd w:val="clear" w:color="auto" w:fill="auto"/>
                  <w:vAlign w:val="center"/>
                </w:tcPr>
                <w:p w14:paraId="1D85546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528" w:type="dxa"/>
                  <w:vMerge w:val="restart"/>
                  <w:tcBorders>
                    <w:tl2br w:val="nil"/>
                    <w:tr2bl w:val="nil"/>
                  </w:tcBorders>
                  <w:shd w:val="clear" w:color="auto" w:fill="auto"/>
                  <w:vAlign w:val="center"/>
                </w:tcPr>
                <w:p w14:paraId="3B9100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96" w:type="dxa"/>
                  <w:vMerge w:val="restart"/>
                  <w:tcBorders>
                    <w:tl2br w:val="nil"/>
                    <w:tr2bl w:val="nil"/>
                  </w:tcBorders>
                  <w:shd w:val="clear" w:color="auto" w:fill="auto"/>
                  <w:vAlign w:val="center"/>
                </w:tcPr>
                <w:p w14:paraId="604251B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8.64</w:t>
                  </w:r>
                </w:p>
              </w:tc>
              <w:tc>
                <w:tcPr>
                  <w:tcW w:w="960" w:type="dxa"/>
                  <w:vMerge w:val="restart"/>
                  <w:tcBorders>
                    <w:tl2br w:val="nil"/>
                    <w:tr2bl w:val="nil"/>
                  </w:tcBorders>
                  <w:shd w:val="clear" w:color="auto" w:fill="auto"/>
                  <w:vAlign w:val="center"/>
                </w:tcPr>
                <w:p w14:paraId="64E88FD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720" w:type="dxa"/>
                  <w:vMerge w:val="restart"/>
                  <w:tcBorders>
                    <w:tl2br w:val="nil"/>
                    <w:tr2bl w:val="nil"/>
                  </w:tcBorders>
                  <w:shd w:val="clear" w:color="auto" w:fill="auto"/>
                  <w:vAlign w:val="center"/>
                </w:tcPr>
                <w:p w14:paraId="1DD455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705" w:type="dxa"/>
                  <w:vMerge w:val="restart"/>
                  <w:tcBorders>
                    <w:tl2br w:val="nil"/>
                    <w:tr2bl w:val="nil"/>
                  </w:tcBorders>
                  <w:shd w:val="clear" w:color="auto" w:fill="auto"/>
                  <w:vAlign w:val="center"/>
                </w:tcPr>
                <w:p w14:paraId="51638A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不更换</w:t>
                  </w:r>
                </w:p>
              </w:tc>
              <w:tc>
                <w:tcPr>
                  <w:tcW w:w="765" w:type="dxa"/>
                  <w:vMerge w:val="restart"/>
                  <w:tcBorders>
                    <w:tl2br w:val="nil"/>
                    <w:tr2bl w:val="nil"/>
                  </w:tcBorders>
                  <w:shd w:val="clear" w:color="auto" w:fill="auto"/>
                  <w:vAlign w:val="center"/>
                </w:tcPr>
                <w:p w14:paraId="0BA91E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35" w:type="dxa"/>
                  <w:vMerge w:val="restart"/>
                  <w:tcBorders>
                    <w:tl2br w:val="nil"/>
                    <w:tr2bl w:val="nil"/>
                  </w:tcBorders>
                  <w:shd w:val="clear" w:color="auto" w:fill="auto"/>
                  <w:vAlign w:val="center"/>
                </w:tcPr>
                <w:p w14:paraId="470601B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795" w:type="dxa"/>
                  <w:vMerge w:val="restart"/>
                  <w:tcBorders>
                    <w:tl2br w:val="nil"/>
                    <w:tr2bl w:val="nil"/>
                  </w:tcBorders>
                  <w:shd w:val="clear" w:color="auto" w:fill="auto"/>
                  <w:vAlign w:val="center"/>
                </w:tcPr>
                <w:p w14:paraId="7738FE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85" w:type="dxa"/>
                  <w:vMerge w:val="restart"/>
                  <w:tcBorders>
                    <w:tl2br w:val="nil"/>
                    <w:tr2bl w:val="nil"/>
                  </w:tcBorders>
                  <w:shd w:val="clear" w:color="auto" w:fill="auto"/>
                  <w:vAlign w:val="center"/>
                </w:tcPr>
                <w:p w14:paraId="402CC3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室温</w:t>
                  </w:r>
                </w:p>
              </w:tc>
              <w:tc>
                <w:tcPr>
                  <w:tcW w:w="690" w:type="dxa"/>
                  <w:vMerge w:val="restart"/>
                  <w:tcBorders>
                    <w:tl2br w:val="nil"/>
                    <w:tr2bl w:val="nil"/>
                  </w:tcBorders>
                  <w:shd w:val="clear" w:color="auto" w:fill="auto"/>
                  <w:vAlign w:val="center"/>
                </w:tcPr>
                <w:p w14:paraId="4AFB6A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分钟</w:t>
                  </w:r>
                </w:p>
              </w:tc>
              <w:tc>
                <w:tcPr>
                  <w:tcW w:w="810" w:type="dxa"/>
                  <w:vMerge w:val="restart"/>
                  <w:tcBorders>
                    <w:tl2br w:val="nil"/>
                    <w:tr2bl w:val="nil"/>
                  </w:tcBorders>
                  <w:shd w:val="clear" w:color="auto" w:fill="auto"/>
                  <w:vAlign w:val="center"/>
                </w:tcPr>
                <w:p w14:paraId="0E83BF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750" w:type="dxa"/>
                  <w:vMerge w:val="restart"/>
                  <w:tcBorders>
                    <w:tl2br w:val="nil"/>
                    <w:tr2bl w:val="nil"/>
                  </w:tcBorders>
                  <w:shd w:val="clear" w:color="auto" w:fill="auto"/>
                  <w:vAlign w:val="center"/>
                </w:tcPr>
                <w:p w14:paraId="6F59F7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750" w:type="dxa"/>
                  <w:vMerge w:val="restart"/>
                  <w:tcBorders>
                    <w:tl2br w:val="nil"/>
                    <w:tr2bl w:val="nil"/>
                  </w:tcBorders>
                  <w:shd w:val="clear" w:color="auto" w:fill="auto"/>
                  <w:vAlign w:val="center"/>
                </w:tcPr>
                <w:p w14:paraId="3FD5E47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62" w:type="dxa"/>
                  <w:vMerge w:val="restart"/>
                  <w:tcBorders>
                    <w:tl2br w:val="nil"/>
                    <w:tr2bl w:val="nil"/>
                  </w:tcBorders>
                  <w:shd w:val="clear" w:color="auto" w:fill="auto"/>
                  <w:vAlign w:val="center"/>
                </w:tcPr>
                <w:p w14:paraId="2B6EB9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EB8C0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0" w:hRule="atLeast"/>
                <w:jc w:val="center"/>
              </w:trPr>
              <w:tc>
                <w:tcPr>
                  <w:tcW w:w="957" w:type="dxa"/>
                  <w:vMerge w:val="continue"/>
                  <w:tcBorders>
                    <w:tl2br w:val="nil"/>
                    <w:tr2bl w:val="nil"/>
                  </w:tcBorders>
                  <w:shd w:val="clear" w:color="auto" w:fill="auto"/>
                  <w:vAlign w:val="center"/>
                </w:tcPr>
                <w:p w14:paraId="6AE0E33F">
                  <w:pPr>
                    <w:jc w:val="center"/>
                    <w:rPr>
                      <w:rFonts w:hint="default" w:ascii="Times New Roman" w:hAnsi="Times New Roman" w:eastAsia="宋体" w:cs="Times New Roman"/>
                      <w:i w:val="0"/>
                      <w:iCs w:val="0"/>
                      <w:color w:val="000000"/>
                      <w:sz w:val="21"/>
                      <w:szCs w:val="21"/>
                      <w:u w:val="none"/>
                    </w:rPr>
                  </w:pPr>
                </w:p>
              </w:tc>
              <w:tc>
                <w:tcPr>
                  <w:tcW w:w="797" w:type="dxa"/>
                  <w:tcBorders>
                    <w:tl2br w:val="nil"/>
                    <w:tr2bl w:val="nil"/>
                  </w:tcBorders>
                  <w:shd w:val="clear" w:color="auto" w:fill="auto"/>
                  <w:vAlign w:val="center"/>
                </w:tcPr>
                <w:p w14:paraId="101F46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下6.7</w:t>
                  </w:r>
                </w:p>
              </w:tc>
              <w:tc>
                <w:tcPr>
                  <w:tcW w:w="546" w:type="dxa"/>
                  <w:vMerge w:val="continue"/>
                  <w:tcBorders>
                    <w:tl2br w:val="nil"/>
                    <w:tr2bl w:val="nil"/>
                  </w:tcBorders>
                  <w:shd w:val="clear" w:color="auto" w:fill="auto"/>
                  <w:vAlign w:val="center"/>
                </w:tcPr>
                <w:p w14:paraId="06EAE09D">
                  <w:pPr>
                    <w:jc w:val="center"/>
                    <w:rPr>
                      <w:rFonts w:hint="default" w:ascii="Times New Roman" w:hAnsi="Times New Roman" w:eastAsia="宋体" w:cs="Times New Roman"/>
                      <w:i w:val="0"/>
                      <w:iCs w:val="0"/>
                      <w:color w:val="000000"/>
                      <w:sz w:val="21"/>
                      <w:szCs w:val="21"/>
                      <w:u w:val="none"/>
                    </w:rPr>
                  </w:pPr>
                </w:p>
              </w:tc>
              <w:tc>
                <w:tcPr>
                  <w:tcW w:w="528" w:type="dxa"/>
                  <w:vMerge w:val="continue"/>
                  <w:tcBorders>
                    <w:tl2br w:val="nil"/>
                    <w:tr2bl w:val="nil"/>
                  </w:tcBorders>
                  <w:shd w:val="clear" w:color="auto" w:fill="auto"/>
                  <w:vAlign w:val="center"/>
                </w:tcPr>
                <w:p w14:paraId="1ADB12AF">
                  <w:pPr>
                    <w:jc w:val="center"/>
                    <w:rPr>
                      <w:rFonts w:hint="default" w:ascii="Times New Roman" w:hAnsi="Times New Roman" w:eastAsia="宋体" w:cs="Times New Roman"/>
                      <w:i w:val="0"/>
                      <w:iCs w:val="0"/>
                      <w:color w:val="000000"/>
                      <w:sz w:val="21"/>
                      <w:szCs w:val="21"/>
                      <w:u w:val="none"/>
                    </w:rPr>
                  </w:pPr>
                </w:p>
              </w:tc>
              <w:tc>
                <w:tcPr>
                  <w:tcW w:w="696" w:type="dxa"/>
                  <w:vMerge w:val="continue"/>
                  <w:tcBorders>
                    <w:tl2br w:val="nil"/>
                    <w:tr2bl w:val="nil"/>
                  </w:tcBorders>
                  <w:shd w:val="clear" w:color="auto" w:fill="auto"/>
                  <w:vAlign w:val="center"/>
                </w:tcPr>
                <w:p w14:paraId="71575310">
                  <w:pPr>
                    <w:jc w:val="center"/>
                    <w:rPr>
                      <w:rFonts w:hint="default" w:ascii="Times New Roman" w:hAnsi="Times New Roman" w:eastAsia="宋体" w:cs="Times New Roman"/>
                      <w:i w:val="0"/>
                      <w:iCs w:val="0"/>
                      <w:color w:val="000000"/>
                      <w:sz w:val="21"/>
                      <w:szCs w:val="21"/>
                      <w:u w:val="none"/>
                    </w:rPr>
                  </w:pPr>
                </w:p>
              </w:tc>
              <w:tc>
                <w:tcPr>
                  <w:tcW w:w="960" w:type="dxa"/>
                  <w:vMerge w:val="continue"/>
                  <w:tcBorders>
                    <w:tl2br w:val="nil"/>
                    <w:tr2bl w:val="nil"/>
                  </w:tcBorders>
                  <w:shd w:val="clear" w:color="auto" w:fill="auto"/>
                  <w:vAlign w:val="center"/>
                </w:tcPr>
                <w:p w14:paraId="38BF4213">
                  <w:pPr>
                    <w:jc w:val="center"/>
                    <w:rPr>
                      <w:rFonts w:hint="default" w:ascii="Times New Roman" w:hAnsi="Times New Roman" w:eastAsia="宋体" w:cs="Times New Roman"/>
                      <w:i w:val="0"/>
                      <w:iCs w:val="0"/>
                      <w:color w:val="000000"/>
                      <w:sz w:val="21"/>
                      <w:szCs w:val="21"/>
                      <w:u w:val="none"/>
                    </w:rPr>
                  </w:pPr>
                </w:p>
              </w:tc>
              <w:tc>
                <w:tcPr>
                  <w:tcW w:w="720" w:type="dxa"/>
                  <w:vMerge w:val="continue"/>
                  <w:tcBorders>
                    <w:tl2br w:val="nil"/>
                    <w:tr2bl w:val="nil"/>
                  </w:tcBorders>
                  <w:shd w:val="clear" w:color="auto" w:fill="auto"/>
                  <w:vAlign w:val="center"/>
                </w:tcPr>
                <w:p w14:paraId="2B1660FA">
                  <w:pPr>
                    <w:jc w:val="center"/>
                    <w:rPr>
                      <w:rFonts w:hint="default" w:ascii="Times New Roman" w:hAnsi="Times New Roman" w:eastAsia="宋体" w:cs="Times New Roman"/>
                      <w:i w:val="0"/>
                      <w:iCs w:val="0"/>
                      <w:color w:val="000000"/>
                      <w:sz w:val="21"/>
                      <w:szCs w:val="21"/>
                      <w:u w:val="none"/>
                    </w:rPr>
                  </w:pPr>
                </w:p>
              </w:tc>
              <w:tc>
                <w:tcPr>
                  <w:tcW w:w="705" w:type="dxa"/>
                  <w:vMerge w:val="continue"/>
                  <w:tcBorders>
                    <w:tl2br w:val="nil"/>
                    <w:tr2bl w:val="nil"/>
                  </w:tcBorders>
                  <w:shd w:val="clear" w:color="auto" w:fill="auto"/>
                  <w:vAlign w:val="center"/>
                </w:tcPr>
                <w:p w14:paraId="08DBE5FA">
                  <w:pPr>
                    <w:jc w:val="center"/>
                    <w:rPr>
                      <w:rFonts w:hint="default" w:ascii="Times New Roman" w:hAnsi="Times New Roman" w:eastAsia="宋体" w:cs="Times New Roman"/>
                      <w:i w:val="0"/>
                      <w:iCs w:val="0"/>
                      <w:color w:val="000000"/>
                      <w:sz w:val="21"/>
                      <w:szCs w:val="21"/>
                      <w:u w:val="none"/>
                    </w:rPr>
                  </w:pPr>
                </w:p>
              </w:tc>
              <w:tc>
                <w:tcPr>
                  <w:tcW w:w="765" w:type="dxa"/>
                  <w:vMerge w:val="continue"/>
                  <w:tcBorders>
                    <w:tl2br w:val="nil"/>
                    <w:tr2bl w:val="nil"/>
                  </w:tcBorders>
                  <w:shd w:val="clear" w:color="auto" w:fill="auto"/>
                  <w:vAlign w:val="center"/>
                </w:tcPr>
                <w:p w14:paraId="05D49777">
                  <w:pPr>
                    <w:jc w:val="center"/>
                    <w:rPr>
                      <w:rFonts w:hint="default" w:ascii="Times New Roman" w:hAnsi="Times New Roman" w:eastAsia="宋体" w:cs="Times New Roman"/>
                      <w:i w:val="0"/>
                      <w:iCs w:val="0"/>
                      <w:color w:val="000000"/>
                      <w:sz w:val="21"/>
                      <w:szCs w:val="21"/>
                      <w:u w:val="none"/>
                    </w:rPr>
                  </w:pPr>
                </w:p>
              </w:tc>
              <w:tc>
                <w:tcPr>
                  <w:tcW w:w="735" w:type="dxa"/>
                  <w:vMerge w:val="continue"/>
                  <w:tcBorders>
                    <w:tl2br w:val="nil"/>
                    <w:tr2bl w:val="nil"/>
                  </w:tcBorders>
                  <w:shd w:val="clear" w:color="auto" w:fill="auto"/>
                  <w:vAlign w:val="center"/>
                </w:tcPr>
                <w:p w14:paraId="3D5D8D63">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l2br w:val="nil"/>
                    <w:tr2bl w:val="nil"/>
                  </w:tcBorders>
                  <w:shd w:val="clear" w:color="auto" w:fill="auto"/>
                  <w:vAlign w:val="center"/>
                </w:tcPr>
                <w:p w14:paraId="6BFF28C9">
                  <w:pPr>
                    <w:jc w:val="center"/>
                    <w:rPr>
                      <w:rFonts w:hint="default" w:ascii="Times New Roman" w:hAnsi="Times New Roman" w:eastAsia="宋体" w:cs="Times New Roman"/>
                      <w:i w:val="0"/>
                      <w:iCs w:val="0"/>
                      <w:color w:val="000000"/>
                      <w:sz w:val="21"/>
                      <w:szCs w:val="21"/>
                      <w:u w:val="none"/>
                    </w:rPr>
                  </w:pPr>
                </w:p>
              </w:tc>
              <w:tc>
                <w:tcPr>
                  <w:tcW w:w="585" w:type="dxa"/>
                  <w:vMerge w:val="continue"/>
                  <w:tcBorders>
                    <w:tl2br w:val="nil"/>
                    <w:tr2bl w:val="nil"/>
                  </w:tcBorders>
                  <w:shd w:val="clear" w:color="auto" w:fill="auto"/>
                  <w:vAlign w:val="center"/>
                </w:tcPr>
                <w:p w14:paraId="459277C6">
                  <w:pPr>
                    <w:jc w:val="center"/>
                    <w:rPr>
                      <w:rFonts w:hint="default" w:ascii="Times New Roman" w:hAnsi="Times New Roman" w:eastAsia="宋体" w:cs="Times New Roman"/>
                      <w:i w:val="0"/>
                      <w:iCs w:val="0"/>
                      <w:color w:val="000000"/>
                      <w:sz w:val="21"/>
                      <w:szCs w:val="21"/>
                      <w:u w:val="none"/>
                    </w:rPr>
                  </w:pPr>
                </w:p>
              </w:tc>
              <w:tc>
                <w:tcPr>
                  <w:tcW w:w="690" w:type="dxa"/>
                  <w:vMerge w:val="continue"/>
                  <w:tcBorders>
                    <w:tl2br w:val="nil"/>
                    <w:tr2bl w:val="nil"/>
                  </w:tcBorders>
                  <w:shd w:val="clear" w:color="auto" w:fill="auto"/>
                  <w:vAlign w:val="center"/>
                </w:tcPr>
                <w:p w14:paraId="3A21FC85">
                  <w:pPr>
                    <w:jc w:val="center"/>
                    <w:rPr>
                      <w:rFonts w:hint="default" w:ascii="Times New Roman" w:hAnsi="Times New Roman" w:eastAsia="宋体" w:cs="Times New Roman"/>
                      <w:i w:val="0"/>
                      <w:iCs w:val="0"/>
                      <w:color w:val="000000"/>
                      <w:sz w:val="21"/>
                      <w:szCs w:val="21"/>
                      <w:u w:val="none"/>
                    </w:rPr>
                  </w:pPr>
                </w:p>
              </w:tc>
              <w:tc>
                <w:tcPr>
                  <w:tcW w:w="810" w:type="dxa"/>
                  <w:vMerge w:val="continue"/>
                  <w:tcBorders>
                    <w:tl2br w:val="nil"/>
                    <w:tr2bl w:val="nil"/>
                  </w:tcBorders>
                  <w:shd w:val="clear" w:color="auto" w:fill="auto"/>
                  <w:vAlign w:val="center"/>
                </w:tcPr>
                <w:p w14:paraId="48D0AABF">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1AC5F809">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71CD2177">
                  <w:pPr>
                    <w:jc w:val="center"/>
                    <w:rPr>
                      <w:rFonts w:hint="default" w:ascii="Times New Roman" w:hAnsi="Times New Roman" w:eastAsia="宋体" w:cs="Times New Roman"/>
                      <w:i w:val="0"/>
                      <w:iCs w:val="0"/>
                      <w:color w:val="000000"/>
                      <w:sz w:val="21"/>
                      <w:szCs w:val="21"/>
                      <w:u w:val="none"/>
                    </w:rPr>
                  </w:pPr>
                </w:p>
              </w:tc>
              <w:tc>
                <w:tcPr>
                  <w:tcW w:w="1062" w:type="dxa"/>
                  <w:vMerge w:val="continue"/>
                  <w:tcBorders>
                    <w:tl2br w:val="nil"/>
                    <w:tr2bl w:val="nil"/>
                  </w:tcBorders>
                  <w:shd w:val="clear" w:color="auto" w:fill="auto"/>
                  <w:vAlign w:val="center"/>
                </w:tcPr>
                <w:p w14:paraId="506C0644">
                  <w:pPr>
                    <w:jc w:val="center"/>
                    <w:rPr>
                      <w:rFonts w:hint="default" w:ascii="Times New Roman" w:hAnsi="Times New Roman" w:eastAsia="宋体" w:cs="Times New Roman"/>
                      <w:i w:val="0"/>
                      <w:iCs w:val="0"/>
                      <w:color w:val="000000"/>
                      <w:sz w:val="21"/>
                      <w:szCs w:val="21"/>
                      <w:u w:val="none"/>
                    </w:rPr>
                  </w:pPr>
                </w:p>
              </w:tc>
            </w:tr>
            <w:tr w14:paraId="485F9A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957" w:type="dxa"/>
                  <w:vMerge w:val="restart"/>
                  <w:tcBorders>
                    <w:tl2br w:val="nil"/>
                    <w:tr2bl w:val="nil"/>
                  </w:tcBorders>
                  <w:shd w:val="clear" w:color="auto" w:fill="auto"/>
                  <w:vAlign w:val="center"/>
                </w:tcPr>
                <w:p w14:paraId="46F182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第一次水洗（</w:t>
                  </w:r>
                  <w:r>
                    <w:rPr>
                      <w:rFonts w:hint="eastAsia" w:ascii="Times New Roman" w:hAnsi="Times New Roman" w:eastAsia="宋体" w:cs="Times New Roman"/>
                      <w:i w:val="0"/>
                      <w:iCs w:val="0"/>
                      <w:color w:val="000000"/>
                      <w:kern w:val="0"/>
                      <w:sz w:val="21"/>
                      <w:szCs w:val="21"/>
                      <w:u w:val="none"/>
                      <w:lang w:val="en-US" w:eastAsia="zh-CN" w:bidi="ar"/>
                    </w:rPr>
                    <w:t>溢流</w:t>
                  </w:r>
                  <w:r>
                    <w:rPr>
                      <w:rFonts w:hint="default" w:ascii="Times New Roman" w:hAnsi="Times New Roman" w:eastAsia="宋体" w:cs="Times New Roman"/>
                      <w:i w:val="0"/>
                      <w:iCs w:val="0"/>
                      <w:color w:val="000000"/>
                      <w:kern w:val="0"/>
                      <w:sz w:val="21"/>
                      <w:szCs w:val="21"/>
                      <w:u w:val="none"/>
                      <w:lang w:val="en-US" w:eastAsia="zh-CN" w:bidi="ar"/>
                    </w:rPr>
                    <w:t>浸泡）</w:t>
                  </w:r>
                </w:p>
              </w:tc>
              <w:tc>
                <w:tcPr>
                  <w:tcW w:w="797" w:type="dxa"/>
                  <w:tcBorders>
                    <w:tl2br w:val="nil"/>
                    <w:tr2bl w:val="nil"/>
                  </w:tcBorders>
                  <w:shd w:val="clear" w:color="auto" w:fill="auto"/>
                  <w:vAlign w:val="center"/>
                </w:tcPr>
                <w:p w14:paraId="16BB3F2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上6.1</w:t>
                  </w:r>
                </w:p>
              </w:tc>
              <w:tc>
                <w:tcPr>
                  <w:tcW w:w="546" w:type="dxa"/>
                  <w:vMerge w:val="restart"/>
                  <w:tcBorders>
                    <w:tl2br w:val="nil"/>
                    <w:tr2bl w:val="nil"/>
                  </w:tcBorders>
                  <w:shd w:val="clear" w:color="auto" w:fill="auto"/>
                  <w:vAlign w:val="center"/>
                </w:tcPr>
                <w:p w14:paraId="76E72F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528" w:type="dxa"/>
                  <w:vMerge w:val="restart"/>
                  <w:tcBorders>
                    <w:tl2br w:val="nil"/>
                    <w:tr2bl w:val="nil"/>
                  </w:tcBorders>
                  <w:shd w:val="clear" w:color="auto" w:fill="auto"/>
                  <w:vAlign w:val="center"/>
                </w:tcPr>
                <w:p w14:paraId="7AD2804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96" w:type="dxa"/>
                  <w:vMerge w:val="restart"/>
                  <w:tcBorders>
                    <w:tl2br w:val="nil"/>
                    <w:tr2bl w:val="nil"/>
                  </w:tcBorders>
                  <w:shd w:val="clear" w:color="auto" w:fill="auto"/>
                  <w:vAlign w:val="center"/>
                </w:tcPr>
                <w:p w14:paraId="75E9AA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3.504</w:t>
                  </w:r>
                </w:p>
              </w:tc>
              <w:tc>
                <w:tcPr>
                  <w:tcW w:w="960" w:type="dxa"/>
                  <w:vMerge w:val="restart"/>
                  <w:tcBorders>
                    <w:tl2br w:val="nil"/>
                    <w:tr2bl w:val="nil"/>
                  </w:tcBorders>
                  <w:shd w:val="clear" w:color="auto" w:fill="auto"/>
                  <w:vAlign w:val="center"/>
                </w:tcPr>
                <w:p w14:paraId="22AF31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20" w:type="dxa"/>
                  <w:vMerge w:val="restart"/>
                  <w:tcBorders>
                    <w:tl2br w:val="nil"/>
                    <w:tr2bl w:val="nil"/>
                  </w:tcBorders>
                  <w:shd w:val="clear" w:color="auto" w:fill="auto"/>
                  <w:vAlign w:val="center"/>
                </w:tcPr>
                <w:p w14:paraId="7D58796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05" w:type="dxa"/>
                  <w:vMerge w:val="restart"/>
                  <w:tcBorders>
                    <w:tl2br w:val="nil"/>
                    <w:tr2bl w:val="nil"/>
                  </w:tcBorders>
                  <w:shd w:val="clear" w:color="auto" w:fill="auto"/>
                  <w:vAlign w:val="center"/>
                </w:tcPr>
                <w:p w14:paraId="6D1E76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天</w:t>
                  </w:r>
                </w:p>
              </w:tc>
              <w:tc>
                <w:tcPr>
                  <w:tcW w:w="765" w:type="dxa"/>
                  <w:vMerge w:val="restart"/>
                  <w:tcBorders>
                    <w:tl2br w:val="nil"/>
                    <w:tr2bl w:val="nil"/>
                  </w:tcBorders>
                  <w:shd w:val="clear" w:color="auto" w:fill="auto"/>
                  <w:vAlign w:val="center"/>
                </w:tcPr>
                <w:p w14:paraId="6F5520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35" w:type="dxa"/>
                  <w:vMerge w:val="restart"/>
                  <w:tcBorders>
                    <w:tl2br w:val="nil"/>
                    <w:tr2bl w:val="nil"/>
                  </w:tcBorders>
                  <w:shd w:val="clear" w:color="auto" w:fill="auto"/>
                  <w:vAlign w:val="center"/>
                </w:tcPr>
                <w:p w14:paraId="0AC91A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95" w:type="dxa"/>
                  <w:vMerge w:val="restart"/>
                  <w:tcBorders>
                    <w:tl2br w:val="nil"/>
                    <w:tr2bl w:val="nil"/>
                  </w:tcBorders>
                  <w:shd w:val="clear" w:color="auto" w:fill="auto"/>
                  <w:vAlign w:val="center"/>
                </w:tcPr>
                <w:p w14:paraId="7F497B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dxa"/>
                  <w:vMerge w:val="restart"/>
                  <w:tcBorders>
                    <w:tl2br w:val="nil"/>
                    <w:tr2bl w:val="nil"/>
                  </w:tcBorders>
                  <w:shd w:val="clear" w:color="auto" w:fill="auto"/>
                  <w:vAlign w:val="center"/>
                </w:tcPr>
                <w:p w14:paraId="0B85B61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室温</w:t>
                  </w:r>
                </w:p>
              </w:tc>
              <w:tc>
                <w:tcPr>
                  <w:tcW w:w="690" w:type="dxa"/>
                  <w:vMerge w:val="restart"/>
                  <w:tcBorders>
                    <w:tl2br w:val="nil"/>
                    <w:tr2bl w:val="nil"/>
                  </w:tcBorders>
                  <w:shd w:val="clear" w:color="auto" w:fill="auto"/>
                  <w:vAlign w:val="center"/>
                </w:tcPr>
                <w:p w14:paraId="718BE93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分钟</w:t>
                  </w:r>
                </w:p>
              </w:tc>
              <w:tc>
                <w:tcPr>
                  <w:tcW w:w="810" w:type="dxa"/>
                  <w:vMerge w:val="restart"/>
                  <w:tcBorders>
                    <w:tl2br w:val="nil"/>
                    <w:tr2bl w:val="nil"/>
                  </w:tcBorders>
                  <w:shd w:val="clear" w:color="auto" w:fill="auto"/>
                  <w:vAlign w:val="center"/>
                </w:tcPr>
                <w:p w14:paraId="49D5BF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750" w:type="dxa"/>
                  <w:vMerge w:val="restart"/>
                  <w:tcBorders>
                    <w:tl2br w:val="nil"/>
                    <w:tr2bl w:val="nil"/>
                  </w:tcBorders>
                  <w:shd w:val="clear" w:color="auto" w:fill="auto"/>
                  <w:vAlign w:val="center"/>
                </w:tcPr>
                <w:p w14:paraId="35F2CA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370</w:t>
                  </w:r>
                </w:p>
              </w:tc>
              <w:tc>
                <w:tcPr>
                  <w:tcW w:w="750" w:type="dxa"/>
                  <w:vMerge w:val="restart"/>
                  <w:tcBorders>
                    <w:tl2br w:val="nil"/>
                    <w:tr2bl w:val="nil"/>
                  </w:tcBorders>
                  <w:shd w:val="clear" w:color="auto" w:fill="auto"/>
                  <w:vAlign w:val="center"/>
                </w:tcPr>
                <w:p w14:paraId="2740E05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1062" w:type="dxa"/>
                  <w:vMerge w:val="restart"/>
                  <w:tcBorders>
                    <w:tl2br w:val="nil"/>
                    <w:tr2bl w:val="nil"/>
                  </w:tcBorders>
                  <w:shd w:val="clear" w:color="auto" w:fill="auto"/>
                  <w:vAlign w:val="center"/>
                </w:tcPr>
                <w:p w14:paraId="564BAD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厂区污水处理站</w:t>
                  </w:r>
                </w:p>
              </w:tc>
            </w:tr>
            <w:tr w14:paraId="5906AC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0" w:hRule="atLeast"/>
                <w:jc w:val="center"/>
              </w:trPr>
              <w:tc>
                <w:tcPr>
                  <w:tcW w:w="957" w:type="dxa"/>
                  <w:vMerge w:val="continue"/>
                  <w:tcBorders>
                    <w:tl2br w:val="nil"/>
                    <w:tr2bl w:val="nil"/>
                  </w:tcBorders>
                  <w:shd w:val="clear" w:color="auto" w:fill="auto"/>
                  <w:vAlign w:val="center"/>
                </w:tcPr>
                <w:p w14:paraId="2652E18A">
                  <w:pPr>
                    <w:jc w:val="center"/>
                    <w:rPr>
                      <w:rFonts w:hint="default" w:ascii="Times New Roman" w:hAnsi="Times New Roman" w:eastAsia="宋体" w:cs="Times New Roman"/>
                      <w:i w:val="0"/>
                      <w:iCs w:val="0"/>
                      <w:color w:val="000000"/>
                      <w:sz w:val="21"/>
                      <w:szCs w:val="21"/>
                      <w:u w:val="none"/>
                    </w:rPr>
                  </w:pPr>
                </w:p>
              </w:tc>
              <w:tc>
                <w:tcPr>
                  <w:tcW w:w="797" w:type="dxa"/>
                  <w:tcBorders>
                    <w:tl2br w:val="nil"/>
                    <w:tr2bl w:val="nil"/>
                  </w:tcBorders>
                  <w:shd w:val="clear" w:color="auto" w:fill="auto"/>
                  <w:vAlign w:val="center"/>
                </w:tcPr>
                <w:p w14:paraId="297AA8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下1.2</w:t>
                  </w:r>
                </w:p>
              </w:tc>
              <w:tc>
                <w:tcPr>
                  <w:tcW w:w="546" w:type="dxa"/>
                  <w:vMerge w:val="continue"/>
                  <w:tcBorders>
                    <w:tl2br w:val="nil"/>
                    <w:tr2bl w:val="nil"/>
                  </w:tcBorders>
                  <w:shd w:val="clear" w:color="auto" w:fill="auto"/>
                  <w:vAlign w:val="center"/>
                </w:tcPr>
                <w:p w14:paraId="3144CF1A">
                  <w:pPr>
                    <w:jc w:val="center"/>
                    <w:rPr>
                      <w:rFonts w:hint="default" w:ascii="Times New Roman" w:hAnsi="Times New Roman" w:eastAsia="宋体" w:cs="Times New Roman"/>
                      <w:i w:val="0"/>
                      <w:iCs w:val="0"/>
                      <w:color w:val="000000"/>
                      <w:sz w:val="21"/>
                      <w:szCs w:val="21"/>
                      <w:u w:val="none"/>
                    </w:rPr>
                  </w:pPr>
                </w:p>
              </w:tc>
              <w:tc>
                <w:tcPr>
                  <w:tcW w:w="528" w:type="dxa"/>
                  <w:vMerge w:val="continue"/>
                  <w:tcBorders>
                    <w:tl2br w:val="nil"/>
                    <w:tr2bl w:val="nil"/>
                  </w:tcBorders>
                  <w:shd w:val="clear" w:color="auto" w:fill="auto"/>
                  <w:vAlign w:val="center"/>
                </w:tcPr>
                <w:p w14:paraId="46196FE6">
                  <w:pPr>
                    <w:jc w:val="center"/>
                    <w:rPr>
                      <w:rFonts w:hint="default" w:ascii="Times New Roman" w:hAnsi="Times New Roman" w:eastAsia="宋体" w:cs="Times New Roman"/>
                      <w:i w:val="0"/>
                      <w:iCs w:val="0"/>
                      <w:color w:val="000000"/>
                      <w:sz w:val="21"/>
                      <w:szCs w:val="21"/>
                      <w:u w:val="none"/>
                    </w:rPr>
                  </w:pPr>
                </w:p>
              </w:tc>
              <w:tc>
                <w:tcPr>
                  <w:tcW w:w="696" w:type="dxa"/>
                  <w:vMerge w:val="continue"/>
                  <w:tcBorders>
                    <w:tl2br w:val="nil"/>
                    <w:tr2bl w:val="nil"/>
                  </w:tcBorders>
                  <w:shd w:val="clear" w:color="auto" w:fill="auto"/>
                  <w:vAlign w:val="center"/>
                </w:tcPr>
                <w:p w14:paraId="0718957B">
                  <w:pPr>
                    <w:jc w:val="center"/>
                    <w:rPr>
                      <w:rFonts w:hint="default" w:ascii="Times New Roman" w:hAnsi="Times New Roman" w:eastAsia="宋体" w:cs="Times New Roman"/>
                      <w:i w:val="0"/>
                      <w:iCs w:val="0"/>
                      <w:color w:val="000000"/>
                      <w:sz w:val="21"/>
                      <w:szCs w:val="21"/>
                      <w:u w:val="none"/>
                    </w:rPr>
                  </w:pPr>
                </w:p>
              </w:tc>
              <w:tc>
                <w:tcPr>
                  <w:tcW w:w="960" w:type="dxa"/>
                  <w:vMerge w:val="continue"/>
                  <w:tcBorders>
                    <w:tl2br w:val="nil"/>
                    <w:tr2bl w:val="nil"/>
                  </w:tcBorders>
                  <w:shd w:val="clear" w:color="auto" w:fill="auto"/>
                  <w:vAlign w:val="center"/>
                </w:tcPr>
                <w:p w14:paraId="125B5B6B">
                  <w:pPr>
                    <w:jc w:val="center"/>
                    <w:rPr>
                      <w:rFonts w:hint="default" w:ascii="Times New Roman" w:hAnsi="Times New Roman" w:eastAsia="宋体" w:cs="Times New Roman"/>
                      <w:i w:val="0"/>
                      <w:iCs w:val="0"/>
                      <w:color w:val="000000"/>
                      <w:sz w:val="21"/>
                      <w:szCs w:val="21"/>
                      <w:u w:val="none"/>
                    </w:rPr>
                  </w:pPr>
                </w:p>
              </w:tc>
              <w:tc>
                <w:tcPr>
                  <w:tcW w:w="720" w:type="dxa"/>
                  <w:vMerge w:val="continue"/>
                  <w:tcBorders>
                    <w:tl2br w:val="nil"/>
                    <w:tr2bl w:val="nil"/>
                  </w:tcBorders>
                  <w:shd w:val="clear" w:color="auto" w:fill="auto"/>
                  <w:vAlign w:val="center"/>
                </w:tcPr>
                <w:p w14:paraId="0E2683C8">
                  <w:pPr>
                    <w:jc w:val="center"/>
                    <w:rPr>
                      <w:rFonts w:hint="default" w:ascii="Times New Roman" w:hAnsi="Times New Roman" w:eastAsia="宋体" w:cs="Times New Roman"/>
                      <w:i w:val="0"/>
                      <w:iCs w:val="0"/>
                      <w:color w:val="000000"/>
                      <w:sz w:val="21"/>
                      <w:szCs w:val="21"/>
                      <w:u w:val="none"/>
                    </w:rPr>
                  </w:pPr>
                </w:p>
              </w:tc>
              <w:tc>
                <w:tcPr>
                  <w:tcW w:w="705" w:type="dxa"/>
                  <w:vMerge w:val="continue"/>
                  <w:tcBorders>
                    <w:tl2br w:val="nil"/>
                    <w:tr2bl w:val="nil"/>
                  </w:tcBorders>
                  <w:shd w:val="clear" w:color="auto" w:fill="auto"/>
                  <w:vAlign w:val="center"/>
                </w:tcPr>
                <w:p w14:paraId="2DA04566">
                  <w:pPr>
                    <w:jc w:val="center"/>
                    <w:rPr>
                      <w:rFonts w:hint="default" w:ascii="Times New Roman" w:hAnsi="Times New Roman" w:eastAsia="宋体" w:cs="Times New Roman"/>
                      <w:i w:val="0"/>
                      <w:iCs w:val="0"/>
                      <w:color w:val="000000"/>
                      <w:sz w:val="21"/>
                      <w:szCs w:val="21"/>
                      <w:u w:val="none"/>
                    </w:rPr>
                  </w:pPr>
                </w:p>
              </w:tc>
              <w:tc>
                <w:tcPr>
                  <w:tcW w:w="765" w:type="dxa"/>
                  <w:vMerge w:val="continue"/>
                  <w:tcBorders>
                    <w:tl2br w:val="nil"/>
                    <w:tr2bl w:val="nil"/>
                  </w:tcBorders>
                  <w:shd w:val="clear" w:color="auto" w:fill="auto"/>
                  <w:vAlign w:val="center"/>
                </w:tcPr>
                <w:p w14:paraId="107534A6">
                  <w:pPr>
                    <w:jc w:val="center"/>
                    <w:rPr>
                      <w:rFonts w:hint="default" w:ascii="Times New Roman" w:hAnsi="Times New Roman" w:eastAsia="宋体" w:cs="Times New Roman"/>
                      <w:i w:val="0"/>
                      <w:iCs w:val="0"/>
                      <w:color w:val="000000"/>
                      <w:sz w:val="21"/>
                      <w:szCs w:val="21"/>
                      <w:u w:val="none"/>
                    </w:rPr>
                  </w:pPr>
                </w:p>
              </w:tc>
              <w:tc>
                <w:tcPr>
                  <w:tcW w:w="735" w:type="dxa"/>
                  <w:vMerge w:val="continue"/>
                  <w:tcBorders>
                    <w:tl2br w:val="nil"/>
                    <w:tr2bl w:val="nil"/>
                  </w:tcBorders>
                  <w:shd w:val="clear" w:color="auto" w:fill="auto"/>
                  <w:vAlign w:val="center"/>
                </w:tcPr>
                <w:p w14:paraId="1953B98E">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l2br w:val="nil"/>
                    <w:tr2bl w:val="nil"/>
                  </w:tcBorders>
                  <w:shd w:val="clear" w:color="auto" w:fill="auto"/>
                  <w:vAlign w:val="center"/>
                </w:tcPr>
                <w:p w14:paraId="7004BAE0">
                  <w:pPr>
                    <w:jc w:val="center"/>
                    <w:rPr>
                      <w:rFonts w:hint="default" w:ascii="Times New Roman" w:hAnsi="Times New Roman" w:eastAsia="宋体" w:cs="Times New Roman"/>
                      <w:i w:val="0"/>
                      <w:iCs w:val="0"/>
                      <w:color w:val="000000"/>
                      <w:sz w:val="21"/>
                      <w:szCs w:val="21"/>
                      <w:u w:val="none"/>
                    </w:rPr>
                  </w:pPr>
                </w:p>
              </w:tc>
              <w:tc>
                <w:tcPr>
                  <w:tcW w:w="585" w:type="dxa"/>
                  <w:vMerge w:val="continue"/>
                  <w:tcBorders>
                    <w:tl2br w:val="nil"/>
                    <w:tr2bl w:val="nil"/>
                  </w:tcBorders>
                  <w:shd w:val="clear" w:color="auto" w:fill="auto"/>
                  <w:vAlign w:val="center"/>
                </w:tcPr>
                <w:p w14:paraId="5DCE04E3">
                  <w:pPr>
                    <w:jc w:val="center"/>
                    <w:rPr>
                      <w:rFonts w:hint="default" w:ascii="Times New Roman" w:hAnsi="Times New Roman" w:eastAsia="宋体" w:cs="Times New Roman"/>
                      <w:i w:val="0"/>
                      <w:iCs w:val="0"/>
                      <w:color w:val="000000"/>
                      <w:sz w:val="21"/>
                      <w:szCs w:val="21"/>
                      <w:u w:val="none"/>
                    </w:rPr>
                  </w:pPr>
                </w:p>
              </w:tc>
              <w:tc>
                <w:tcPr>
                  <w:tcW w:w="690" w:type="dxa"/>
                  <w:vMerge w:val="continue"/>
                  <w:tcBorders>
                    <w:tl2br w:val="nil"/>
                    <w:tr2bl w:val="nil"/>
                  </w:tcBorders>
                  <w:shd w:val="clear" w:color="auto" w:fill="auto"/>
                  <w:vAlign w:val="center"/>
                </w:tcPr>
                <w:p w14:paraId="05A90601">
                  <w:pPr>
                    <w:jc w:val="center"/>
                    <w:rPr>
                      <w:rFonts w:hint="default" w:ascii="Times New Roman" w:hAnsi="Times New Roman" w:eastAsia="宋体" w:cs="Times New Roman"/>
                      <w:i w:val="0"/>
                      <w:iCs w:val="0"/>
                      <w:color w:val="000000"/>
                      <w:sz w:val="21"/>
                      <w:szCs w:val="21"/>
                      <w:u w:val="none"/>
                    </w:rPr>
                  </w:pPr>
                </w:p>
              </w:tc>
              <w:tc>
                <w:tcPr>
                  <w:tcW w:w="810" w:type="dxa"/>
                  <w:vMerge w:val="continue"/>
                  <w:tcBorders>
                    <w:tl2br w:val="nil"/>
                    <w:tr2bl w:val="nil"/>
                  </w:tcBorders>
                  <w:shd w:val="clear" w:color="auto" w:fill="auto"/>
                  <w:vAlign w:val="center"/>
                </w:tcPr>
                <w:p w14:paraId="55A3CF37">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118CA63E">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239BF668">
                  <w:pPr>
                    <w:jc w:val="center"/>
                    <w:rPr>
                      <w:rFonts w:hint="default" w:ascii="Times New Roman" w:hAnsi="Times New Roman" w:eastAsia="宋体" w:cs="Times New Roman"/>
                      <w:i w:val="0"/>
                      <w:iCs w:val="0"/>
                      <w:color w:val="000000"/>
                      <w:sz w:val="21"/>
                      <w:szCs w:val="21"/>
                      <w:u w:val="none"/>
                    </w:rPr>
                  </w:pPr>
                </w:p>
              </w:tc>
              <w:tc>
                <w:tcPr>
                  <w:tcW w:w="1062" w:type="dxa"/>
                  <w:vMerge w:val="continue"/>
                  <w:tcBorders>
                    <w:tl2br w:val="nil"/>
                    <w:tr2bl w:val="nil"/>
                  </w:tcBorders>
                  <w:shd w:val="clear" w:color="auto" w:fill="auto"/>
                  <w:vAlign w:val="center"/>
                </w:tcPr>
                <w:p w14:paraId="48DC4CAB">
                  <w:pPr>
                    <w:jc w:val="center"/>
                    <w:rPr>
                      <w:rFonts w:hint="default" w:ascii="Times New Roman" w:hAnsi="Times New Roman" w:eastAsia="宋体" w:cs="Times New Roman"/>
                      <w:i w:val="0"/>
                      <w:iCs w:val="0"/>
                      <w:color w:val="000000"/>
                      <w:sz w:val="21"/>
                      <w:szCs w:val="21"/>
                      <w:u w:val="none"/>
                    </w:rPr>
                  </w:pPr>
                </w:p>
              </w:tc>
            </w:tr>
            <w:tr w14:paraId="7575A3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10" w:hRule="atLeast"/>
                <w:jc w:val="center"/>
              </w:trPr>
              <w:tc>
                <w:tcPr>
                  <w:tcW w:w="957" w:type="dxa"/>
                  <w:tcBorders>
                    <w:tl2br w:val="nil"/>
                    <w:tr2bl w:val="nil"/>
                  </w:tcBorders>
                  <w:shd w:val="clear" w:color="auto" w:fill="auto"/>
                  <w:vAlign w:val="center"/>
                </w:tcPr>
                <w:p w14:paraId="2627621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第二次水洗（</w:t>
                  </w:r>
                  <w:r>
                    <w:rPr>
                      <w:rFonts w:hint="eastAsia" w:ascii="Times New Roman" w:hAnsi="Times New Roman" w:eastAsia="宋体" w:cs="Times New Roman"/>
                      <w:i w:val="0"/>
                      <w:iCs w:val="0"/>
                      <w:color w:val="000000"/>
                      <w:kern w:val="0"/>
                      <w:sz w:val="21"/>
                      <w:szCs w:val="21"/>
                      <w:u w:val="none"/>
                      <w:lang w:val="en-US" w:eastAsia="zh-CN" w:bidi="ar"/>
                    </w:rPr>
                    <w:t>溢流</w:t>
                  </w:r>
                  <w:r>
                    <w:rPr>
                      <w:rFonts w:hint="default" w:ascii="Times New Roman" w:hAnsi="Times New Roman" w:eastAsia="宋体" w:cs="Times New Roman"/>
                      <w:i w:val="0"/>
                      <w:iCs w:val="0"/>
                      <w:color w:val="000000"/>
                      <w:kern w:val="0"/>
                      <w:sz w:val="21"/>
                      <w:szCs w:val="21"/>
                      <w:u w:val="none"/>
                      <w:lang w:val="en-US" w:eastAsia="zh-CN" w:bidi="ar"/>
                    </w:rPr>
                    <w:t>喷淋）</w:t>
                  </w:r>
                </w:p>
              </w:tc>
              <w:tc>
                <w:tcPr>
                  <w:tcW w:w="797" w:type="dxa"/>
                  <w:tcBorders>
                    <w:tl2br w:val="nil"/>
                    <w:tr2bl w:val="nil"/>
                  </w:tcBorders>
                  <w:shd w:val="clear" w:color="auto" w:fill="auto"/>
                  <w:vAlign w:val="center"/>
                </w:tcPr>
                <w:p w14:paraId="031C42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46" w:type="dxa"/>
                  <w:tcBorders>
                    <w:tl2br w:val="nil"/>
                    <w:tr2bl w:val="nil"/>
                  </w:tcBorders>
                  <w:shd w:val="clear" w:color="auto" w:fill="auto"/>
                  <w:vAlign w:val="center"/>
                </w:tcPr>
                <w:p w14:paraId="6C5B6D0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28" w:type="dxa"/>
                  <w:tcBorders>
                    <w:tl2br w:val="nil"/>
                    <w:tr2bl w:val="nil"/>
                  </w:tcBorders>
                  <w:shd w:val="clear" w:color="auto" w:fill="auto"/>
                  <w:vAlign w:val="center"/>
                </w:tcPr>
                <w:p w14:paraId="6235EDA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696" w:type="dxa"/>
                  <w:tcBorders>
                    <w:tl2br w:val="nil"/>
                    <w:tr2bl w:val="nil"/>
                  </w:tcBorders>
                  <w:shd w:val="clear" w:color="auto" w:fill="auto"/>
                  <w:vAlign w:val="center"/>
                </w:tcPr>
                <w:p w14:paraId="697F48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960" w:type="dxa"/>
                  <w:tcBorders>
                    <w:tl2br w:val="nil"/>
                    <w:tr2bl w:val="nil"/>
                  </w:tcBorders>
                  <w:shd w:val="clear" w:color="auto" w:fill="auto"/>
                  <w:vAlign w:val="center"/>
                </w:tcPr>
                <w:p w14:paraId="355E9F9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720" w:type="dxa"/>
                  <w:tcBorders>
                    <w:tl2br w:val="nil"/>
                    <w:tr2bl w:val="nil"/>
                  </w:tcBorders>
                  <w:shd w:val="clear" w:color="auto" w:fill="auto"/>
                  <w:vAlign w:val="center"/>
                </w:tcPr>
                <w:p w14:paraId="13E7E23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05" w:type="dxa"/>
                  <w:tcBorders>
                    <w:tl2br w:val="nil"/>
                    <w:tr2bl w:val="nil"/>
                  </w:tcBorders>
                  <w:shd w:val="clear" w:color="auto" w:fill="auto"/>
                  <w:vAlign w:val="center"/>
                </w:tcPr>
                <w:p w14:paraId="258088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周</w:t>
                  </w:r>
                </w:p>
              </w:tc>
              <w:tc>
                <w:tcPr>
                  <w:tcW w:w="765" w:type="dxa"/>
                  <w:tcBorders>
                    <w:tl2br w:val="nil"/>
                    <w:tr2bl w:val="nil"/>
                  </w:tcBorders>
                  <w:shd w:val="clear" w:color="auto" w:fill="auto"/>
                  <w:vAlign w:val="center"/>
                </w:tcPr>
                <w:p w14:paraId="025392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735" w:type="dxa"/>
                  <w:tcBorders>
                    <w:tl2br w:val="nil"/>
                    <w:tr2bl w:val="nil"/>
                  </w:tcBorders>
                  <w:shd w:val="clear" w:color="auto" w:fill="auto"/>
                  <w:vAlign w:val="center"/>
                </w:tcPr>
                <w:p w14:paraId="6C7CC1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795" w:type="dxa"/>
                  <w:tcBorders>
                    <w:tl2br w:val="nil"/>
                    <w:tr2bl w:val="nil"/>
                  </w:tcBorders>
                  <w:shd w:val="clear" w:color="auto" w:fill="auto"/>
                  <w:vAlign w:val="center"/>
                </w:tcPr>
                <w:p w14:paraId="37D2881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dxa"/>
                  <w:tcBorders>
                    <w:tl2br w:val="nil"/>
                    <w:tr2bl w:val="nil"/>
                  </w:tcBorders>
                  <w:shd w:val="clear" w:color="auto" w:fill="auto"/>
                  <w:vAlign w:val="center"/>
                </w:tcPr>
                <w:p w14:paraId="552622E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室温</w:t>
                  </w:r>
                </w:p>
              </w:tc>
              <w:tc>
                <w:tcPr>
                  <w:tcW w:w="690" w:type="dxa"/>
                  <w:tcBorders>
                    <w:tl2br w:val="nil"/>
                    <w:tr2bl w:val="nil"/>
                  </w:tcBorders>
                  <w:shd w:val="clear" w:color="auto" w:fill="auto"/>
                  <w:vAlign w:val="center"/>
                </w:tcPr>
                <w:p w14:paraId="5B64952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分钟</w:t>
                  </w:r>
                </w:p>
              </w:tc>
              <w:tc>
                <w:tcPr>
                  <w:tcW w:w="810" w:type="dxa"/>
                  <w:tcBorders>
                    <w:tl2br w:val="nil"/>
                    <w:tr2bl w:val="nil"/>
                  </w:tcBorders>
                  <w:shd w:val="clear" w:color="auto" w:fill="auto"/>
                  <w:vAlign w:val="center"/>
                </w:tcPr>
                <w:p w14:paraId="171BF0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750" w:type="dxa"/>
                  <w:tcBorders>
                    <w:tl2br w:val="nil"/>
                    <w:tr2bl w:val="nil"/>
                  </w:tcBorders>
                  <w:shd w:val="clear" w:color="auto" w:fill="auto"/>
                  <w:vAlign w:val="center"/>
                </w:tcPr>
                <w:p w14:paraId="693A12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750" w:type="dxa"/>
                  <w:tcBorders>
                    <w:tl2br w:val="nil"/>
                    <w:tr2bl w:val="nil"/>
                  </w:tcBorders>
                  <w:shd w:val="clear" w:color="auto" w:fill="auto"/>
                  <w:vAlign w:val="center"/>
                </w:tcPr>
                <w:p w14:paraId="713A9CB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1062" w:type="dxa"/>
                  <w:tcBorders>
                    <w:tl2br w:val="nil"/>
                    <w:tr2bl w:val="nil"/>
                  </w:tcBorders>
                  <w:shd w:val="clear" w:color="auto" w:fill="auto"/>
                  <w:vAlign w:val="center"/>
                </w:tcPr>
                <w:p w14:paraId="00DAB8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厂区污水处理站</w:t>
                  </w:r>
                </w:p>
              </w:tc>
            </w:tr>
            <w:tr w14:paraId="25C1B8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0" w:hRule="atLeast"/>
                <w:jc w:val="center"/>
              </w:trPr>
              <w:tc>
                <w:tcPr>
                  <w:tcW w:w="957" w:type="dxa"/>
                  <w:tcBorders>
                    <w:tl2br w:val="nil"/>
                    <w:tr2bl w:val="nil"/>
                  </w:tcBorders>
                  <w:shd w:val="clear" w:color="auto" w:fill="auto"/>
                  <w:vAlign w:val="center"/>
                </w:tcPr>
                <w:p w14:paraId="19D43B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表调</w:t>
                  </w:r>
                  <w:r>
                    <w:rPr>
                      <w:rFonts w:hint="eastAsia" w:cs="Times New Roman"/>
                      <w:i w:val="0"/>
                      <w:iCs w:val="0"/>
                      <w:color w:val="000000"/>
                      <w:kern w:val="0"/>
                      <w:sz w:val="21"/>
                      <w:szCs w:val="21"/>
                      <w:u w:val="none"/>
                      <w:lang w:val="en-US" w:eastAsia="zh-CN" w:bidi="ar"/>
                    </w:rPr>
                    <w:t>（喷淋）</w:t>
                  </w:r>
                </w:p>
              </w:tc>
              <w:tc>
                <w:tcPr>
                  <w:tcW w:w="797" w:type="dxa"/>
                  <w:tcBorders>
                    <w:tl2br w:val="nil"/>
                    <w:tr2bl w:val="nil"/>
                  </w:tcBorders>
                  <w:shd w:val="clear" w:color="auto" w:fill="auto"/>
                  <w:vAlign w:val="center"/>
                </w:tcPr>
                <w:p w14:paraId="23E7722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46" w:type="dxa"/>
                  <w:tcBorders>
                    <w:tl2br w:val="nil"/>
                    <w:tr2bl w:val="nil"/>
                  </w:tcBorders>
                  <w:shd w:val="clear" w:color="auto" w:fill="auto"/>
                  <w:vAlign w:val="center"/>
                </w:tcPr>
                <w:p w14:paraId="0CB930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28" w:type="dxa"/>
                  <w:tcBorders>
                    <w:tl2br w:val="nil"/>
                    <w:tr2bl w:val="nil"/>
                  </w:tcBorders>
                  <w:shd w:val="clear" w:color="auto" w:fill="auto"/>
                  <w:vAlign w:val="center"/>
                </w:tcPr>
                <w:p w14:paraId="1ADBE77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696" w:type="dxa"/>
                  <w:tcBorders>
                    <w:tl2br w:val="nil"/>
                    <w:tr2bl w:val="nil"/>
                  </w:tcBorders>
                  <w:shd w:val="clear" w:color="auto" w:fill="auto"/>
                  <w:vAlign w:val="center"/>
                </w:tcPr>
                <w:p w14:paraId="4A048E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960" w:type="dxa"/>
                  <w:tcBorders>
                    <w:tl2br w:val="nil"/>
                    <w:tr2bl w:val="nil"/>
                  </w:tcBorders>
                  <w:shd w:val="clear" w:color="auto" w:fill="auto"/>
                  <w:vAlign w:val="center"/>
                </w:tcPr>
                <w:p w14:paraId="0B7D9C1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20" w:type="dxa"/>
                  <w:tcBorders>
                    <w:tl2br w:val="nil"/>
                    <w:tr2bl w:val="nil"/>
                  </w:tcBorders>
                  <w:shd w:val="clear" w:color="auto" w:fill="auto"/>
                  <w:vAlign w:val="center"/>
                </w:tcPr>
                <w:p w14:paraId="350E8BA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05" w:type="dxa"/>
                  <w:tcBorders>
                    <w:tl2br w:val="nil"/>
                    <w:tr2bl w:val="nil"/>
                  </w:tcBorders>
                  <w:shd w:val="clear" w:color="auto" w:fill="auto"/>
                  <w:vAlign w:val="center"/>
                </w:tcPr>
                <w:p w14:paraId="6BE10D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不更换</w:t>
                  </w:r>
                </w:p>
              </w:tc>
              <w:tc>
                <w:tcPr>
                  <w:tcW w:w="765" w:type="dxa"/>
                  <w:tcBorders>
                    <w:tl2br w:val="nil"/>
                    <w:tr2bl w:val="nil"/>
                  </w:tcBorders>
                  <w:shd w:val="clear" w:color="auto" w:fill="auto"/>
                  <w:vAlign w:val="center"/>
                </w:tcPr>
                <w:p w14:paraId="54611B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735" w:type="dxa"/>
                  <w:tcBorders>
                    <w:tl2br w:val="nil"/>
                    <w:tr2bl w:val="nil"/>
                  </w:tcBorders>
                  <w:shd w:val="clear" w:color="auto" w:fill="auto"/>
                  <w:vAlign w:val="center"/>
                </w:tcPr>
                <w:p w14:paraId="2C5808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95" w:type="dxa"/>
                  <w:tcBorders>
                    <w:tl2br w:val="nil"/>
                    <w:tr2bl w:val="nil"/>
                  </w:tcBorders>
                  <w:shd w:val="clear" w:color="auto" w:fill="auto"/>
                  <w:vAlign w:val="center"/>
                </w:tcPr>
                <w:p w14:paraId="7476C7F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585" w:type="dxa"/>
                  <w:tcBorders>
                    <w:tl2br w:val="nil"/>
                    <w:tr2bl w:val="nil"/>
                  </w:tcBorders>
                  <w:shd w:val="clear" w:color="auto" w:fill="auto"/>
                  <w:vAlign w:val="center"/>
                </w:tcPr>
                <w:p w14:paraId="0C2855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室温</w:t>
                  </w:r>
                </w:p>
              </w:tc>
              <w:tc>
                <w:tcPr>
                  <w:tcW w:w="690" w:type="dxa"/>
                  <w:tcBorders>
                    <w:tl2br w:val="nil"/>
                    <w:tr2bl w:val="nil"/>
                  </w:tcBorders>
                  <w:shd w:val="clear" w:color="auto" w:fill="auto"/>
                  <w:vAlign w:val="center"/>
                </w:tcPr>
                <w:p w14:paraId="079742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分钟</w:t>
                  </w:r>
                </w:p>
              </w:tc>
              <w:tc>
                <w:tcPr>
                  <w:tcW w:w="810" w:type="dxa"/>
                  <w:tcBorders>
                    <w:tl2br w:val="nil"/>
                    <w:tr2bl w:val="nil"/>
                  </w:tcBorders>
                  <w:shd w:val="clear" w:color="auto" w:fill="auto"/>
                  <w:vAlign w:val="center"/>
                </w:tcPr>
                <w:p w14:paraId="37B9D5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50" w:type="dxa"/>
                  <w:tcBorders>
                    <w:tl2br w:val="nil"/>
                    <w:tr2bl w:val="nil"/>
                  </w:tcBorders>
                  <w:shd w:val="clear" w:color="auto" w:fill="auto"/>
                  <w:vAlign w:val="center"/>
                </w:tcPr>
                <w:p w14:paraId="41CDD3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750" w:type="dxa"/>
                  <w:tcBorders>
                    <w:tl2br w:val="nil"/>
                    <w:tr2bl w:val="nil"/>
                  </w:tcBorders>
                  <w:shd w:val="clear" w:color="auto" w:fill="auto"/>
                  <w:vAlign w:val="center"/>
                </w:tcPr>
                <w:p w14:paraId="39F587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62" w:type="dxa"/>
                  <w:tcBorders>
                    <w:tl2br w:val="nil"/>
                    <w:tr2bl w:val="nil"/>
                  </w:tcBorders>
                  <w:shd w:val="clear" w:color="auto" w:fill="auto"/>
                  <w:vAlign w:val="center"/>
                </w:tcPr>
                <w:p w14:paraId="0AF656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r>
            <w:tr w14:paraId="7C160A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30" w:hRule="atLeast"/>
                <w:jc w:val="center"/>
              </w:trPr>
              <w:tc>
                <w:tcPr>
                  <w:tcW w:w="957" w:type="dxa"/>
                  <w:vMerge w:val="restart"/>
                  <w:tcBorders>
                    <w:tl2br w:val="nil"/>
                    <w:tr2bl w:val="nil"/>
                  </w:tcBorders>
                  <w:shd w:val="clear" w:color="auto" w:fill="auto"/>
                  <w:vAlign w:val="center"/>
                </w:tcPr>
                <w:p w14:paraId="0404AB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皮膜</w:t>
                  </w:r>
                  <w:r>
                    <w:rPr>
                      <w:rFonts w:hint="eastAsia" w:cs="Times New Roman"/>
                      <w:i w:val="0"/>
                      <w:iCs w:val="0"/>
                      <w:color w:val="000000"/>
                      <w:kern w:val="0"/>
                      <w:sz w:val="21"/>
                      <w:szCs w:val="21"/>
                      <w:u w:val="none"/>
                      <w:lang w:val="en-US" w:eastAsia="zh-CN" w:bidi="ar"/>
                    </w:rPr>
                    <w:t>（浸泡）</w:t>
                  </w:r>
                </w:p>
              </w:tc>
              <w:tc>
                <w:tcPr>
                  <w:tcW w:w="797" w:type="dxa"/>
                  <w:tcBorders>
                    <w:tl2br w:val="nil"/>
                    <w:tr2bl w:val="nil"/>
                  </w:tcBorders>
                  <w:shd w:val="clear" w:color="auto" w:fill="auto"/>
                  <w:vAlign w:val="center"/>
                </w:tcPr>
                <w:p w14:paraId="17280D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上11.3</w:t>
                  </w:r>
                </w:p>
              </w:tc>
              <w:tc>
                <w:tcPr>
                  <w:tcW w:w="546" w:type="dxa"/>
                  <w:vMerge w:val="restart"/>
                  <w:tcBorders>
                    <w:tl2br w:val="nil"/>
                    <w:tr2bl w:val="nil"/>
                  </w:tcBorders>
                  <w:shd w:val="clear" w:color="auto" w:fill="auto"/>
                  <w:vAlign w:val="center"/>
                </w:tcPr>
                <w:p w14:paraId="6AE2E4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528" w:type="dxa"/>
                  <w:vMerge w:val="restart"/>
                  <w:tcBorders>
                    <w:tl2br w:val="nil"/>
                    <w:tr2bl w:val="nil"/>
                  </w:tcBorders>
                  <w:shd w:val="clear" w:color="auto" w:fill="auto"/>
                  <w:vAlign w:val="center"/>
                </w:tcPr>
                <w:p w14:paraId="487EFB0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96" w:type="dxa"/>
                  <w:vMerge w:val="restart"/>
                  <w:tcBorders>
                    <w:tl2br w:val="nil"/>
                    <w:tr2bl w:val="nil"/>
                  </w:tcBorders>
                  <w:shd w:val="clear" w:color="auto" w:fill="auto"/>
                  <w:vAlign w:val="center"/>
                </w:tcPr>
                <w:p w14:paraId="2300C0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8.64</w:t>
                  </w:r>
                </w:p>
              </w:tc>
              <w:tc>
                <w:tcPr>
                  <w:tcW w:w="960" w:type="dxa"/>
                  <w:vMerge w:val="restart"/>
                  <w:tcBorders>
                    <w:tl2br w:val="nil"/>
                    <w:tr2bl w:val="nil"/>
                  </w:tcBorders>
                  <w:shd w:val="clear" w:color="auto" w:fill="auto"/>
                  <w:vAlign w:val="center"/>
                </w:tcPr>
                <w:p w14:paraId="4227C79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720" w:type="dxa"/>
                  <w:vMerge w:val="restart"/>
                  <w:tcBorders>
                    <w:tl2br w:val="nil"/>
                    <w:tr2bl w:val="nil"/>
                  </w:tcBorders>
                  <w:shd w:val="clear" w:color="auto" w:fill="auto"/>
                  <w:vAlign w:val="center"/>
                </w:tcPr>
                <w:p w14:paraId="60A032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05" w:type="dxa"/>
                  <w:vMerge w:val="restart"/>
                  <w:tcBorders>
                    <w:tl2br w:val="nil"/>
                    <w:tr2bl w:val="nil"/>
                  </w:tcBorders>
                  <w:shd w:val="clear" w:color="auto" w:fill="auto"/>
                  <w:vAlign w:val="center"/>
                </w:tcPr>
                <w:p w14:paraId="1E85CD1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不更换</w:t>
                  </w:r>
                </w:p>
              </w:tc>
              <w:tc>
                <w:tcPr>
                  <w:tcW w:w="765" w:type="dxa"/>
                  <w:vMerge w:val="restart"/>
                  <w:tcBorders>
                    <w:tl2br w:val="nil"/>
                    <w:tr2bl w:val="nil"/>
                  </w:tcBorders>
                  <w:shd w:val="clear" w:color="auto" w:fill="auto"/>
                  <w:vAlign w:val="center"/>
                </w:tcPr>
                <w:p w14:paraId="28508417">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735" w:type="dxa"/>
                  <w:vMerge w:val="restart"/>
                  <w:tcBorders>
                    <w:tl2br w:val="nil"/>
                    <w:tr2bl w:val="nil"/>
                  </w:tcBorders>
                  <w:shd w:val="clear" w:color="auto" w:fill="auto"/>
                  <w:vAlign w:val="center"/>
                </w:tcPr>
                <w:p w14:paraId="089E186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795" w:type="dxa"/>
                  <w:vMerge w:val="restart"/>
                  <w:tcBorders>
                    <w:tl2br w:val="nil"/>
                    <w:tr2bl w:val="nil"/>
                  </w:tcBorders>
                  <w:shd w:val="clear" w:color="auto" w:fill="auto"/>
                  <w:vAlign w:val="center"/>
                </w:tcPr>
                <w:p w14:paraId="153E037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85" w:type="dxa"/>
                  <w:vMerge w:val="restart"/>
                  <w:tcBorders>
                    <w:tl2br w:val="nil"/>
                    <w:tr2bl w:val="nil"/>
                  </w:tcBorders>
                  <w:shd w:val="clear" w:color="auto" w:fill="auto"/>
                  <w:vAlign w:val="center"/>
                </w:tcPr>
                <w:p w14:paraId="0B0C09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90" w:type="dxa"/>
                  <w:vMerge w:val="restart"/>
                  <w:tcBorders>
                    <w:tl2br w:val="nil"/>
                    <w:tr2bl w:val="nil"/>
                  </w:tcBorders>
                  <w:shd w:val="clear" w:color="auto" w:fill="auto"/>
                  <w:vAlign w:val="center"/>
                </w:tcPr>
                <w:p w14:paraId="2D642CF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分钟</w:t>
                  </w:r>
                </w:p>
              </w:tc>
              <w:tc>
                <w:tcPr>
                  <w:tcW w:w="810" w:type="dxa"/>
                  <w:vMerge w:val="restart"/>
                  <w:tcBorders>
                    <w:tl2br w:val="nil"/>
                    <w:tr2bl w:val="nil"/>
                  </w:tcBorders>
                  <w:shd w:val="clear" w:color="auto" w:fill="auto"/>
                  <w:vAlign w:val="center"/>
                </w:tcPr>
                <w:p w14:paraId="58EDFB0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750" w:type="dxa"/>
                  <w:vMerge w:val="restart"/>
                  <w:tcBorders>
                    <w:tl2br w:val="nil"/>
                    <w:tr2bl w:val="nil"/>
                  </w:tcBorders>
                  <w:shd w:val="clear" w:color="auto" w:fill="auto"/>
                  <w:vAlign w:val="center"/>
                </w:tcPr>
                <w:p w14:paraId="1604AF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750" w:type="dxa"/>
                  <w:vMerge w:val="restart"/>
                  <w:tcBorders>
                    <w:tl2br w:val="nil"/>
                    <w:tr2bl w:val="nil"/>
                  </w:tcBorders>
                  <w:shd w:val="clear" w:color="auto" w:fill="auto"/>
                  <w:vAlign w:val="center"/>
                </w:tcPr>
                <w:p w14:paraId="6811CD1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62" w:type="dxa"/>
                  <w:vMerge w:val="restart"/>
                  <w:tcBorders>
                    <w:tl2br w:val="nil"/>
                    <w:tr2bl w:val="nil"/>
                  </w:tcBorders>
                  <w:shd w:val="clear" w:color="auto" w:fill="auto"/>
                  <w:vAlign w:val="center"/>
                </w:tcPr>
                <w:p w14:paraId="0C1D9D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0BFCA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0" w:hRule="atLeast"/>
                <w:jc w:val="center"/>
              </w:trPr>
              <w:tc>
                <w:tcPr>
                  <w:tcW w:w="957" w:type="dxa"/>
                  <w:vMerge w:val="continue"/>
                  <w:tcBorders>
                    <w:tl2br w:val="nil"/>
                    <w:tr2bl w:val="nil"/>
                  </w:tcBorders>
                  <w:shd w:val="clear" w:color="auto" w:fill="auto"/>
                  <w:vAlign w:val="center"/>
                </w:tcPr>
                <w:p w14:paraId="108DDBA8">
                  <w:pPr>
                    <w:jc w:val="center"/>
                    <w:rPr>
                      <w:rFonts w:hint="default" w:ascii="Times New Roman" w:hAnsi="Times New Roman" w:eastAsia="宋体" w:cs="Times New Roman"/>
                      <w:i w:val="0"/>
                      <w:iCs w:val="0"/>
                      <w:color w:val="000000"/>
                      <w:sz w:val="21"/>
                      <w:szCs w:val="21"/>
                      <w:u w:val="none"/>
                    </w:rPr>
                  </w:pPr>
                </w:p>
              </w:tc>
              <w:tc>
                <w:tcPr>
                  <w:tcW w:w="797" w:type="dxa"/>
                  <w:tcBorders>
                    <w:tl2br w:val="nil"/>
                    <w:tr2bl w:val="nil"/>
                  </w:tcBorders>
                  <w:shd w:val="clear" w:color="auto" w:fill="auto"/>
                  <w:vAlign w:val="center"/>
                </w:tcPr>
                <w:p w14:paraId="276BCAB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下6.7</w:t>
                  </w:r>
                </w:p>
              </w:tc>
              <w:tc>
                <w:tcPr>
                  <w:tcW w:w="546" w:type="dxa"/>
                  <w:vMerge w:val="continue"/>
                  <w:tcBorders>
                    <w:tl2br w:val="nil"/>
                    <w:tr2bl w:val="nil"/>
                  </w:tcBorders>
                  <w:shd w:val="clear" w:color="auto" w:fill="auto"/>
                  <w:vAlign w:val="center"/>
                </w:tcPr>
                <w:p w14:paraId="738AB76E">
                  <w:pPr>
                    <w:jc w:val="center"/>
                    <w:rPr>
                      <w:rFonts w:hint="default" w:ascii="Times New Roman" w:hAnsi="Times New Roman" w:eastAsia="宋体" w:cs="Times New Roman"/>
                      <w:i w:val="0"/>
                      <w:iCs w:val="0"/>
                      <w:color w:val="000000"/>
                      <w:sz w:val="21"/>
                      <w:szCs w:val="21"/>
                      <w:u w:val="none"/>
                    </w:rPr>
                  </w:pPr>
                </w:p>
              </w:tc>
              <w:tc>
                <w:tcPr>
                  <w:tcW w:w="528" w:type="dxa"/>
                  <w:vMerge w:val="continue"/>
                  <w:tcBorders>
                    <w:tl2br w:val="nil"/>
                    <w:tr2bl w:val="nil"/>
                  </w:tcBorders>
                  <w:shd w:val="clear" w:color="auto" w:fill="auto"/>
                  <w:vAlign w:val="center"/>
                </w:tcPr>
                <w:p w14:paraId="4893253C">
                  <w:pPr>
                    <w:jc w:val="center"/>
                    <w:rPr>
                      <w:rFonts w:hint="default" w:ascii="Times New Roman" w:hAnsi="Times New Roman" w:eastAsia="宋体" w:cs="Times New Roman"/>
                      <w:i w:val="0"/>
                      <w:iCs w:val="0"/>
                      <w:color w:val="000000"/>
                      <w:sz w:val="21"/>
                      <w:szCs w:val="21"/>
                      <w:u w:val="none"/>
                    </w:rPr>
                  </w:pPr>
                </w:p>
              </w:tc>
              <w:tc>
                <w:tcPr>
                  <w:tcW w:w="696" w:type="dxa"/>
                  <w:vMerge w:val="continue"/>
                  <w:tcBorders>
                    <w:tl2br w:val="nil"/>
                    <w:tr2bl w:val="nil"/>
                  </w:tcBorders>
                  <w:shd w:val="clear" w:color="auto" w:fill="auto"/>
                  <w:vAlign w:val="center"/>
                </w:tcPr>
                <w:p w14:paraId="76F5E18D">
                  <w:pPr>
                    <w:jc w:val="center"/>
                    <w:rPr>
                      <w:rFonts w:hint="default" w:ascii="Times New Roman" w:hAnsi="Times New Roman" w:eastAsia="宋体" w:cs="Times New Roman"/>
                      <w:i w:val="0"/>
                      <w:iCs w:val="0"/>
                      <w:color w:val="000000"/>
                      <w:sz w:val="21"/>
                      <w:szCs w:val="21"/>
                      <w:u w:val="none"/>
                    </w:rPr>
                  </w:pPr>
                </w:p>
              </w:tc>
              <w:tc>
                <w:tcPr>
                  <w:tcW w:w="960" w:type="dxa"/>
                  <w:vMerge w:val="continue"/>
                  <w:tcBorders>
                    <w:tl2br w:val="nil"/>
                    <w:tr2bl w:val="nil"/>
                  </w:tcBorders>
                  <w:shd w:val="clear" w:color="auto" w:fill="auto"/>
                  <w:vAlign w:val="center"/>
                </w:tcPr>
                <w:p w14:paraId="73310CE3">
                  <w:pPr>
                    <w:jc w:val="center"/>
                    <w:rPr>
                      <w:rFonts w:hint="default" w:ascii="Times New Roman" w:hAnsi="Times New Roman" w:eastAsia="宋体" w:cs="Times New Roman"/>
                      <w:i w:val="0"/>
                      <w:iCs w:val="0"/>
                      <w:color w:val="000000"/>
                      <w:sz w:val="21"/>
                      <w:szCs w:val="21"/>
                      <w:u w:val="none"/>
                    </w:rPr>
                  </w:pPr>
                </w:p>
              </w:tc>
              <w:tc>
                <w:tcPr>
                  <w:tcW w:w="720" w:type="dxa"/>
                  <w:vMerge w:val="continue"/>
                  <w:tcBorders>
                    <w:tl2br w:val="nil"/>
                    <w:tr2bl w:val="nil"/>
                  </w:tcBorders>
                  <w:shd w:val="clear" w:color="auto" w:fill="auto"/>
                  <w:vAlign w:val="center"/>
                </w:tcPr>
                <w:p w14:paraId="035F2C75">
                  <w:pPr>
                    <w:jc w:val="center"/>
                    <w:rPr>
                      <w:rFonts w:hint="default" w:ascii="Times New Roman" w:hAnsi="Times New Roman" w:eastAsia="宋体" w:cs="Times New Roman"/>
                      <w:i w:val="0"/>
                      <w:iCs w:val="0"/>
                      <w:color w:val="000000"/>
                      <w:sz w:val="21"/>
                      <w:szCs w:val="21"/>
                      <w:u w:val="none"/>
                    </w:rPr>
                  </w:pPr>
                </w:p>
              </w:tc>
              <w:tc>
                <w:tcPr>
                  <w:tcW w:w="705" w:type="dxa"/>
                  <w:vMerge w:val="continue"/>
                  <w:tcBorders>
                    <w:tl2br w:val="nil"/>
                    <w:tr2bl w:val="nil"/>
                  </w:tcBorders>
                  <w:shd w:val="clear" w:color="auto" w:fill="auto"/>
                  <w:vAlign w:val="center"/>
                </w:tcPr>
                <w:p w14:paraId="1A9CDD51">
                  <w:pPr>
                    <w:jc w:val="center"/>
                    <w:rPr>
                      <w:rFonts w:hint="default" w:ascii="Times New Roman" w:hAnsi="Times New Roman" w:eastAsia="宋体" w:cs="Times New Roman"/>
                      <w:i w:val="0"/>
                      <w:iCs w:val="0"/>
                      <w:color w:val="000000"/>
                      <w:sz w:val="21"/>
                      <w:szCs w:val="21"/>
                      <w:u w:val="none"/>
                    </w:rPr>
                  </w:pPr>
                </w:p>
              </w:tc>
              <w:tc>
                <w:tcPr>
                  <w:tcW w:w="765" w:type="dxa"/>
                  <w:vMerge w:val="continue"/>
                  <w:tcBorders>
                    <w:tl2br w:val="nil"/>
                    <w:tr2bl w:val="nil"/>
                  </w:tcBorders>
                  <w:shd w:val="clear" w:color="auto" w:fill="auto"/>
                  <w:vAlign w:val="center"/>
                </w:tcPr>
                <w:p w14:paraId="05DD74EF">
                  <w:pPr>
                    <w:jc w:val="center"/>
                    <w:rPr>
                      <w:rFonts w:hint="default" w:ascii="Times New Roman" w:hAnsi="Times New Roman" w:eastAsia="宋体" w:cs="Times New Roman"/>
                      <w:i w:val="0"/>
                      <w:iCs w:val="0"/>
                      <w:color w:val="000000"/>
                      <w:sz w:val="21"/>
                      <w:szCs w:val="21"/>
                      <w:u w:val="none"/>
                    </w:rPr>
                  </w:pPr>
                </w:p>
              </w:tc>
              <w:tc>
                <w:tcPr>
                  <w:tcW w:w="735" w:type="dxa"/>
                  <w:vMerge w:val="continue"/>
                  <w:tcBorders>
                    <w:tl2br w:val="nil"/>
                    <w:tr2bl w:val="nil"/>
                  </w:tcBorders>
                  <w:shd w:val="clear" w:color="auto" w:fill="auto"/>
                  <w:vAlign w:val="center"/>
                </w:tcPr>
                <w:p w14:paraId="14982213">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l2br w:val="nil"/>
                    <w:tr2bl w:val="nil"/>
                  </w:tcBorders>
                  <w:shd w:val="clear" w:color="auto" w:fill="auto"/>
                  <w:vAlign w:val="center"/>
                </w:tcPr>
                <w:p w14:paraId="09AD0647">
                  <w:pPr>
                    <w:jc w:val="center"/>
                    <w:rPr>
                      <w:rFonts w:hint="default" w:ascii="Times New Roman" w:hAnsi="Times New Roman" w:eastAsia="宋体" w:cs="Times New Roman"/>
                      <w:i w:val="0"/>
                      <w:iCs w:val="0"/>
                      <w:color w:val="000000"/>
                      <w:sz w:val="21"/>
                      <w:szCs w:val="21"/>
                      <w:u w:val="none"/>
                    </w:rPr>
                  </w:pPr>
                </w:p>
              </w:tc>
              <w:tc>
                <w:tcPr>
                  <w:tcW w:w="585" w:type="dxa"/>
                  <w:vMerge w:val="continue"/>
                  <w:tcBorders>
                    <w:tl2br w:val="nil"/>
                    <w:tr2bl w:val="nil"/>
                  </w:tcBorders>
                  <w:shd w:val="clear" w:color="auto" w:fill="auto"/>
                  <w:vAlign w:val="center"/>
                </w:tcPr>
                <w:p w14:paraId="6A42C965">
                  <w:pPr>
                    <w:jc w:val="center"/>
                    <w:rPr>
                      <w:rFonts w:hint="default" w:ascii="Times New Roman" w:hAnsi="Times New Roman" w:eastAsia="宋体" w:cs="Times New Roman"/>
                      <w:i w:val="0"/>
                      <w:iCs w:val="0"/>
                      <w:color w:val="000000"/>
                      <w:sz w:val="21"/>
                      <w:szCs w:val="21"/>
                      <w:u w:val="none"/>
                    </w:rPr>
                  </w:pPr>
                </w:p>
              </w:tc>
              <w:tc>
                <w:tcPr>
                  <w:tcW w:w="690" w:type="dxa"/>
                  <w:vMerge w:val="continue"/>
                  <w:tcBorders>
                    <w:tl2br w:val="nil"/>
                    <w:tr2bl w:val="nil"/>
                  </w:tcBorders>
                  <w:shd w:val="clear" w:color="auto" w:fill="auto"/>
                  <w:vAlign w:val="center"/>
                </w:tcPr>
                <w:p w14:paraId="3D565A8F">
                  <w:pPr>
                    <w:jc w:val="center"/>
                    <w:rPr>
                      <w:rFonts w:hint="default" w:ascii="Times New Roman" w:hAnsi="Times New Roman" w:eastAsia="宋体" w:cs="Times New Roman"/>
                      <w:i w:val="0"/>
                      <w:iCs w:val="0"/>
                      <w:color w:val="000000"/>
                      <w:sz w:val="21"/>
                      <w:szCs w:val="21"/>
                      <w:u w:val="none"/>
                    </w:rPr>
                  </w:pPr>
                </w:p>
              </w:tc>
              <w:tc>
                <w:tcPr>
                  <w:tcW w:w="810" w:type="dxa"/>
                  <w:vMerge w:val="continue"/>
                  <w:tcBorders>
                    <w:tl2br w:val="nil"/>
                    <w:tr2bl w:val="nil"/>
                  </w:tcBorders>
                  <w:shd w:val="clear" w:color="auto" w:fill="auto"/>
                  <w:vAlign w:val="center"/>
                </w:tcPr>
                <w:p w14:paraId="0A418AA0">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7BFFDD44">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0CC9D835">
                  <w:pPr>
                    <w:jc w:val="center"/>
                    <w:rPr>
                      <w:rFonts w:hint="default" w:ascii="Times New Roman" w:hAnsi="Times New Roman" w:eastAsia="宋体" w:cs="Times New Roman"/>
                      <w:i w:val="0"/>
                      <w:iCs w:val="0"/>
                      <w:color w:val="000000"/>
                      <w:sz w:val="21"/>
                      <w:szCs w:val="21"/>
                      <w:u w:val="none"/>
                    </w:rPr>
                  </w:pPr>
                </w:p>
              </w:tc>
              <w:tc>
                <w:tcPr>
                  <w:tcW w:w="1062" w:type="dxa"/>
                  <w:vMerge w:val="continue"/>
                  <w:tcBorders>
                    <w:tl2br w:val="nil"/>
                    <w:tr2bl w:val="nil"/>
                  </w:tcBorders>
                  <w:shd w:val="clear" w:color="auto" w:fill="auto"/>
                  <w:vAlign w:val="center"/>
                </w:tcPr>
                <w:p w14:paraId="3C7E0911">
                  <w:pPr>
                    <w:jc w:val="center"/>
                    <w:rPr>
                      <w:rFonts w:hint="default" w:ascii="Times New Roman" w:hAnsi="Times New Roman" w:eastAsia="宋体" w:cs="Times New Roman"/>
                      <w:i w:val="0"/>
                      <w:iCs w:val="0"/>
                      <w:color w:val="000000"/>
                      <w:sz w:val="21"/>
                      <w:szCs w:val="21"/>
                      <w:u w:val="none"/>
                    </w:rPr>
                  </w:pPr>
                </w:p>
              </w:tc>
            </w:tr>
            <w:tr w14:paraId="291E2F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957" w:type="dxa"/>
                  <w:vMerge w:val="restart"/>
                  <w:tcBorders>
                    <w:tl2br w:val="nil"/>
                    <w:tr2bl w:val="nil"/>
                  </w:tcBorders>
                  <w:shd w:val="clear" w:color="auto" w:fill="auto"/>
                  <w:vAlign w:val="center"/>
                </w:tcPr>
                <w:p w14:paraId="3669A8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第一次水洗（浸泡）</w:t>
                  </w:r>
                </w:p>
              </w:tc>
              <w:tc>
                <w:tcPr>
                  <w:tcW w:w="797" w:type="dxa"/>
                  <w:tcBorders>
                    <w:tl2br w:val="nil"/>
                    <w:tr2bl w:val="nil"/>
                  </w:tcBorders>
                  <w:shd w:val="clear" w:color="auto" w:fill="auto"/>
                  <w:vAlign w:val="center"/>
                </w:tcPr>
                <w:p w14:paraId="6FA9CD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上6.1</w:t>
                  </w:r>
                </w:p>
              </w:tc>
              <w:tc>
                <w:tcPr>
                  <w:tcW w:w="546" w:type="dxa"/>
                  <w:vMerge w:val="restart"/>
                  <w:tcBorders>
                    <w:tl2br w:val="nil"/>
                    <w:tr2bl w:val="nil"/>
                  </w:tcBorders>
                  <w:shd w:val="clear" w:color="auto" w:fill="auto"/>
                  <w:vAlign w:val="center"/>
                </w:tcPr>
                <w:p w14:paraId="644DAF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528" w:type="dxa"/>
                  <w:vMerge w:val="restart"/>
                  <w:tcBorders>
                    <w:tl2br w:val="nil"/>
                    <w:tr2bl w:val="nil"/>
                  </w:tcBorders>
                  <w:shd w:val="clear" w:color="auto" w:fill="auto"/>
                  <w:vAlign w:val="center"/>
                </w:tcPr>
                <w:p w14:paraId="2B217D9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696" w:type="dxa"/>
                  <w:vMerge w:val="restart"/>
                  <w:tcBorders>
                    <w:tl2br w:val="nil"/>
                    <w:tr2bl w:val="nil"/>
                  </w:tcBorders>
                  <w:shd w:val="clear" w:color="auto" w:fill="auto"/>
                  <w:vAlign w:val="center"/>
                </w:tcPr>
                <w:p w14:paraId="2B6C4BD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3.504</w:t>
                  </w:r>
                </w:p>
              </w:tc>
              <w:tc>
                <w:tcPr>
                  <w:tcW w:w="960" w:type="dxa"/>
                  <w:vMerge w:val="restart"/>
                  <w:tcBorders>
                    <w:tl2br w:val="nil"/>
                    <w:tr2bl w:val="nil"/>
                  </w:tcBorders>
                  <w:shd w:val="clear" w:color="auto" w:fill="auto"/>
                  <w:vAlign w:val="center"/>
                </w:tcPr>
                <w:p w14:paraId="2EF81F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20" w:type="dxa"/>
                  <w:vMerge w:val="restart"/>
                  <w:tcBorders>
                    <w:tl2br w:val="nil"/>
                    <w:tr2bl w:val="nil"/>
                  </w:tcBorders>
                  <w:shd w:val="clear" w:color="auto" w:fill="auto"/>
                  <w:vAlign w:val="center"/>
                </w:tcPr>
                <w:p w14:paraId="68464F6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05" w:type="dxa"/>
                  <w:vMerge w:val="restart"/>
                  <w:tcBorders>
                    <w:tl2br w:val="nil"/>
                    <w:tr2bl w:val="nil"/>
                  </w:tcBorders>
                  <w:shd w:val="clear" w:color="auto" w:fill="auto"/>
                  <w:vAlign w:val="center"/>
                </w:tcPr>
                <w:p w14:paraId="1FFE10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天</w:t>
                  </w:r>
                </w:p>
              </w:tc>
              <w:tc>
                <w:tcPr>
                  <w:tcW w:w="765" w:type="dxa"/>
                  <w:vMerge w:val="restart"/>
                  <w:tcBorders>
                    <w:tl2br w:val="nil"/>
                    <w:tr2bl w:val="nil"/>
                  </w:tcBorders>
                  <w:shd w:val="clear" w:color="auto" w:fill="auto"/>
                  <w:vAlign w:val="center"/>
                </w:tcPr>
                <w:p w14:paraId="5CCE54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35" w:type="dxa"/>
                  <w:vMerge w:val="restart"/>
                  <w:tcBorders>
                    <w:tl2br w:val="nil"/>
                    <w:tr2bl w:val="nil"/>
                  </w:tcBorders>
                  <w:shd w:val="clear" w:color="auto" w:fill="auto"/>
                  <w:vAlign w:val="center"/>
                </w:tcPr>
                <w:p w14:paraId="29A6F9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795" w:type="dxa"/>
                  <w:vMerge w:val="restart"/>
                  <w:tcBorders>
                    <w:tl2br w:val="nil"/>
                    <w:tr2bl w:val="nil"/>
                  </w:tcBorders>
                  <w:shd w:val="clear" w:color="auto" w:fill="auto"/>
                  <w:vAlign w:val="center"/>
                </w:tcPr>
                <w:p w14:paraId="0A3AD5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dxa"/>
                  <w:vMerge w:val="restart"/>
                  <w:tcBorders>
                    <w:tl2br w:val="nil"/>
                    <w:tr2bl w:val="nil"/>
                  </w:tcBorders>
                  <w:shd w:val="clear" w:color="auto" w:fill="auto"/>
                  <w:vAlign w:val="center"/>
                </w:tcPr>
                <w:p w14:paraId="5D69D9B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室温</w:t>
                  </w:r>
                </w:p>
              </w:tc>
              <w:tc>
                <w:tcPr>
                  <w:tcW w:w="690" w:type="dxa"/>
                  <w:vMerge w:val="restart"/>
                  <w:tcBorders>
                    <w:tl2br w:val="nil"/>
                    <w:tr2bl w:val="nil"/>
                  </w:tcBorders>
                  <w:shd w:val="clear" w:color="auto" w:fill="auto"/>
                  <w:vAlign w:val="center"/>
                </w:tcPr>
                <w:p w14:paraId="5208E23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分钟</w:t>
                  </w:r>
                </w:p>
              </w:tc>
              <w:tc>
                <w:tcPr>
                  <w:tcW w:w="810" w:type="dxa"/>
                  <w:vMerge w:val="restart"/>
                  <w:tcBorders>
                    <w:tl2br w:val="nil"/>
                    <w:tr2bl w:val="nil"/>
                  </w:tcBorders>
                  <w:shd w:val="clear" w:color="auto" w:fill="auto"/>
                  <w:vAlign w:val="center"/>
                </w:tcPr>
                <w:p w14:paraId="1FE685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750" w:type="dxa"/>
                  <w:vMerge w:val="restart"/>
                  <w:tcBorders>
                    <w:tl2br w:val="nil"/>
                    <w:tr2bl w:val="nil"/>
                  </w:tcBorders>
                  <w:shd w:val="clear" w:color="auto" w:fill="auto"/>
                  <w:vAlign w:val="center"/>
                </w:tcPr>
                <w:p w14:paraId="006EB3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750" w:type="dxa"/>
                  <w:vMerge w:val="restart"/>
                  <w:tcBorders>
                    <w:tl2br w:val="nil"/>
                    <w:tr2bl w:val="nil"/>
                  </w:tcBorders>
                  <w:shd w:val="clear" w:color="auto" w:fill="auto"/>
                  <w:vAlign w:val="center"/>
                </w:tcPr>
                <w:p w14:paraId="63ECD22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062" w:type="dxa"/>
                  <w:vMerge w:val="restart"/>
                  <w:tcBorders>
                    <w:tl2br w:val="nil"/>
                    <w:tr2bl w:val="nil"/>
                  </w:tcBorders>
                  <w:shd w:val="clear" w:color="auto" w:fill="auto"/>
                  <w:vAlign w:val="center"/>
                </w:tcPr>
                <w:p w14:paraId="1E32DA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厂区污水处理站</w:t>
                  </w:r>
                </w:p>
              </w:tc>
            </w:tr>
            <w:tr w14:paraId="29F729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00" w:hRule="atLeast"/>
                <w:jc w:val="center"/>
              </w:trPr>
              <w:tc>
                <w:tcPr>
                  <w:tcW w:w="957" w:type="dxa"/>
                  <w:vMerge w:val="continue"/>
                  <w:tcBorders>
                    <w:tl2br w:val="nil"/>
                    <w:tr2bl w:val="nil"/>
                  </w:tcBorders>
                  <w:shd w:val="clear" w:color="auto" w:fill="auto"/>
                  <w:vAlign w:val="center"/>
                </w:tcPr>
                <w:p w14:paraId="516A228D">
                  <w:pPr>
                    <w:jc w:val="center"/>
                    <w:rPr>
                      <w:rFonts w:hint="default" w:ascii="Times New Roman" w:hAnsi="Times New Roman" w:eastAsia="宋体" w:cs="Times New Roman"/>
                      <w:i w:val="0"/>
                      <w:iCs w:val="0"/>
                      <w:color w:val="000000"/>
                      <w:sz w:val="21"/>
                      <w:szCs w:val="21"/>
                      <w:u w:val="none"/>
                    </w:rPr>
                  </w:pPr>
                </w:p>
              </w:tc>
              <w:tc>
                <w:tcPr>
                  <w:tcW w:w="797" w:type="dxa"/>
                  <w:tcBorders>
                    <w:tl2br w:val="nil"/>
                    <w:tr2bl w:val="nil"/>
                  </w:tcBorders>
                  <w:shd w:val="clear" w:color="auto" w:fill="auto"/>
                  <w:vAlign w:val="center"/>
                </w:tcPr>
                <w:p w14:paraId="0A8935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下1.2</w:t>
                  </w:r>
                </w:p>
              </w:tc>
              <w:tc>
                <w:tcPr>
                  <w:tcW w:w="546" w:type="dxa"/>
                  <w:vMerge w:val="continue"/>
                  <w:tcBorders>
                    <w:tl2br w:val="nil"/>
                    <w:tr2bl w:val="nil"/>
                  </w:tcBorders>
                  <w:shd w:val="clear" w:color="auto" w:fill="auto"/>
                  <w:vAlign w:val="center"/>
                </w:tcPr>
                <w:p w14:paraId="551D3CC6">
                  <w:pPr>
                    <w:jc w:val="center"/>
                    <w:rPr>
                      <w:rFonts w:hint="default" w:ascii="Times New Roman" w:hAnsi="Times New Roman" w:eastAsia="宋体" w:cs="Times New Roman"/>
                      <w:i w:val="0"/>
                      <w:iCs w:val="0"/>
                      <w:color w:val="000000"/>
                      <w:sz w:val="21"/>
                      <w:szCs w:val="21"/>
                      <w:u w:val="none"/>
                    </w:rPr>
                  </w:pPr>
                </w:p>
              </w:tc>
              <w:tc>
                <w:tcPr>
                  <w:tcW w:w="528" w:type="dxa"/>
                  <w:vMerge w:val="continue"/>
                  <w:tcBorders>
                    <w:tl2br w:val="nil"/>
                    <w:tr2bl w:val="nil"/>
                  </w:tcBorders>
                  <w:shd w:val="clear" w:color="auto" w:fill="auto"/>
                  <w:vAlign w:val="center"/>
                </w:tcPr>
                <w:p w14:paraId="464733F2">
                  <w:pPr>
                    <w:jc w:val="center"/>
                    <w:rPr>
                      <w:rFonts w:hint="default" w:ascii="Times New Roman" w:hAnsi="Times New Roman" w:eastAsia="宋体" w:cs="Times New Roman"/>
                      <w:i w:val="0"/>
                      <w:iCs w:val="0"/>
                      <w:color w:val="000000"/>
                      <w:sz w:val="21"/>
                      <w:szCs w:val="21"/>
                      <w:u w:val="none"/>
                    </w:rPr>
                  </w:pPr>
                </w:p>
              </w:tc>
              <w:tc>
                <w:tcPr>
                  <w:tcW w:w="696" w:type="dxa"/>
                  <w:vMerge w:val="continue"/>
                  <w:tcBorders>
                    <w:tl2br w:val="nil"/>
                    <w:tr2bl w:val="nil"/>
                  </w:tcBorders>
                  <w:shd w:val="clear" w:color="auto" w:fill="auto"/>
                  <w:vAlign w:val="center"/>
                </w:tcPr>
                <w:p w14:paraId="503B83BA">
                  <w:pPr>
                    <w:jc w:val="center"/>
                    <w:rPr>
                      <w:rFonts w:hint="default" w:ascii="Times New Roman" w:hAnsi="Times New Roman" w:eastAsia="宋体" w:cs="Times New Roman"/>
                      <w:i w:val="0"/>
                      <w:iCs w:val="0"/>
                      <w:color w:val="000000"/>
                      <w:sz w:val="21"/>
                      <w:szCs w:val="21"/>
                      <w:u w:val="none"/>
                    </w:rPr>
                  </w:pPr>
                </w:p>
              </w:tc>
              <w:tc>
                <w:tcPr>
                  <w:tcW w:w="960" w:type="dxa"/>
                  <w:vMerge w:val="continue"/>
                  <w:tcBorders>
                    <w:tl2br w:val="nil"/>
                    <w:tr2bl w:val="nil"/>
                  </w:tcBorders>
                  <w:shd w:val="clear" w:color="auto" w:fill="auto"/>
                  <w:vAlign w:val="center"/>
                </w:tcPr>
                <w:p w14:paraId="76D593C9">
                  <w:pPr>
                    <w:jc w:val="center"/>
                    <w:rPr>
                      <w:rFonts w:hint="default" w:ascii="Times New Roman" w:hAnsi="Times New Roman" w:eastAsia="宋体" w:cs="Times New Roman"/>
                      <w:i w:val="0"/>
                      <w:iCs w:val="0"/>
                      <w:color w:val="000000"/>
                      <w:sz w:val="21"/>
                      <w:szCs w:val="21"/>
                      <w:u w:val="none"/>
                    </w:rPr>
                  </w:pPr>
                </w:p>
              </w:tc>
              <w:tc>
                <w:tcPr>
                  <w:tcW w:w="720" w:type="dxa"/>
                  <w:vMerge w:val="continue"/>
                  <w:tcBorders>
                    <w:tl2br w:val="nil"/>
                    <w:tr2bl w:val="nil"/>
                  </w:tcBorders>
                  <w:shd w:val="clear" w:color="auto" w:fill="auto"/>
                  <w:vAlign w:val="center"/>
                </w:tcPr>
                <w:p w14:paraId="40001597">
                  <w:pPr>
                    <w:jc w:val="center"/>
                    <w:rPr>
                      <w:rFonts w:hint="default" w:ascii="Times New Roman" w:hAnsi="Times New Roman" w:eastAsia="宋体" w:cs="Times New Roman"/>
                      <w:i w:val="0"/>
                      <w:iCs w:val="0"/>
                      <w:color w:val="000000"/>
                      <w:sz w:val="21"/>
                      <w:szCs w:val="21"/>
                      <w:u w:val="none"/>
                    </w:rPr>
                  </w:pPr>
                </w:p>
              </w:tc>
              <w:tc>
                <w:tcPr>
                  <w:tcW w:w="705" w:type="dxa"/>
                  <w:vMerge w:val="continue"/>
                  <w:tcBorders>
                    <w:tl2br w:val="nil"/>
                    <w:tr2bl w:val="nil"/>
                  </w:tcBorders>
                  <w:shd w:val="clear" w:color="auto" w:fill="auto"/>
                  <w:vAlign w:val="center"/>
                </w:tcPr>
                <w:p w14:paraId="0A8B4FB2">
                  <w:pPr>
                    <w:jc w:val="center"/>
                    <w:rPr>
                      <w:rFonts w:hint="default" w:ascii="Times New Roman" w:hAnsi="Times New Roman" w:eastAsia="宋体" w:cs="Times New Roman"/>
                      <w:i w:val="0"/>
                      <w:iCs w:val="0"/>
                      <w:color w:val="000000"/>
                      <w:sz w:val="21"/>
                      <w:szCs w:val="21"/>
                      <w:u w:val="none"/>
                    </w:rPr>
                  </w:pPr>
                </w:p>
              </w:tc>
              <w:tc>
                <w:tcPr>
                  <w:tcW w:w="765" w:type="dxa"/>
                  <w:vMerge w:val="continue"/>
                  <w:tcBorders>
                    <w:tl2br w:val="nil"/>
                    <w:tr2bl w:val="nil"/>
                  </w:tcBorders>
                  <w:shd w:val="clear" w:color="auto" w:fill="auto"/>
                  <w:vAlign w:val="center"/>
                </w:tcPr>
                <w:p w14:paraId="1E1D9FD1">
                  <w:pPr>
                    <w:jc w:val="center"/>
                    <w:rPr>
                      <w:rFonts w:hint="default" w:ascii="Times New Roman" w:hAnsi="Times New Roman" w:eastAsia="宋体" w:cs="Times New Roman"/>
                      <w:i w:val="0"/>
                      <w:iCs w:val="0"/>
                      <w:color w:val="000000"/>
                      <w:sz w:val="21"/>
                      <w:szCs w:val="21"/>
                      <w:u w:val="none"/>
                    </w:rPr>
                  </w:pPr>
                </w:p>
              </w:tc>
              <w:tc>
                <w:tcPr>
                  <w:tcW w:w="735" w:type="dxa"/>
                  <w:vMerge w:val="continue"/>
                  <w:tcBorders>
                    <w:tl2br w:val="nil"/>
                    <w:tr2bl w:val="nil"/>
                  </w:tcBorders>
                  <w:shd w:val="clear" w:color="auto" w:fill="auto"/>
                  <w:vAlign w:val="center"/>
                </w:tcPr>
                <w:p w14:paraId="4FDDFE6A">
                  <w:pPr>
                    <w:jc w:val="center"/>
                    <w:rPr>
                      <w:rFonts w:hint="default" w:ascii="Times New Roman" w:hAnsi="Times New Roman" w:eastAsia="宋体" w:cs="Times New Roman"/>
                      <w:i w:val="0"/>
                      <w:iCs w:val="0"/>
                      <w:color w:val="000000"/>
                      <w:sz w:val="21"/>
                      <w:szCs w:val="21"/>
                      <w:u w:val="none"/>
                    </w:rPr>
                  </w:pPr>
                </w:p>
              </w:tc>
              <w:tc>
                <w:tcPr>
                  <w:tcW w:w="795" w:type="dxa"/>
                  <w:vMerge w:val="continue"/>
                  <w:tcBorders>
                    <w:tl2br w:val="nil"/>
                    <w:tr2bl w:val="nil"/>
                  </w:tcBorders>
                  <w:shd w:val="clear" w:color="auto" w:fill="auto"/>
                  <w:vAlign w:val="center"/>
                </w:tcPr>
                <w:p w14:paraId="50A10649">
                  <w:pPr>
                    <w:jc w:val="center"/>
                    <w:rPr>
                      <w:rFonts w:hint="default" w:ascii="Times New Roman" w:hAnsi="Times New Roman" w:eastAsia="宋体" w:cs="Times New Roman"/>
                      <w:i w:val="0"/>
                      <w:iCs w:val="0"/>
                      <w:color w:val="000000"/>
                      <w:sz w:val="21"/>
                      <w:szCs w:val="21"/>
                      <w:u w:val="none"/>
                    </w:rPr>
                  </w:pPr>
                </w:p>
              </w:tc>
              <w:tc>
                <w:tcPr>
                  <w:tcW w:w="585" w:type="dxa"/>
                  <w:vMerge w:val="continue"/>
                  <w:tcBorders>
                    <w:tl2br w:val="nil"/>
                    <w:tr2bl w:val="nil"/>
                  </w:tcBorders>
                  <w:shd w:val="clear" w:color="auto" w:fill="auto"/>
                  <w:vAlign w:val="center"/>
                </w:tcPr>
                <w:p w14:paraId="1E1C7ED0">
                  <w:pPr>
                    <w:jc w:val="center"/>
                    <w:rPr>
                      <w:rFonts w:hint="default" w:ascii="Times New Roman" w:hAnsi="Times New Roman" w:eastAsia="宋体" w:cs="Times New Roman"/>
                      <w:i w:val="0"/>
                      <w:iCs w:val="0"/>
                      <w:color w:val="000000"/>
                      <w:sz w:val="21"/>
                      <w:szCs w:val="21"/>
                      <w:u w:val="none"/>
                    </w:rPr>
                  </w:pPr>
                </w:p>
              </w:tc>
              <w:tc>
                <w:tcPr>
                  <w:tcW w:w="690" w:type="dxa"/>
                  <w:vMerge w:val="continue"/>
                  <w:tcBorders>
                    <w:tl2br w:val="nil"/>
                    <w:tr2bl w:val="nil"/>
                  </w:tcBorders>
                  <w:shd w:val="clear" w:color="auto" w:fill="auto"/>
                  <w:vAlign w:val="center"/>
                </w:tcPr>
                <w:p w14:paraId="09A531B1">
                  <w:pPr>
                    <w:jc w:val="center"/>
                    <w:rPr>
                      <w:rFonts w:hint="default" w:ascii="Times New Roman" w:hAnsi="Times New Roman" w:eastAsia="宋体" w:cs="Times New Roman"/>
                      <w:i w:val="0"/>
                      <w:iCs w:val="0"/>
                      <w:color w:val="000000"/>
                      <w:sz w:val="21"/>
                      <w:szCs w:val="21"/>
                      <w:u w:val="none"/>
                    </w:rPr>
                  </w:pPr>
                </w:p>
              </w:tc>
              <w:tc>
                <w:tcPr>
                  <w:tcW w:w="810" w:type="dxa"/>
                  <w:vMerge w:val="continue"/>
                  <w:tcBorders>
                    <w:tl2br w:val="nil"/>
                    <w:tr2bl w:val="nil"/>
                  </w:tcBorders>
                  <w:shd w:val="clear" w:color="auto" w:fill="auto"/>
                  <w:vAlign w:val="center"/>
                </w:tcPr>
                <w:p w14:paraId="245251AF">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3E6DD135">
                  <w:pPr>
                    <w:jc w:val="center"/>
                    <w:rPr>
                      <w:rFonts w:hint="default" w:ascii="Times New Roman" w:hAnsi="Times New Roman" w:eastAsia="宋体" w:cs="Times New Roman"/>
                      <w:i w:val="0"/>
                      <w:iCs w:val="0"/>
                      <w:color w:val="000000"/>
                      <w:sz w:val="21"/>
                      <w:szCs w:val="21"/>
                      <w:u w:val="none"/>
                    </w:rPr>
                  </w:pPr>
                </w:p>
              </w:tc>
              <w:tc>
                <w:tcPr>
                  <w:tcW w:w="750" w:type="dxa"/>
                  <w:vMerge w:val="continue"/>
                  <w:tcBorders>
                    <w:tl2br w:val="nil"/>
                    <w:tr2bl w:val="nil"/>
                  </w:tcBorders>
                  <w:shd w:val="clear" w:color="auto" w:fill="auto"/>
                  <w:vAlign w:val="center"/>
                </w:tcPr>
                <w:p w14:paraId="331A7D68">
                  <w:pPr>
                    <w:jc w:val="center"/>
                    <w:rPr>
                      <w:rFonts w:hint="default" w:ascii="Times New Roman" w:hAnsi="Times New Roman" w:eastAsia="宋体" w:cs="Times New Roman"/>
                      <w:i w:val="0"/>
                      <w:iCs w:val="0"/>
                      <w:color w:val="000000"/>
                      <w:sz w:val="21"/>
                      <w:szCs w:val="21"/>
                      <w:u w:val="none"/>
                    </w:rPr>
                  </w:pPr>
                </w:p>
              </w:tc>
              <w:tc>
                <w:tcPr>
                  <w:tcW w:w="1062" w:type="dxa"/>
                  <w:vMerge w:val="continue"/>
                  <w:tcBorders>
                    <w:tl2br w:val="nil"/>
                    <w:tr2bl w:val="nil"/>
                  </w:tcBorders>
                  <w:shd w:val="clear" w:color="auto" w:fill="auto"/>
                  <w:vAlign w:val="center"/>
                </w:tcPr>
                <w:p w14:paraId="7364A213">
                  <w:pPr>
                    <w:jc w:val="center"/>
                    <w:rPr>
                      <w:rFonts w:hint="default" w:ascii="Times New Roman" w:hAnsi="Times New Roman" w:eastAsia="宋体" w:cs="Times New Roman"/>
                      <w:i w:val="0"/>
                      <w:iCs w:val="0"/>
                      <w:color w:val="000000"/>
                      <w:sz w:val="21"/>
                      <w:szCs w:val="21"/>
                      <w:u w:val="none"/>
                    </w:rPr>
                  </w:pPr>
                </w:p>
              </w:tc>
            </w:tr>
            <w:tr w14:paraId="19B59F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10" w:hRule="atLeast"/>
                <w:jc w:val="center"/>
              </w:trPr>
              <w:tc>
                <w:tcPr>
                  <w:tcW w:w="957" w:type="dxa"/>
                  <w:tcBorders>
                    <w:tl2br w:val="nil"/>
                    <w:tr2bl w:val="nil"/>
                  </w:tcBorders>
                  <w:shd w:val="clear" w:color="auto" w:fill="auto"/>
                  <w:vAlign w:val="center"/>
                </w:tcPr>
                <w:p w14:paraId="571FF1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第二次水洗（</w:t>
                  </w:r>
                  <w:r>
                    <w:rPr>
                      <w:rFonts w:hint="eastAsia" w:ascii="Times New Roman" w:hAnsi="Times New Roman" w:eastAsia="宋体" w:cs="Times New Roman"/>
                      <w:i w:val="0"/>
                      <w:iCs w:val="0"/>
                      <w:color w:val="000000"/>
                      <w:kern w:val="0"/>
                      <w:sz w:val="21"/>
                      <w:szCs w:val="21"/>
                      <w:u w:val="none"/>
                      <w:lang w:val="en-US" w:eastAsia="zh-CN" w:bidi="ar"/>
                    </w:rPr>
                    <w:t>溢流</w:t>
                  </w:r>
                  <w:r>
                    <w:rPr>
                      <w:rFonts w:hint="default" w:ascii="Times New Roman" w:hAnsi="Times New Roman" w:eastAsia="宋体" w:cs="Times New Roman"/>
                      <w:i w:val="0"/>
                      <w:iCs w:val="0"/>
                      <w:color w:val="000000"/>
                      <w:kern w:val="0"/>
                      <w:sz w:val="21"/>
                      <w:szCs w:val="21"/>
                      <w:u w:val="none"/>
                      <w:lang w:val="en-US" w:eastAsia="zh-CN" w:bidi="ar"/>
                    </w:rPr>
                    <w:t>喷淋）</w:t>
                  </w:r>
                </w:p>
              </w:tc>
              <w:tc>
                <w:tcPr>
                  <w:tcW w:w="797" w:type="dxa"/>
                  <w:tcBorders>
                    <w:tl2br w:val="nil"/>
                    <w:tr2bl w:val="nil"/>
                  </w:tcBorders>
                  <w:shd w:val="clear" w:color="auto" w:fill="auto"/>
                  <w:vAlign w:val="center"/>
                </w:tcPr>
                <w:p w14:paraId="094BF5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46" w:type="dxa"/>
                  <w:tcBorders>
                    <w:tl2br w:val="nil"/>
                    <w:tr2bl w:val="nil"/>
                  </w:tcBorders>
                  <w:shd w:val="clear" w:color="auto" w:fill="auto"/>
                  <w:noWrap/>
                  <w:vAlign w:val="center"/>
                </w:tcPr>
                <w:p w14:paraId="4AD7CE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28" w:type="dxa"/>
                  <w:tcBorders>
                    <w:tl2br w:val="nil"/>
                    <w:tr2bl w:val="nil"/>
                  </w:tcBorders>
                  <w:shd w:val="clear" w:color="auto" w:fill="auto"/>
                  <w:vAlign w:val="center"/>
                </w:tcPr>
                <w:p w14:paraId="3CA2B1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696" w:type="dxa"/>
                  <w:tcBorders>
                    <w:tl2br w:val="nil"/>
                    <w:tr2bl w:val="nil"/>
                  </w:tcBorders>
                  <w:shd w:val="clear" w:color="auto" w:fill="auto"/>
                  <w:noWrap/>
                  <w:vAlign w:val="center"/>
                </w:tcPr>
                <w:p w14:paraId="2CA8D36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960" w:type="dxa"/>
                  <w:tcBorders>
                    <w:tl2br w:val="nil"/>
                    <w:tr2bl w:val="nil"/>
                  </w:tcBorders>
                  <w:shd w:val="clear" w:color="auto" w:fill="auto"/>
                  <w:noWrap/>
                  <w:vAlign w:val="center"/>
                </w:tcPr>
                <w:p w14:paraId="2D7423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720" w:type="dxa"/>
                  <w:tcBorders>
                    <w:tl2br w:val="nil"/>
                    <w:tr2bl w:val="nil"/>
                  </w:tcBorders>
                  <w:shd w:val="clear" w:color="auto" w:fill="auto"/>
                  <w:noWrap/>
                  <w:vAlign w:val="center"/>
                </w:tcPr>
                <w:p w14:paraId="6964483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05" w:type="dxa"/>
                  <w:tcBorders>
                    <w:tl2br w:val="nil"/>
                    <w:tr2bl w:val="nil"/>
                  </w:tcBorders>
                  <w:shd w:val="clear" w:color="auto" w:fill="auto"/>
                  <w:noWrap/>
                  <w:vAlign w:val="center"/>
                </w:tcPr>
                <w:p w14:paraId="0007969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周</w:t>
                  </w:r>
                </w:p>
              </w:tc>
              <w:tc>
                <w:tcPr>
                  <w:tcW w:w="765" w:type="dxa"/>
                  <w:tcBorders>
                    <w:tl2br w:val="nil"/>
                    <w:tr2bl w:val="nil"/>
                  </w:tcBorders>
                  <w:shd w:val="clear" w:color="auto" w:fill="auto"/>
                  <w:vAlign w:val="center"/>
                </w:tcPr>
                <w:p w14:paraId="46AFB8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735" w:type="dxa"/>
                  <w:tcBorders>
                    <w:tl2br w:val="nil"/>
                    <w:tr2bl w:val="nil"/>
                  </w:tcBorders>
                  <w:shd w:val="clear" w:color="auto" w:fill="auto"/>
                  <w:vAlign w:val="center"/>
                </w:tcPr>
                <w:p w14:paraId="76193F7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795" w:type="dxa"/>
                  <w:tcBorders>
                    <w:tl2br w:val="nil"/>
                    <w:tr2bl w:val="nil"/>
                  </w:tcBorders>
                  <w:shd w:val="clear" w:color="auto" w:fill="auto"/>
                  <w:noWrap/>
                  <w:vAlign w:val="center"/>
                </w:tcPr>
                <w:p w14:paraId="32636F0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dxa"/>
                  <w:tcBorders>
                    <w:tl2br w:val="nil"/>
                    <w:tr2bl w:val="nil"/>
                  </w:tcBorders>
                  <w:shd w:val="clear" w:color="auto" w:fill="auto"/>
                  <w:noWrap/>
                  <w:vAlign w:val="center"/>
                </w:tcPr>
                <w:p w14:paraId="3B0EB61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室温</w:t>
                  </w:r>
                </w:p>
              </w:tc>
              <w:tc>
                <w:tcPr>
                  <w:tcW w:w="690" w:type="dxa"/>
                  <w:tcBorders>
                    <w:tl2br w:val="nil"/>
                    <w:tr2bl w:val="nil"/>
                  </w:tcBorders>
                  <w:shd w:val="clear" w:color="auto" w:fill="auto"/>
                  <w:noWrap/>
                  <w:vAlign w:val="center"/>
                </w:tcPr>
                <w:p w14:paraId="357177C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分钟</w:t>
                  </w:r>
                </w:p>
              </w:tc>
              <w:tc>
                <w:tcPr>
                  <w:tcW w:w="810" w:type="dxa"/>
                  <w:tcBorders>
                    <w:tl2br w:val="nil"/>
                    <w:tr2bl w:val="nil"/>
                  </w:tcBorders>
                  <w:shd w:val="clear" w:color="auto" w:fill="auto"/>
                  <w:noWrap/>
                  <w:vAlign w:val="center"/>
                </w:tcPr>
                <w:p w14:paraId="7DE6AD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750" w:type="dxa"/>
                  <w:tcBorders>
                    <w:tl2br w:val="nil"/>
                    <w:tr2bl w:val="nil"/>
                  </w:tcBorders>
                  <w:shd w:val="clear" w:color="auto" w:fill="auto"/>
                  <w:noWrap/>
                  <w:vAlign w:val="center"/>
                </w:tcPr>
                <w:p w14:paraId="0089E9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750" w:type="dxa"/>
                  <w:tcBorders>
                    <w:tl2br w:val="nil"/>
                    <w:tr2bl w:val="nil"/>
                  </w:tcBorders>
                  <w:shd w:val="clear" w:color="auto" w:fill="auto"/>
                  <w:noWrap/>
                  <w:vAlign w:val="center"/>
                </w:tcPr>
                <w:p w14:paraId="62AAD9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1062" w:type="dxa"/>
                  <w:tcBorders>
                    <w:tl2br w:val="nil"/>
                    <w:tr2bl w:val="nil"/>
                  </w:tcBorders>
                  <w:shd w:val="clear" w:color="auto" w:fill="auto"/>
                  <w:noWrap/>
                  <w:vAlign w:val="center"/>
                </w:tcPr>
                <w:p w14:paraId="0103E6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厂区污水处理站</w:t>
                  </w:r>
                </w:p>
              </w:tc>
            </w:tr>
            <w:tr w14:paraId="4DC65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30" w:hRule="atLeast"/>
                <w:jc w:val="center"/>
              </w:trPr>
              <w:tc>
                <w:tcPr>
                  <w:tcW w:w="12851" w:type="dxa"/>
                  <w:gridSpan w:val="17"/>
                  <w:tcBorders>
                    <w:tl2br w:val="nil"/>
                    <w:tr2bl w:val="nil"/>
                  </w:tcBorders>
                  <w:shd w:val="clear" w:color="auto" w:fill="auto"/>
                  <w:vAlign w:val="center"/>
                </w:tcPr>
                <w:p w14:paraId="3F4DCE5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lang w:val="en-US" w:eastAsia="zh-CN"/>
                    </w:rPr>
                    <w:t>注：药剂占槽液比例比较小，未计入项目废水量中</w:t>
                  </w:r>
                </w:p>
              </w:tc>
            </w:tr>
          </w:tbl>
          <w:p w14:paraId="3B7DE0F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57" w:beforeLines="5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从上表可知项目生产总用水量</w:t>
            </w:r>
            <w:r>
              <w:rPr>
                <w:rFonts w:hint="eastAsia" w:cs="Times New Roman"/>
                <w:color w:val="auto"/>
                <w:sz w:val="21"/>
                <w:szCs w:val="21"/>
                <w:highlight w:val="none"/>
                <w:lang w:val="en-US" w:eastAsia="zh-CN"/>
              </w:rPr>
              <w:t>1490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/a，损耗水量为</w:t>
            </w:r>
            <w:r>
              <w:rPr>
                <w:rFonts w:hint="eastAsia" w:cs="Times New Roman"/>
                <w:color w:val="auto"/>
                <w:sz w:val="21"/>
                <w:szCs w:val="21"/>
                <w:highlight w:val="none"/>
                <w:lang w:val="en-US" w:eastAsia="zh-CN"/>
              </w:rPr>
              <w:t>588</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/a，废水产生总量</w:t>
            </w:r>
            <w:r>
              <w:rPr>
                <w:rFonts w:hint="eastAsia" w:cs="Times New Roman"/>
                <w:color w:val="auto"/>
                <w:sz w:val="21"/>
                <w:szCs w:val="21"/>
                <w:highlight w:val="none"/>
                <w:lang w:val="en-US" w:eastAsia="zh-CN"/>
              </w:rPr>
              <w:t>902</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p w14:paraId="572098EB">
            <w:pPr>
              <w:keepNext/>
              <w:keepLines/>
              <w:widowControl w:val="0"/>
              <w:spacing w:before="0" w:after="0" w:line="360" w:lineRule="auto"/>
              <w:jc w:val="center"/>
              <w:outlineLvl w:val="2"/>
              <w:rPr>
                <w:rFonts w:hint="eastAsia" w:ascii="宋体" w:hAnsi="宋体" w:eastAsia="宋体" w:cs="宋体"/>
                <w:snapToGrid w:val="0"/>
                <w:color w:val="000000"/>
                <w:sz w:val="21"/>
                <w:szCs w:val="21"/>
                <w:highlight w:val="none"/>
                <w:vertAlign w:val="baseline"/>
              </w:rPr>
            </w:pPr>
          </w:p>
        </w:tc>
      </w:tr>
    </w:tbl>
    <w:p w14:paraId="663B8843">
      <w:pPr>
        <w:pStyle w:val="25"/>
        <w:jc w:val="center"/>
        <w:rPr>
          <w:rFonts w:ascii="黑体" w:hAnsi="黑体" w:eastAsia="黑体"/>
          <w:snapToGrid w:val="0"/>
          <w:color w:val="FF0000"/>
          <w:sz w:val="36"/>
          <w:szCs w:val="36"/>
          <w:highlight w:val="none"/>
        </w:rPr>
        <w:sectPr>
          <w:pgSz w:w="16838" w:h="11906" w:orient="landscape"/>
          <w:pgMar w:top="1531" w:right="1701" w:bottom="1531" w:left="1701" w:header="851" w:footer="850" w:gutter="0"/>
          <w:pgBorders>
            <w:top w:val="none" w:sz="0" w:space="0"/>
            <w:left w:val="none" w:sz="0" w:space="0"/>
            <w:bottom w:val="none" w:sz="0" w:space="0"/>
            <w:right w:val="none" w:sz="0" w:space="0"/>
          </w:pgBorders>
          <w:cols w:space="0" w:num="1"/>
          <w:rtlGutter w:val="0"/>
          <w:docGrid w:linePitch="312" w:charSpace="0"/>
        </w:sectPr>
      </w:pPr>
    </w:p>
    <w:p w14:paraId="2576E866">
      <w:pPr>
        <w:pStyle w:val="25"/>
        <w:jc w:val="center"/>
        <w:rPr>
          <w:rFonts w:ascii="黑体" w:hAnsi="黑体" w:eastAsia="黑体"/>
          <w:snapToGrid w:val="0"/>
          <w:color w:val="FF0000"/>
          <w:sz w:val="36"/>
          <w:szCs w:val="36"/>
          <w:highlight w:val="none"/>
        </w:r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138"/>
      </w:tblGrid>
      <w:tr w14:paraId="14BFB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46" w:type="dxa"/>
            <w:vAlign w:val="center"/>
          </w:tcPr>
          <w:p w14:paraId="2600BA33">
            <w:pPr>
              <w:pStyle w:val="25"/>
              <w:adjustRightInd w:val="0"/>
              <w:snapToGrid w:val="0"/>
              <w:spacing w:before="0" w:beforeAutospacing="0" w:after="0" w:afterAutospacing="0"/>
              <w:jc w:val="center"/>
              <w:rPr>
                <w:rFonts w:cs="宋体"/>
                <w:color w:val="FF0000"/>
                <w:sz w:val="21"/>
                <w:szCs w:val="21"/>
                <w:highlight w:val="none"/>
              </w:rPr>
            </w:pPr>
            <w:r>
              <w:rPr>
                <w:rFonts w:hint="eastAsia" w:cs="宋体"/>
                <w:color w:val="auto"/>
                <w:sz w:val="21"/>
                <w:szCs w:val="21"/>
                <w:highlight w:val="none"/>
              </w:rPr>
              <w:t>建设内容</w:t>
            </w:r>
          </w:p>
        </w:tc>
        <w:tc>
          <w:tcPr>
            <w:tcW w:w="8138" w:type="dxa"/>
          </w:tcPr>
          <w:p w14:paraId="33F3A931">
            <w:pPr>
              <w:spacing w:line="360" w:lineRule="auto"/>
              <w:rPr>
                <w:rFonts w:hint="eastAsia" w:eastAsia="宋体"/>
                <w:color w:val="FF0000"/>
                <w:szCs w:val="21"/>
                <w:highlight w:val="none"/>
                <w:lang w:val="en-US" w:eastAsia="zh-CN"/>
              </w:rPr>
            </w:pPr>
            <w:r>
              <w:rPr>
                <w:rFonts w:hint="eastAsia" w:eastAsia="宋体"/>
                <w:color w:val="FF0000"/>
                <w:szCs w:val="21"/>
                <w:highlight w:val="none"/>
                <w:lang w:val="en-US" w:eastAsia="zh-CN"/>
              </w:rPr>
              <w:drawing>
                <wp:inline distT="0" distB="0" distL="114300" distR="114300">
                  <wp:extent cx="5027930" cy="1675765"/>
                  <wp:effectExtent l="0" t="0" r="1270" b="635"/>
                  <wp:docPr id="4" name="图片 4" descr="工艺流程-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艺流程-水平衡"/>
                          <pic:cNvPicPr>
                            <a:picLocks noChangeAspect="1"/>
                          </pic:cNvPicPr>
                        </pic:nvPicPr>
                        <pic:blipFill>
                          <a:blip r:embed="rId9"/>
                          <a:stretch>
                            <a:fillRect/>
                          </a:stretch>
                        </pic:blipFill>
                        <pic:spPr>
                          <a:xfrm>
                            <a:off x="0" y="0"/>
                            <a:ext cx="5027930" cy="1675765"/>
                          </a:xfrm>
                          <a:prstGeom prst="rect">
                            <a:avLst/>
                          </a:prstGeom>
                        </pic:spPr>
                      </pic:pic>
                    </a:graphicData>
                  </a:graphic>
                </wp:inline>
              </w:drawing>
            </w:r>
          </w:p>
          <w:p w14:paraId="4070D32D">
            <w:pPr>
              <w:keepNext/>
              <w:keepLines/>
              <w:widowControl w:val="0"/>
              <w:spacing w:before="0" w:after="0" w:line="360" w:lineRule="auto"/>
              <w:jc w:val="center"/>
              <w:outlineLvl w:val="2"/>
              <w:rPr>
                <w:rFonts w:hint="eastAsia" w:eastAsia="宋体"/>
                <w:color w:val="FF0000"/>
                <w:highlight w:val="none"/>
                <w:lang w:eastAsia="zh-CN" w:bidi="ar"/>
              </w:rPr>
            </w:pPr>
            <w:r>
              <w:rPr>
                <w:rFonts w:hint="default" w:ascii="Times New Roman" w:hAnsi="Times New Roman" w:eastAsia="宋体" w:cs="Times New Roman"/>
                <w:b/>
                <w:bCs/>
                <w:color w:val="000000"/>
                <w:kern w:val="2"/>
                <w:sz w:val="21"/>
                <w:szCs w:val="21"/>
                <w:highlight w:val="none"/>
                <w:lang w:val="en-US" w:eastAsia="zh-CN" w:bidi="ar-SA"/>
              </w:rPr>
              <w:t xml:space="preserve">图2-1 </w:t>
            </w:r>
            <w:r>
              <w:rPr>
                <w:rFonts w:hint="eastAsia" w:ascii="Times New Roman" w:hAnsi="Times New Roman" w:eastAsia="宋体" w:cs="Times New Roman"/>
                <w:b/>
                <w:bCs/>
                <w:color w:val="000000"/>
                <w:kern w:val="2"/>
                <w:sz w:val="21"/>
                <w:szCs w:val="21"/>
                <w:highlight w:val="none"/>
                <w:lang w:val="en-US" w:eastAsia="zh-CN" w:bidi="ar-SA"/>
              </w:rPr>
              <w:t>本项目</w:t>
            </w:r>
            <w:r>
              <w:rPr>
                <w:rFonts w:hint="default" w:ascii="Times New Roman" w:hAnsi="Times New Roman" w:eastAsia="宋体" w:cs="Times New Roman"/>
                <w:b/>
                <w:bCs/>
                <w:color w:val="000000"/>
                <w:kern w:val="2"/>
                <w:sz w:val="21"/>
                <w:szCs w:val="21"/>
                <w:highlight w:val="none"/>
                <w:lang w:val="en-US" w:eastAsia="zh-CN" w:bidi="ar-SA"/>
              </w:rPr>
              <w:t>水平衡图（</w:t>
            </w:r>
            <w:r>
              <w:rPr>
                <w:rFonts w:hint="eastAsia" w:ascii="Times New Roman" w:hAnsi="Times New Roman" w:eastAsia="宋体" w:cs="Times New Roman"/>
                <w:b/>
                <w:bCs/>
                <w:color w:val="000000"/>
                <w:kern w:val="2"/>
                <w:sz w:val="21"/>
                <w:szCs w:val="21"/>
                <w:highlight w:val="none"/>
                <w:lang w:val="en-US" w:eastAsia="zh-CN" w:bidi="ar-SA"/>
              </w:rPr>
              <w:t>m</w:t>
            </w:r>
            <w:r>
              <w:rPr>
                <w:rFonts w:hint="eastAsia" w:ascii="Times New Roman" w:hAnsi="Times New Roman" w:eastAsia="宋体" w:cs="Times New Roman"/>
                <w:b/>
                <w:bCs/>
                <w:color w:val="000000"/>
                <w:kern w:val="2"/>
                <w:sz w:val="21"/>
                <w:szCs w:val="21"/>
                <w:highlight w:val="none"/>
                <w:vertAlign w:val="superscript"/>
                <w:lang w:val="en-US" w:eastAsia="zh-CN" w:bidi="ar-SA"/>
              </w:rPr>
              <w:t>3</w:t>
            </w:r>
            <w:r>
              <w:rPr>
                <w:rFonts w:hint="default" w:ascii="Times New Roman" w:hAnsi="Times New Roman" w:eastAsia="宋体" w:cs="Times New Roman"/>
                <w:b/>
                <w:bCs/>
                <w:color w:val="000000"/>
                <w:kern w:val="2"/>
                <w:sz w:val="21"/>
                <w:szCs w:val="21"/>
                <w:highlight w:val="none"/>
                <w:lang w:val="en-US" w:eastAsia="zh-CN" w:bidi="ar-SA"/>
              </w:rPr>
              <w:t>/a）</w:t>
            </w:r>
          </w:p>
          <w:p w14:paraId="7C20DDD4">
            <w:pPr>
              <w:spacing w:line="360" w:lineRule="auto"/>
              <w:rPr>
                <w:rFonts w:hint="eastAsia" w:eastAsia="宋体"/>
                <w:color w:val="FF0000"/>
                <w:highlight w:val="none"/>
                <w:lang w:eastAsia="zh-CN" w:bidi="ar"/>
              </w:rPr>
            </w:pPr>
            <w:r>
              <w:rPr>
                <w:rFonts w:hint="eastAsia" w:eastAsia="宋体"/>
                <w:color w:val="FF0000"/>
                <w:highlight w:val="none"/>
                <w:lang w:eastAsia="zh-CN" w:bidi="ar"/>
              </w:rPr>
              <w:drawing>
                <wp:inline distT="0" distB="0" distL="114300" distR="114300">
                  <wp:extent cx="5026025" cy="5120640"/>
                  <wp:effectExtent l="0" t="0" r="3175" b="3810"/>
                  <wp:docPr id="10" name="图片 10" descr="d1e6e6ade68338aad980d10a330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1e6e6ade68338aad980d10a3304738"/>
                          <pic:cNvPicPr>
                            <a:picLocks noChangeAspect="1"/>
                          </pic:cNvPicPr>
                        </pic:nvPicPr>
                        <pic:blipFill>
                          <a:blip r:embed="rId10"/>
                          <a:stretch>
                            <a:fillRect/>
                          </a:stretch>
                        </pic:blipFill>
                        <pic:spPr>
                          <a:xfrm>
                            <a:off x="0" y="0"/>
                            <a:ext cx="5026025" cy="5120640"/>
                          </a:xfrm>
                          <a:prstGeom prst="rect">
                            <a:avLst/>
                          </a:prstGeom>
                        </pic:spPr>
                      </pic:pic>
                    </a:graphicData>
                  </a:graphic>
                </wp:inline>
              </w:drawing>
            </w:r>
          </w:p>
          <w:p w14:paraId="6C4D3362">
            <w:pPr>
              <w:keepNext w:val="0"/>
              <w:keepLines w:val="0"/>
              <w:suppressLineNumbers w:val="0"/>
              <w:spacing w:before="0" w:beforeAutospacing="0" w:after="0" w:afterAutospacing="0" w:line="360" w:lineRule="auto"/>
              <w:ind w:left="0" w:right="0"/>
              <w:jc w:val="center"/>
              <w:rPr>
                <w:b/>
                <w:color w:val="auto"/>
                <w:highlight w:val="none"/>
              </w:rPr>
            </w:pPr>
            <w:r>
              <w:rPr>
                <w:rFonts w:hint="eastAsia"/>
                <w:b/>
                <w:color w:val="auto"/>
                <w:highlight w:val="none"/>
              </w:rPr>
              <w:t>图2-</w:t>
            </w:r>
            <w:r>
              <w:rPr>
                <w:rFonts w:hint="eastAsia"/>
                <w:b/>
                <w:color w:val="auto"/>
                <w:highlight w:val="none"/>
                <w:lang w:val="en-US" w:eastAsia="zh-CN"/>
              </w:rPr>
              <w:t>2</w:t>
            </w:r>
            <w:r>
              <w:rPr>
                <w:rFonts w:hint="eastAsia"/>
                <w:b/>
                <w:color w:val="auto"/>
                <w:highlight w:val="none"/>
              </w:rPr>
              <w:t xml:space="preserve"> </w:t>
            </w:r>
            <w:r>
              <w:rPr>
                <w:rFonts w:hint="eastAsia"/>
                <w:b/>
                <w:color w:val="auto"/>
                <w:highlight w:val="none"/>
                <w:lang w:val="en-US" w:eastAsia="zh-CN"/>
              </w:rPr>
              <w:t>本</w:t>
            </w:r>
            <w:r>
              <w:rPr>
                <w:rFonts w:hint="eastAsia"/>
                <w:b/>
                <w:color w:val="auto"/>
                <w:highlight w:val="none"/>
              </w:rPr>
              <w:t>项目</w:t>
            </w:r>
            <w:r>
              <w:rPr>
                <w:rFonts w:hint="eastAsia"/>
                <w:b/>
                <w:color w:val="auto"/>
                <w:highlight w:val="none"/>
                <w:lang w:val="en-US" w:eastAsia="zh-CN"/>
              </w:rPr>
              <w:t>建成后全厂</w:t>
            </w:r>
            <w:r>
              <w:rPr>
                <w:rFonts w:hint="eastAsia"/>
                <w:b/>
                <w:color w:val="auto"/>
                <w:highlight w:val="none"/>
              </w:rPr>
              <w:t>水平衡图（单位：m</w:t>
            </w:r>
            <w:r>
              <w:rPr>
                <w:rFonts w:hint="eastAsia"/>
                <w:b/>
                <w:color w:val="auto"/>
                <w:highlight w:val="none"/>
                <w:vertAlign w:val="superscript"/>
              </w:rPr>
              <w:t>3</w:t>
            </w:r>
            <w:r>
              <w:rPr>
                <w:rFonts w:hint="eastAsia"/>
                <w:b/>
                <w:color w:val="auto"/>
                <w:highlight w:val="none"/>
              </w:rPr>
              <w:t>/a）</w:t>
            </w:r>
          </w:p>
          <w:p w14:paraId="68F4B156">
            <w:pPr>
              <w:autoSpaceDE w:val="0"/>
              <w:autoSpaceDN w:val="0"/>
              <w:adjustRightInd w:val="0"/>
              <w:snapToGrid w:val="0"/>
              <w:spacing w:line="360" w:lineRule="auto"/>
              <w:jc w:val="left"/>
              <w:outlineLvl w:val="0"/>
              <w:rPr>
                <w:b/>
                <w:color w:val="auto"/>
                <w:kern w:val="0"/>
                <w:szCs w:val="21"/>
                <w:highlight w:val="none"/>
              </w:rPr>
            </w:pPr>
            <w:r>
              <w:rPr>
                <w:rFonts w:hint="eastAsia"/>
                <w:b/>
                <w:color w:val="auto"/>
                <w:kern w:val="0"/>
                <w:szCs w:val="21"/>
                <w:highlight w:val="none"/>
                <w:lang w:val="en-US" w:eastAsia="zh-CN"/>
              </w:rPr>
              <w:t>8</w:t>
            </w:r>
            <w:r>
              <w:rPr>
                <w:b/>
                <w:color w:val="auto"/>
                <w:kern w:val="0"/>
                <w:szCs w:val="21"/>
                <w:highlight w:val="none"/>
              </w:rPr>
              <w:t>、劳动定员及工作制度</w:t>
            </w:r>
          </w:p>
          <w:p w14:paraId="14BAC0B1">
            <w:pPr>
              <w:pStyle w:val="104"/>
              <w:ind w:firstLine="420"/>
              <w:rPr>
                <w:color w:val="auto"/>
                <w:sz w:val="21"/>
                <w:szCs w:val="21"/>
                <w:highlight w:val="none"/>
              </w:rPr>
            </w:pPr>
            <w:r>
              <w:rPr>
                <w:color w:val="auto"/>
                <w:sz w:val="21"/>
                <w:szCs w:val="21"/>
                <w:highlight w:val="none"/>
              </w:rPr>
              <w:t>劳动定员：</w:t>
            </w:r>
            <w:r>
              <w:rPr>
                <w:rFonts w:hint="eastAsia"/>
                <w:color w:val="auto"/>
                <w:sz w:val="21"/>
                <w:szCs w:val="21"/>
                <w:highlight w:val="none"/>
                <w:lang w:val="en-US" w:eastAsia="zh-CN"/>
              </w:rPr>
              <w:t>本次扩建项目新增职工20人</w:t>
            </w:r>
            <w:r>
              <w:rPr>
                <w:color w:val="auto"/>
                <w:sz w:val="21"/>
                <w:szCs w:val="21"/>
                <w:highlight w:val="none"/>
              </w:rPr>
              <w:t>；</w:t>
            </w:r>
          </w:p>
          <w:p w14:paraId="158BAB10">
            <w:pPr>
              <w:pStyle w:val="104"/>
              <w:ind w:firstLine="420"/>
              <w:rPr>
                <w:color w:val="auto"/>
                <w:sz w:val="21"/>
                <w:szCs w:val="21"/>
                <w:highlight w:val="none"/>
              </w:rPr>
            </w:pPr>
            <w:r>
              <w:rPr>
                <w:color w:val="auto"/>
                <w:sz w:val="21"/>
                <w:szCs w:val="21"/>
                <w:highlight w:val="none"/>
              </w:rPr>
              <w:t>工作制度：本项目</w:t>
            </w:r>
            <w:r>
              <w:rPr>
                <w:rFonts w:hint="eastAsia"/>
                <w:color w:val="auto"/>
                <w:sz w:val="21"/>
                <w:szCs w:val="21"/>
                <w:highlight w:val="none"/>
              </w:rPr>
              <w:t>年</w:t>
            </w:r>
            <w:r>
              <w:rPr>
                <w:color w:val="auto"/>
                <w:sz w:val="21"/>
                <w:szCs w:val="21"/>
                <w:highlight w:val="none"/>
              </w:rPr>
              <w:t>工作</w:t>
            </w:r>
            <w:r>
              <w:rPr>
                <w:rFonts w:hint="eastAsia"/>
                <w:color w:val="auto"/>
                <w:sz w:val="21"/>
                <w:szCs w:val="21"/>
                <w:highlight w:val="none"/>
                <w:lang w:val="en-US" w:eastAsia="zh-CN"/>
              </w:rPr>
              <w:t>300</w:t>
            </w:r>
            <w:r>
              <w:rPr>
                <w:color w:val="auto"/>
                <w:sz w:val="21"/>
                <w:szCs w:val="21"/>
                <w:highlight w:val="none"/>
              </w:rPr>
              <w:t>天，每班</w:t>
            </w:r>
            <w:r>
              <w:rPr>
                <w:rFonts w:hint="eastAsia"/>
                <w:color w:val="auto"/>
                <w:sz w:val="21"/>
                <w:szCs w:val="21"/>
                <w:highlight w:val="none"/>
                <w:lang w:val="en-US" w:eastAsia="zh-CN"/>
              </w:rPr>
              <w:t>10</w:t>
            </w:r>
            <w:r>
              <w:rPr>
                <w:color w:val="auto"/>
                <w:sz w:val="21"/>
                <w:szCs w:val="21"/>
                <w:highlight w:val="none"/>
              </w:rPr>
              <w:t>小时，</w:t>
            </w:r>
            <w:r>
              <w:rPr>
                <w:rFonts w:hint="eastAsia"/>
                <w:color w:val="auto"/>
                <w:sz w:val="21"/>
                <w:szCs w:val="21"/>
                <w:highlight w:val="none"/>
                <w:lang w:val="en-US" w:eastAsia="zh-CN"/>
              </w:rPr>
              <w:t>1</w:t>
            </w:r>
            <w:r>
              <w:rPr>
                <w:rFonts w:hint="eastAsia"/>
                <w:color w:val="auto"/>
                <w:sz w:val="21"/>
                <w:szCs w:val="21"/>
                <w:highlight w:val="none"/>
              </w:rPr>
              <w:t>班</w:t>
            </w:r>
            <w:r>
              <w:rPr>
                <w:color w:val="auto"/>
                <w:sz w:val="21"/>
                <w:szCs w:val="21"/>
                <w:highlight w:val="none"/>
              </w:rPr>
              <w:t>制。</w:t>
            </w:r>
          </w:p>
          <w:p w14:paraId="1B4DF61B">
            <w:pPr>
              <w:autoSpaceDE w:val="0"/>
              <w:autoSpaceDN w:val="0"/>
              <w:adjustRightInd w:val="0"/>
              <w:snapToGrid w:val="0"/>
              <w:spacing w:line="360" w:lineRule="auto"/>
              <w:jc w:val="left"/>
              <w:outlineLvl w:val="0"/>
              <w:rPr>
                <w:b/>
                <w:color w:val="auto"/>
                <w:kern w:val="0"/>
                <w:szCs w:val="21"/>
                <w:highlight w:val="none"/>
              </w:rPr>
            </w:pPr>
            <w:r>
              <w:rPr>
                <w:rFonts w:hint="eastAsia"/>
                <w:b/>
                <w:color w:val="auto"/>
                <w:kern w:val="0"/>
                <w:szCs w:val="21"/>
                <w:highlight w:val="none"/>
                <w:lang w:val="en-US" w:eastAsia="zh-CN"/>
              </w:rPr>
              <w:t>9</w:t>
            </w:r>
            <w:r>
              <w:rPr>
                <w:b/>
                <w:color w:val="auto"/>
                <w:kern w:val="0"/>
                <w:szCs w:val="21"/>
                <w:highlight w:val="none"/>
              </w:rPr>
              <w:t>、平面布置</w:t>
            </w:r>
          </w:p>
          <w:p w14:paraId="4B1AA2C7">
            <w:pPr>
              <w:pStyle w:val="10"/>
              <w:spacing w:before="0" w:after="0" w:line="360" w:lineRule="auto"/>
              <w:ind w:right="0" w:firstLine="420" w:firstLineChars="200"/>
              <w:jc w:val="left"/>
              <w:rPr>
                <w:rFonts w:hint="eastAsia"/>
                <w:color w:val="auto"/>
                <w:kern w:val="2"/>
                <w:sz w:val="21"/>
                <w:szCs w:val="21"/>
                <w:highlight w:val="none"/>
              </w:rPr>
            </w:pPr>
            <w:r>
              <w:rPr>
                <w:color w:val="auto"/>
                <w:kern w:val="2"/>
                <w:sz w:val="21"/>
                <w:szCs w:val="21"/>
                <w:highlight w:val="none"/>
              </w:rPr>
              <w:t>项目</w:t>
            </w:r>
            <w:r>
              <w:rPr>
                <w:rFonts w:hint="eastAsia"/>
                <w:color w:val="auto"/>
                <w:kern w:val="2"/>
                <w:sz w:val="21"/>
                <w:szCs w:val="21"/>
                <w:highlight w:val="none"/>
              </w:rPr>
              <w:t>厂区平面布置</w:t>
            </w:r>
            <w:r>
              <w:rPr>
                <w:rFonts w:hint="eastAsia"/>
                <w:color w:val="auto"/>
                <w:kern w:val="2"/>
                <w:sz w:val="21"/>
                <w:szCs w:val="21"/>
                <w:highlight w:val="none"/>
                <w:lang w:val="en-US" w:eastAsia="zh-CN"/>
              </w:rPr>
              <w:t>自东向西依次分为3列建筑，东侧第一列自北向南为成品仓库、包装车间、挂件车间；中间一列自北向南为轧钢车间、挂件车间、焊接车间，轧钢车间东边紧邻现有项目污水处理站TW001、锅炉房和盐酸罐区；第三列自北向南依次为办公楼、冲压车间、弯管车间。弯管车间以南即厂区西南角为本项目厂房所在位置。危废暂存间位于1#厂房东侧围墙边</w:t>
            </w:r>
            <w:r>
              <w:rPr>
                <w:rFonts w:hint="eastAsia"/>
                <w:color w:val="auto"/>
                <w:kern w:val="2"/>
                <w:sz w:val="21"/>
                <w:szCs w:val="21"/>
                <w:highlight w:val="none"/>
              </w:rPr>
              <w:t>，一般固废</w:t>
            </w:r>
            <w:r>
              <w:rPr>
                <w:rFonts w:hint="eastAsia"/>
                <w:color w:val="auto"/>
                <w:kern w:val="2"/>
                <w:sz w:val="21"/>
                <w:szCs w:val="21"/>
                <w:highlight w:val="none"/>
                <w:lang w:val="en-US" w:eastAsia="zh-CN"/>
              </w:rPr>
              <w:t>仓库位于3#厂房西侧，污水处理站TW002位于5#南侧</w:t>
            </w:r>
            <w:r>
              <w:rPr>
                <w:rFonts w:hint="eastAsia"/>
                <w:color w:val="auto"/>
                <w:kern w:val="2"/>
                <w:sz w:val="21"/>
                <w:szCs w:val="21"/>
                <w:highlight w:val="none"/>
              </w:rPr>
              <w:t>。</w:t>
            </w:r>
          </w:p>
          <w:p w14:paraId="7248CB68">
            <w:pPr>
              <w:pStyle w:val="10"/>
              <w:spacing w:before="0" w:after="0" w:line="360" w:lineRule="auto"/>
              <w:ind w:right="0" w:firstLine="420" w:firstLineChars="200"/>
              <w:jc w:val="left"/>
              <w:rPr>
                <w:b/>
                <w:color w:val="auto"/>
                <w:sz w:val="21"/>
                <w:szCs w:val="21"/>
                <w:highlight w:val="none"/>
              </w:rPr>
            </w:pPr>
            <w:r>
              <w:rPr>
                <w:rFonts w:hint="eastAsia"/>
                <w:color w:val="auto"/>
                <w:kern w:val="2"/>
                <w:sz w:val="21"/>
                <w:szCs w:val="21"/>
                <w:highlight w:val="none"/>
                <w:lang w:val="en-US" w:eastAsia="zh-CN"/>
              </w:rPr>
              <w:t>本项目车间呈L形，车间内部南侧为表面处理生产线，表面处理生产线东侧水汽烘干固化和喷塑固化两条烘干炉生产线，烘干炉东侧为喷塑车间</w:t>
            </w:r>
            <w:r>
              <w:rPr>
                <w:rFonts w:hint="eastAsia"/>
                <w:color w:val="auto"/>
                <w:kern w:val="2"/>
                <w:sz w:val="21"/>
                <w:szCs w:val="21"/>
                <w:highlight w:val="none"/>
                <w:lang w:eastAsia="zh-CN"/>
              </w:rPr>
              <w:t>。</w:t>
            </w:r>
            <w:r>
              <w:rPr>
                <w:color w:val="auto"/>
                <w:kern w:val="2"/>
                <w:sz w:val="21"/>
                <w:szCs w:val="21"/>
                <w:highlight w:val="none"/>
              </w:rPr>
              <w:t>项目整个生产过程物料沿厂区内部流水运行，</w:t>
            </w:r>
            <w:r>
              <w:rPr>
                <w:rFonts w:hint="eastAsia"/>
                <w:color w:val="auto"/>
                <w:kern w:val="2"/>
                <w:sz w:val="21"/>
                <w:szCs w:val="21"/>
                <w:highlight w:val="none"/>
                <w:lang w:val="en-US" w:eastAsia="zh-CN"/>
              </w:rPr>
              <w:t>生产线北侧为组装工段。项目</w:t>
            </w:r>
            <w:r>
              <w:rPr>
                <w:color w:val="auto"/>
                <w:kern w:val="2"/>
                <w:sz w:val="21"/>
                <w:szCs w:val="21"/>
                <w:highlight w:val="none"/>
              </w:rPr>
              <w:t>平面布置具有合理性。全厂平面布置图见附图</w:t>
            </w:r>
            <w:r>
              <w:rPr>
                <w:rFonts w:hint="eastAsia"/>
                <w:color w:val="auto"/>
                <w:kern w:val="2"/>
                <w:sz w:val="21"/>
                <w:szCs w:val="21"/>
                <w:highlight w:val="none"/>
                <w:lang w:val="en-US" w:eastAsia="zh-CN"/>
              </w:rPr>
              <w:t>5</w:t>
            </w:r>
            <w:r>
              <w:rPr>
                <w:color w:val="auto"/>
                <w:kern w:val="2"/>
                <w:sz w:val="21"/>
                <w:szCs w:val="21"/>
                <w:highlight w:val="none"/>
              </w:rPr>
              <w:t>。</w:t>
            </w:r>
          </w:p>
          <w:p w14:paraId="20718682">
            <w:pPr>
              <w:spacing w:line="360" w:lineRule="auto"/>
              <w:rPr>
                <w:b/>
                <w:color w:val="auto"/>
                <w:szCs w:val="21"/>
                <w:highlight w:val="none"/>
              </w:rPr>
            </w:pPr>
            <w:r>
              <w:rPr>
                <w:rFonts w:hint="eastAsia"/>
                <w:b/>
                <w:color w:val="auto"/>
                <w:szCs w:val="21"/>
                <w:highlight w:val="none"/>
                <w:lang w:val="en-US" w:eastAsia="zh-CN"/>
              </w:rPr>
              <w:t>10</w:t>
            </w:r>
            <w:r>
              <w:rPr>
                <w:b/>
                <w:color w:val="auto"/>
                <w:szCs w:val="21"/>
                <w:highlight w:val="none"/>
              </w:rPr>
              <w:t>、周边概况</w:t>
            </w:r>
          </w:p>
          <w:p w14:paraId="53EB5E0E">
            <w:pPr>
              <w:pStyle w:val="28"/>
              <w:spacing w:before="0" w:after="0" w:line="360" w:lineRule="auto"/>
              <w:ind w:right="0" w:firstLineChars="200"/>
              <w:rPr>
                <w:color w:val="FF0000"/>
                <w:highlight w:val="none"/>
              </w:rPr>
            </w:pPr>
            <w:r>
              <w:rPr>
                <w:rFonts w:eastAsia="宋体"/>
                <w:color w:val="auto"/>
                <w:sz w:val="21"/>
                <w:szCs w:val="21"/>
                <w:highlight w:val="none"/>
              </w:rPr>
              <w:t>本项目位于</w:t>
            </w:r>
            <w:r>
              <w:rPr>
                <w:rFonts w:hint="eastAsia" w:eastAsia="宋体"/>
                <w:color w:val="auto"/>
                <w:sz w:val="21"/>
                <w:szCs w:val="21"/>
                <w:highlight w:val="none"/>
                <w:lang w:val="en-US" w:eastAsia="zh-CN"/>
              </w:rPr>
              <w:t>江苏省宿迁市泗阳县李口镇全民创业园广州路3号</w:t>
            </w:r>
            <w:r>
              <w:rPr>
                <w:rFonts w:eastAsia="宋体"/>
                <w:color w:val="auto"/>
                <w:sz w:val="21"/>
                <w:szCs w:val="21"/>
                <w:highlight w:val="none"/>
              </w:rPr>
              <w:t>，</w:t>
            </w:r>
            <w:r>
              <w:rPr>
                <w:rFonts w:eastAsia="宋体"/>
                <w:color w:val="auto"/>
                <w:kern w:val="2"/>
                <w:sz w:val="21"/>
                <w:szCs w:val="21"/>
                <w:highlight w:val="none"/>
              </w:rPr>
              <w:t>本项目</w:t>
            </w:r>
            <w:r>
              <w:rPr>
                <w:rFonts w:hint="eastAsia" w:eastAsia="宋体"/>
                <w:color w:val="auto"/>
                <w:kern w:val="2"/>
                <w:sz w:val="21"/>
                <w:szCs w:val="21"/>
                <w:highlight w:val="none"/>
                <w:lang w:val="en-US" w:eastAsia="zh-CN"/>
              </w:rPr>
              <w:t>厂区</w:t>
            </w:r>
            <w:r>
              <w:rPr>
                <w:rFonts w:eastAsia="宋体"/>
                <w:color w:val="auto"/>
                <w:kern w:val="2"/>
                <w:sz w:val="21"/>
                <w:szCs w:val="21"/>
                <w:highlight w:val="none"/>
              </w:rPr>
              <w:t>东侧为</w:t>
            </w:r>
            <w:r>
              <w:rPr>
                <w:rFonts w:hint="eastAsia" w:eastAsia="宋体"/>
                <w:color w:val="auto"/>
                <w:kern w:val="2"/>
                <w:sz w:val="21"/>
                <w:szCs w:val="21"/>
                <w:highlight w:val="none"/>
                <w:lang w:val="en-US" w:eastAsia="zh-CN"/>
              </w:rPr>
              <w:t>李葛线路两旁为曹葛庄居民</w:t>
            </w:r>
            <w:r>
              <w:rPr>
                <w:rFonts w:hint="eastAsia" w:eastAsia="宋体"/>
                <w:color w:val="auto"/>
                <w:kern w:val="2"/>
                <w:sz w:val="21"/>
                <w:szCs w:val="21"/>
                <w:highlight w:val="none"/>
                <w:lang w:eastAsia="zh-CN"/>
              </w:rPr>
              <w:t>；</w:t>
            </w:r>
            <w:r>
              <w:rPr>
                <w:rFonts w:eastAsia="宋体"/>
                <w:color w:val="auto"/>
                <w:kern w:val="2"/>
                <w:sz w:val="21"/>
                <w:szCs w:val="21"/>
                <w:highlight w:val="none"/>
              </w:rPr>
              <w:t>南侧为</w:t>
            </w:r>
            <w:r>
              <w:rPr>
                <w:rFonts w:hint="eastAsia" w:eastAsia="宋体"/>
                <w:color w:val="auto"/>
                <w:kern w:val="2"/>
                <w:sz w:val="21"/>
                <w:szCs w:val="21"/>
                <w:highlight w:val="none"/>
                <w:lang w:val="en-US" w:eastAsia="zh-CN"/>
              </w:rPr>
              <w:t>其葛线，隔路为丽舍名都幼儿园和空地</w:t>
            </w:r>
            <w:r>
              <w:rPr>
                <w:rFonts w:hint="eastAsia" w:eastAsia="宋体"/>
                <w:color w:val="auto"/>
                <w:kern w:val="2"/>
                <w:sz w:val="21"/>
                <w:szCs w:val="21"/>
                <w:highlight w:val="none"/>
                <w:lang w:eastAsia="zh-CN"/>
              </w:rPr>
              <w:t>；</w:t>
            </w:r>
            <w:r>
              <w:rPr>
                <w:rFonts w:hint="eastAsia" w:eastAsia="宋体"/>
                <w:color w:val="auto"/>
                <w:kern w:val="2"/>
                <w:sz w:val="21"/>
                <w:szCs w:val="21"/>
                <w:highlight w:val="none"/>
              </w:rPr>
              <w:t>西侧为</w:t>
            </w:r>
            <w:r>
              <w:rPr>
                <w:rFonts w:hint="eastAsia" w:eastAsia="宋体"/>
                <w:color w:val="auto"/>
                <w:kern w:val="2"/>
                <w:sz w:val="21"/>
                <w:szCs w:val="21"/>
                <w:highlight w:val="none"/>
                <w:lang w:val="en-US" w:eastAsia="zh-CN"/>
              </w:rPr>
              <w:t>空地</w:t>
            </w:r>
            <w:r>
              <w:rPr>
                <w:rFonts w:hint="eastAsia" w:eastAsia="宋体"/>
                <w:color w:val="auto"/>
                <w:kern w:val="2"/>
                <w:sz w:val="21"/>
                <w:szCs w:val="21"/>
                <w:highlight w:val="none"/>
                <w:lang w:eastAsia="zh-CN"/>
              </w:rPr>
              <w:t>；</w:t>
            </w:r>
            <w:r>
              <w:rPr>
                <w:rFonts w:hint="eastAsia" w:eastAsia="宋体"/>
                <w:color w:val="auto"/>
                <w:kern w:val="2"/>
                <w:sz w:val="21"/>
                <w:szCs w:val="21"/>
                <w:highlight w:val="none"/>
              </w:rPr>
              <w:t>北侧为</w:t>
            </w:r>
            <w:r>
              <w:rPr>
                <w:rFonts w:hint="eastAsia" w:eastAsia="宋体"/>
                <w:color w:val="auto"/>
                <w:kern w:val="2"/>
                <w:sz w:val="21"/>
                <w:szCs w:val="21"/>
                <w:highlight w:val="none"/>
                <w:lang w:val="en-US" w:eastAsia="zh-CN"/>
              </w:rPr>
              <w:t>广州路，隔路为江苏港湾电气控制技术股份有限公司</w:t>
            </w:r>
            <w:r>
              <w:rPr>
                <w:rFonts w:eastAsia="宋体"/>
                <w:color w:val="auto"/>
                <w:kern w:val="2"/>
                <w:sz w:val="21"/>
                <w:szCs w:val="21"/>
                <w:highlight w:val="none"/>
              </w:rPr>
              <w:t>。</w:t>
            </w:r>
            <w:r>
              <w:rPr>
                <w:rFonts w:hint="eastAsia" w:eastAsia="宋体"/>
                <w:color w:val="auto"/>
                <w:kern w:val="2"/>
                <w:sz w:val="21"/>
                <w:szCs w:val="21"/>
                <w:highlight w:val="none"/>
              </w:rPr>
              <w:t>项目</w:t>
            </w:r>
            <w:r>
              <w:rPr>
                <w:rFonts w:hint="eastAsia" w:eastAsia="宋体"/>
                <w:color w:val="auto"/>
                <w:kern w:val="2"/>
                <w:sz w:val="21"/>
                <w:szCs w:val="21"/>
                <w:highlight w:val="none"/>
                <w:lang w:val="en-US" w:eastAsia="zh-CN"/>
              </w:rPr>
              <w:t>周边</w:t>
            </w:r>
            <w:r>
              <w:rPr>
                <w:rFonts w:hint="eastAsia" w:eastAsia="宋体"/>
                <w:color w:val="auto"/>
                <w:kern w:val="2"/>
                <w:sz w:val="21"/>
                <w:szCs w:val="21"/>
                <w:highlight w:val="none"/>
              </w:rPr>
              <w:t>500m范围</w:t>
            </w:r>
            <w:r>
              <w:rPr>
                <w:rFonts w:hint="eastAsia" w:eastAsia="宋体"/>
                <w:color w:val="auto"/>
                <w:kern w:val="2"/>
                <w:sz w:val="21"/>
                <w:szCs w:val="21"/>
                <w:highlight w:val="none"/>
                <w:lang w:val="en-US" w:eastAsia="zh-CN"/>
              </w:rPr>
              <w:t>内有7处</w:t>
            </w:r>
            <w:r>
              <w:rPr>
                <w:rFonts w:hint="eastAsia" w:eastAsia="宋体"/>
                <w:color w:val="auto"/>
                <w:kern w:val="2"/>
                <w:sz w:val="21"/>
                <w:szCs w:val="21"/>
                <w:highlight w:val="none"/>
              </w:rPr>
              <w:t>敏感目标</w:t>
            </w:r>
            <w:r>
              <w:rPr>
                <w:rFonts w:hint="eastAsia" w:eastAsia="宋体"/>
                <w:color w:val="auto"/>
                <w:kern w:val="2"/>
                <w:sz w:val="21"/>
                <w:szCs w:val="21"/>
                <w:highlight w:val="none"/>
                <w:lang w:eastAsia="zh-CN"/>
              </w:rPr>
              <w:t>，</w:t>
            </w:r>
            <w:r>
              <w:rPr>
                <w:rFonts w:hint="eastAsia" w:eastAsia="宋体"/>
                <w:color w:val="auto"/>
                <w:kern w:val="2"/>
                <w:sz w:val="21"/>
                <w:szCs w:val="21"/>
                <w:highlight w:val="none"/>
                <w:lang w:val="en-US" w:eastAsia="zh-CN"/>
              </w:rPr>
              <w:t>分别为曹葛庄、葛庄社区、李口镇小学、丽舍名都、丽舍名都幼儿园、散户居民、谢庄、小葛庄</w:t>
            </w:r>
            <w:r>
              <w:rPr>
                <w:rFonts w:hint="eastAsia" w:eastAsia="宋体"/>
                <w:color w:val="auto"/>
                <w:kern w:val="2"/>
                <w:sz w:val="21"/>
                <w:szCs w:val="21"/>
                <w:highlight w:val="none"/>
              </w:rPr>
              <w:t>。</w:t>
            </w:r>
            <w:r>
              <w:rPr>
                <w:rFonts w:eastAsia="宋体"/>
                <w:color w:val="auto"/>
                <w:sz w:val="21"/>
                <w:szCs w:val="21"/>
                <w:highlight w:val="none"/>
              </w:rPr>
              <w:t>项目周边环境概况图见附图</w:t>
            </w:r>
            <w:r>
              <w:rPr>
                <w:rFonts w:hint="eastAsia" w:eastAsia="宋体"/>
                <w:color w:val="auto"/>
                <w:sz w:val="21"/>
                <w:szCs w:val="21"/>
                <w:highlight w:val="none"/>
                <w:lang w:val="en-US" w:eastAsia="zh-CN"/>
              </w:rPr>
              <w:t>4。</w:t>
            </w:r>
          </w:p>
        </w:tc>
      </w:tr>
      <w:tr w14:paraId="6A5AA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46" w:type="dxa"/>
            <w:vAlign w:val="center"/>
          </w:tcPr>
          <w:p w14:paraId="39CF0925">
            <w:pPr>
              <w:pStyle w:val="25"/>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138" w:type="dxa"/>
          </w:tcPr>
          <w:p w14:paraId="3277321D">
            <w:pPr>
              <w:widowControl/>
              <w:snapToGrid w:val="0"/>
              <w:spacing w:line="360" w:lineRule="auto"/>
              <w:rPr>
                <w:b/>
                <w:color w:val="auto"/>
                <w:highlight w:val="none"/>
              </w:rPr>
            </w:pPr>
            <w:r>
              <w:rPr>
                <w:b/>
                <w:color w:val="auto"/>
                <w:highlight w:val="none"/>
              </w:rPr>
              <w:t>项目生产工艺流程</w:t>
            </w:r>
          </w:p>
          <w:p w14:paraId="75CE8ED8">
            <w:pPr>
              <w:widowControl/>
              <w:snapToGrid w:val="0"/>
              <w:spacing w:line="360" w:lineRule="auto"/>
              <w:ind w:firstLine="420" w:firstLineChars="200"/>
              <w:rPr>
                <w:rFonts w:hint="eastAsia"/>
                <w:color w:val="auto"/>
                <w:highlight w:val="none"/>
              </w:rPr>
            </w:pPr>
            <w:r>
              <w:rPr>
                <w:rFonts w:hint="eastAsia"/>
                <w:bCs/>
                <w:color w:val="auto"/>
                <w:highlight w:val="none"/>
              </w:rPr>
              <w:t>本项目生产工艺</w:t>
            </w:r>
            <w:r>
              <w:rPr>
                <w:rFonts w:hint="eastAsia"/>
                <w:bCs/>
                <w:color w:val="auto"/>
                <w:highlight w:val="none"/>
                <w:lang w:val="en-US" w:eastAsia="zh-CN"/>
              </w:rPr>
              <w:t>及产污环节如下</w:t>
            </w:r>
            <w:r>
              <w:rPr>
                <w:rFonts w:hint="eastAsia"/>
                <w:color w:val="auto"/>
                <w:highlight w:val="none"/>
              </w:rPr>
              <w:t>。</w:t>
            </w:r>
          </w:p>
          <w:p w14:paraId="093CE9DB">
            <w:pPr>
              <w:jc w:val="center"/>
              <w:rPr>
                <w:rFonts w:hint="eastAsia" w:eastAsia="宋体"/>
                <w:b/>
                <w:color w:val="auto"/>
                <w:highlight w:val="none"/>
                <w:lang w:eastAsia="zh-CN"/>
              </w:rPr>
            </w:pPr>
            <w:r>
              <w:rPr>
                <w:rFonts w:hint="eastAsia" w:eastAsia="宋体"/>
                <w:b/>
                <w:color w:val="auto"/>
                <w:highlight w:val="none"/>
                <w:lang w:eastAsia="zh-CN"/>
              </w:rPr>
              <w:drawing>
                <wp:inline distT="0" distB="0" distL="114300" distR="114300">
                  <wp:extent cx="4533900" cy="7105650"/>
                  <wp:effectExtent l="0" t="0" r="0" b="0"/>
                  <wp:docPr id="6" name="图片 6" descr="工艺流程-分子筛生产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艺流程-分子筛生产工艺"/>
                          <pic:cNvPicPr>
                            <a:picLocks noChangeAspect="1"/>
                          </pic:cNvPicPr>
                        </pic:nvPicPr>
                        <pic:blipFill>
                          <a:blip r:embed="rId11"/>
                          <a:stretch>
                            <a:fillRect/>
                          </a:stretch>
                        </pic:blipFill>
                        <pic:spPr>
                          <a:xfrm>
                            <a:off x="0" y="0"/>
                            <a:ext cx="4533900" cy="7105650"/>
                          </a:xfrm>
                          <a:prstGeom prst="rect">
                            <a:avLst/>
                          </a:prstGeom>
                        </pic:spPr>
                      </pic:pic>
                    </a:graphicData>
                  </a:graphic>
                </wp:inline>
              </w:drawing>
            </w:r>
          </w:p>
          <w:p w14:paraId="501EFBDB">
            <w:pPr>
              <w:spacing w:line="360" w:lineRule="auto"/>
              <w:jc w:val="center"/>
              <w:rPr>
                <w:b/>
                <w:color w:val="auto"/>
                <w:highlight w:val="none"/>
              </w:rPr>
            </w:pPr>
            <w:r>
              <w:rPr>
                <w:b/>
                <w:color w:val="auto"/>
                <w:highlight w:val="none"/>
              </w:rPr>
              <w:t>图</w:t>
            </w:r>
            <w:r>
              <w:rPr>
                <w:rFonts w:hint="eastAsia"/>
                <w:b/>
                <w:color w:val="auto"/>
                <w:highlight w:val="none"/>
              </w:rPr>
              <w:t>2</w:t>
            </w:r>
            <w:r>
              <w:rPr>
                <w:b/>
                <w:color w:val="auto"/>
                <w:highlight w:val="none"/>
              </w:rPr>
              <w:t>-</w:t>
            </w:r>
            <w:r>
              <w:rPr>
                <w:rFonts w:hint="eastAsia"/>
                <w:b/>
                <w:color w:val="auto"/>
                <w:highlight w:val="none"/>
                <w:lang w:val="en-US" w:eastAsia="zh-CN"/>
              </w:rPr>
              <w:t>3</w:t>
            </w:r>
            <w:r>
              <w:rPr>
                <w:rFonts w:hint="eastAsia"/>
                <w:b/>
                <w:color w:val="auto"/>
                <w:highlight w:val="none"/>
              </w:rPr>
              <w:t xml:space="preserve"> </w:t>
            </w:r>
            <w:r>
              <w:rPr>
                <w:rFonts w:hint="eastAsia"/>
                <w:b/>
                <w:color w:val="auto"/>
                <w:highlight w:val="none"/>
                <w:lang w:val="en-US" w:eastAsia="zh-CN"/>
              </w:rPr>
              <w:t>项目生产</w:t>
            </w:r>
            <w:r>
              <w:rPr>
                <w:b/>
                <w:color w:val="auto"/>
                <w:highlight w:val="none"/>
              </w:rPr>
              <w:t>工艺流程及产污环节图</w:t>
            </w:r>
          </w:p>
          <w:p w14:paraId="641E14DD">
            <w:pPr>
              <w:pStyle w:val="28"/>
              <w:spacing w:before="0" w:after="0" w:line="360" w:lineRule="auto"/>
              <w:ind w:right="0" w:firstLineChars="200"/>
              <w:rPr>
                <w:rFonts w:hint="default" w:ascii="Times New Roman" w:hAnsi="Times New Roman" w:eastAsia="宋体" w:cs="Times New Roman"/>
                <w:color w:val="auto"/>
                <w:sz w:val="21"/>
                <w:szCs w:val="16"/>
                <w:highlight w:val="none"/>
              </w:rPr>
            </w:pPr>
            <w:r>
              <w:rPr>
                <w:rFonts w:hint="default" w:ascii="Times New Roman" w:hAnsi="Times New Roman" w:eastAsia="宋体" w:cs="Times New Roman"/>
                <w:color w:val="auto"/>
                <w:sz w:val="21"/>
                <w:szCs w:val="16"/>
                <w:highlight w:val="none"/>
              </w:rPr>
              <w:t>工艺流程简述：</w:t>
            </w:r>
          </w:p>
          <w:p w14:paraId="396BC9F3">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本项目烤炉冲压件原料为现有项目成品。</w:t>
            </w:r>
          </w:p>
          <w:p w14:paraId="0DB4992D">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color w:val="auto"/>
                <w:sz w:val="21"/>
                <w:szCs w:val="21"/>
                <w:highlight w:val="none"/>
              </w:rPr>
              <w:t>①</w:t>
            </w:r>
            <w:r>
              <w:rPr>
                <w:rFonts w:hint="default" w:ascii="Times New Roman" w:hAnsi="Times New Roman" w:eastAsia="宋体" w:cs="Times New Roman"/>
                <w:bCs/>
                <w:color w:val="auto"/>
                <w:sz w:val="21"/>
                <w:szCs w:val="21"/>
                <w:highlight w:val="none"/>
              </w:rPr>
              <w:t>预脱脂：手工将需表面处理工件挂上表面处理生产线悬挂输送链，用浓度</w:t>
            </w:r>
            <w:r>
              <w:rPr>
                <w:rFonts w:hint="eastAsia" w:ascii="Times New Roman" w:hAnsi="Times New Roman" w:eastAsia="宋体" w:cs="Times New Roman"/>
                <w:bCs/>
                <w:color w:val="auto"/>
                <w:sz w:val="21"/>
                <w:szCs w:val="21"/>
                <w:highlight w:val="none"/>
                <w:lang w:val="en-US" w:eastAsia="zh-CN"/>
              </w:rPr>
              <w:t>约</w:t>
            </w:r>
            <w:r>
              <w:rPr>
                <w:rFonts w:hint="default" w:ascii="Times New Roman" w:hAnsi="Times New Roman" w:eastAsia="宋体" w:cs="Times New Roman"/>
                <w:bCs/>
                <w:color w:val="auto"/>
                <w:sz w:val="21"/>
                <w:szCs w:val="21"/>
                <w:highlight w:val="none"/>
              </w:rPr>
              <w:t>为</w:t>
            </w:r>
            <w:r>
              <w:rPr>
                <w:rFonts w:hint="eastAsia"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%的稀脱脂液自动喷淋工件</w:t>
            </w:r>
            <w:r>
              <w:rPr>
                <w:rFonts w:hint="eastAsia"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min进行预脱脂，槽液体积</w:t>
            </w:r>
            <w:r>
              <w:rPr>
                <w:rFonts w:hint="eastAsia" w:ascii="Times New Roman" w:hAnsi="Times New Roman" w:eastAsia="宋体" w:cs="Times New Roman"/>
                <w:bCs/>
                <w:color w:val="auto"/>
                <w:sz w:val="21"/>
                <w:szCs w:val="21"/>
                <w:highlight w:val="none"/>
                <w:lang w:val="en-US" w:eastAsia="zh-CN"/>
              </w:rPr>
              <w:t>2.288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，喷淋流量</w:t>
            </w:r>
            <w:r>
              <w:rPr>
                <w:rFonts w:hint="eastAsia" w:ascii="Times New Roman" w:hAnsi="Times New Roman" w:eastAsia="宋体" w:cs="Times New Roman"/>
                <w:bCs/>
                <w:color w:val="auto"/>
                <w:sz w:val="21"/>
                <w:szCs w:val="21"/>
                <w:highlight w:val="none"/>
                <w:lang w:val="en-US" w:eastAsia="zh-CN"/>
              </w:rPr>
              <w:t>29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eastAsia" w:eastAsia="宋体" w:cs="Times New Roman"/>
                <w:bCs/>
                <w:color w:val="auto"/>
                <w:sz w:val="21"/>
                <w:szCs w:val="21"/>
                <w:highlight w:val="none"/>
                <w:lang w:val="en-US" w:eastAsia="zh-CN"/>
              </w:rPr>
              <w:t>每天</w:t>
            </w:r>
            <w:r>
              <w:rPr>
                <w:rFonts w:hint="default" w:ascii="Times New Roman" w:hAnsi="Times New Roman" w:eastAsia="宋体" w:cs="Times New Roman"/>
                <w:bCs/>
                <w:color w:val="auto"/>
                <w:sz w:val="21"/>
                <w:szCs w:val="21"/>
                <w:highlight w:val="none"/>
              </w:rPr>
              <w:t>补充蒸发损耗的水</w:t>
            </w:r>
            <w:r>
              <w:rPr>
                <w:rFonts w:hint="eastAsia" w:ascii="Times New Roman" w:hAnsi="Times New Roman" w:eastAsia="宋体" w:cs="Times New Roman"/>
                <w:bCs/>
                <w:color w:val="auto"/>
                <w:sz w:val="21"/>
                <w:szCs w:val="21"/>
                <w:highlight w:val="none"/>
                <w:lang w:val="en-US" w:eastAsia="zh-CN"/>
              </w:rPr>
              <w:t>和</w:t>
            </w:r>
            <w:r>
              <w:rPr>
                <w:rFonts w:hint="default" w:ascii="Times New Roman" w:hAnsi="Times New Roman" w:eastAsia="宋体" w:cs="Times New Roman"/>
                <w:bCs/>
                <w:color w:val="auto"/>
                <w:sz w:val="21"/>
                <w:szCs w:val="21"/>
                <w:highlight w:val="none"/>
              </w:rPr>
              <w:t>脱脂粉，</w:t>
            </w:r>
            <w:r>
              <w:rPr>
                <w:rFonts w:hint="eastAsia" w:ascii="Times New Roman" w:hAnsi="Times New Roman" w:eastAsia="宋体" w:cs="Times New Roman"/>
                <w:bCs/>
                <w:color w:val="auto"/>
                <w:sz w:val="21"/>
                <w:szCs w:val="21"/>
                <w:highlight w:val="none"/>
                <w:lang w:val="en-US" w:eastAsia="zh-CN"/>
              </w:rPr>
              <w:t>定期清理槽渣S1，</w:t>
            </w:r>
            <w:r>
              <w:rPr>
                <w:rFonts w:hint="default" w:ascii="Times New Roman" w:hAnsi="Times New Roman" w:eastAsia="宋体" w:cs="Times New Roman"/>
                <w:bCs/>
                <w:color w:val="auto"/>
                <w:sz w:val="21"/>
                <w:szCs w:val="21"/>
                <w:highlight w:val="none"/>
              </w:rPr>
              <w:t>一年</w:t>
            </w:r>
            <w:r>
              <w:rPr>
                <w:rFonts w:hint="eastAsia" w:eastAsia="宋体" w:cs="Times New Roman"/>
                <w:bCs/>
                <w:color w:val="auto"/>
                <w:sz w:val="21"/>
                <w:szCs w:val="21"/>
                <w:highlight w:val="none"/>
                <w:lang w:val="en-US" w:eastAsia="zh-CN"/>
              </w:rPr>
              <w:t>更换一次</w:t>
            </w:r>
            <w:r>
              <w:rPr>
                <w:rFonts w:hint="default" w:ascii="Times New Roman" w:hAnsi="Times New Roman" w:eastAsia="宋体" w:cs="Times New Roman"/>
                <w:bCs/>
                <w:color w:val="auto"/>
                <w:sz w:val="21"/>
                <w:szCs w:val="21"/>
                <w:highlight w:val="none"/>
              </w:rPr>
              <w:t>槽液</w:t>
            </w:r>
            <w:r>
              <w:rPr>
                <w:rFonts w:hint="eastAsia"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以满足处理要求。</w:t>
            </w:r>
            <w:r>
              <w:rPr>
                <w:rFonts w:hint="eastAsia" w:eastAsia="宋体" w:cs="Times New Roman"/>
                <w:bCs/>
                <w:color w:val="auto"/>
                <w:sz w:val="21"/>
                <w:szCs w:val="21"/>
                <w:highlight w:val="none"/>
                <w:lang w:val="en-US" w:eastAsia="zh-CN"/>
              </w:rPr>
              <w:t>更换的槽液作为预脱脂废水W1</w:t>
            </w:r>
            <w:r>
              <w:rPr>
                <w:rFonts w:hint="default" w:ascii="Times New Roman" w:hAnsi="Times New Roman" w:eastAsia="宋体" w:cs="Times New Roman"/>
                <w:bCs/>
                <w:color w:val="auto"/>
                <w:sz w:val="21"/>
                <w:szCs w:val="21"/>
                <w:highlight w:val="none"/>
              </w:rPr>
              <w:t>。</w:t>
            </w:r>
          </w:p>
          <w:p w14:paraId="64F8A897">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③脱脂：用浓度为</w:t>
            </w:r>
            <w:r>
              <w:rPr>
                <w:rFonts w:hint="eastAsia" w:eastAsia="宋体" w:cs="Times New Roman"/>
                <w:bCs/>
                <w:color w:val="auto"/>
                <w:sz w:val="21"/>
                <w:szCs w:val="21"/>
                <w:highlight w:val="none"/>
                <w:lang w:val="en-US" w:eastAsia="zh-CN"/>
              </w:rPr>
              <w:t>20</w:t>
            </w:r>
            <w:r>
              <w:rPr>
                <w:rFonts w:hint="default" w:ascii="Times New Roman" w:hAnsi="Times New Roman" w:eastAsia="宋体" w:cs="Times New Roman"/>
                <w:bCs/>
                <w:color w:val="auto"/>
                <w:sz w:val="21"/>
                <w:szCs w:val="21"/>
                <w:highlight w:val="none"/>
              </w:rPr>
              <w:t>%的脱脂液浸泡工件，进行全脱脂，时间</w:t>
            </w:r>
            <w:r>
              <w:rPr>
                <w:rFonts w:hint="eastAsia"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min，脱脂槽体积</w:t>
            </w:r>
            <w:r>
              <w:rPr>
                <w:rFonts w:hint="eastAsia" w:eastAsia="宋体" w:cs="Times New Roman"/>
                <w:bCs/>
                <w:color w:val="auto"/>
                <w:sz w:val="21"/>
                <w:szCs w:val="21"/>
                <w:highlight w:val="none"/>
                <w:lang w:val="en-US" w:eastAsia="zh-CN"/>
              </w:rPr>
              <w:t>8.64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w:t>
            </w:r>
            <w:r>
              <w:rPr>
                <w:rFonts w:hint="eastAsia" w:eastAsia="宋体" w:cs="Times New Roman"/>
                <w:bCs/>
                <w:color w:val="auto"/>
                <w:sz w:val="21"/>
                <w:szCs w:val="21"/>
                <w:highlight w:val="none"/>
                <w:lang w:val="en-US" w:eastAsia="zh-CN"/>
              </w:rPr>
              <w:t>每天</w:t>
            </w:r>
            <w:r>
              <w:rPr>
                <w:rFonts w:hint="default" w:ascii="Times New Roman" w:hAnsi="Times New Roman" w:eastAsia="宋体" w:cs="Times New Roman"/>
                <w:bCs/>
                <w:color w:val="auto"/>
                <w:sz w:val="21"/>
                <w:szCs w:val="21"/>
                <w:highlight w:val="none"/>
              </w:rPr>
              <w:t>补充蒸发损耗的水</w:t>
            </w:r>
            <w:r>
              <w:rPr>
                <w:rFonts w:hint="eastAsia" w:eastAsia="宋体" w:cs="Times New Roman"/>
                <w:bCs/>
                <w:color w:val="auto"/>
                <w:sz w:val="21"/>
                <w:szCs w:val="21"/>
                <w:highlight w:val="none"/>
                <w:lang w:val="en-US" w:eastAsia="zh-CN"/>
              </w:rPr>
              <w:t>和</w:t>
            </w:r>
            <w:r>
              <w:rPr>
                <w:rFonts w:hint="default" w:ascii="Times New Roman" w:hAnsi="Times New Roman" w:eastAsia="宋体" w:cs="Times New Roman"/>
                <w:bCs/>
                <w:color w:val="auto"/>
                <w:sz w:val="21"/>
                <w:szCs w:val="21"/>
                <w:highlight w:val="none"/>
              </w:rPr>
              <w:t>脱脂粉，</w:t>
            </w:r>
            <w:r>
              <w:rPr>
                <w:rFonts w:hint="eastAsia" w:eastAsia="宋体" w:cs="Times New Roman"/>
                <w:bCs/>
                <w:color w:val="auto"/>
                <w:sz w:val="21"/>
                <w:szCs w:val="21"/>
                <w:highlight w:val="none"/>
                <w:lang w:val="en-US" w:eastAsia="zh-CN"/>
              </w:rPr>
              <w:t>定期</w:t>
            </w:r>
            <w:r>
              <w:rPr>
                <w:rFonts w:hint="default" w:ascii="Times New Roman" w:hAnsi="Times New Roman" w:eastAsia="宋体" w:cs="Times New Roman"/>
                <w:bCs/>
                <w:color w:val="auto"/>
                <w:sz w:val="21"/>
                <w:szCs w:val="21"/>
                <w:highlight w:val="none"/>
              </w:rPr>
              <w:t>清理槽渣</w:t>
            </w:r>
            <w:r>
              <w:rPr>
                <w:rFonts w:hint="eastAsia" w:eastAsia="宋体" w:cs="Times New Roman"/>
                <w:bCs/>
                <w:color w:val="auto"/>
                <w:sz w:val="21"/>
                <w:szCs w:val="21"/>
                <w:highlight w:val="none"/>
                <w:lang w:val="en-US" w:eastAsia="zh-CN"/>
              </w:rPr>
              <w:t>S2</w:t>
            </w:r>
            <w:r>
              <w:rPr>
                <w:rFonts w:hint="default" w:ascii="Times New Roman" w:hAnsi="Times New Roman" w:eastAsia="宋体" w:cs="Times New Roman"/>
                <w:bCs/>
                <w:color w:val="auto"/>
                <w:sz w:val="21"/>
                <w:szCs w:val="21"/>
                <w:highlight w:val="none"/>
              </w:rPr>
              <w:t>，以满足处理要求</w:t>
            </w: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槽液不更换</w:t>
            </w:r>
            <w:r>
              <w:rPr>
                <w:rFonts w:hint="default" w:ascii="Times New Roman" w:hAnsi="Times New Roman" w:eastAsia="宋体" w:cs="Times New Roman"/>
                <w:bCs/>
                <w:color w:val="auto"/>
                <w:sz w:val="21"/>
                <w:szCs w:val="21"/>
                <w:highlight w:val="none"/>
              </w:rPr>
              <w:t>。</w:t>
            </w:r>
          </w:p>
          <w:p w14:paraId="3B5E2FF3">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③第一次水洗：用自来水</w:t>
            </w:r>
            <w:r>
              <w:rPr>
                <w:rFonts w:hint="eastAsia" w:eastAsia="宋体" w:cs="Times New Roman"/>
                <w:bCs/>
                <w:color w:val="auto"/>
                <w:sz w:val="21"/>
                <w:szCs w:val="21"/>
                <w:highlight w:val="none"/>
                <w:lang w:val="en-US" w:eastAsia="zh-CN"/>
              </w:rPr>
              <w:t>溢流</w:t>
            </w:r>
            <w:r>
              <w:rPr>
                <w:rFonts w:hint="default" w:ascii="Times New Roman" w:hAnsi="Times New Roman" w:eastAsia="宋体" w:cs="Times New Roman"/>
                <w:bCs/>
                <w:color w:val="auto"/>
                <w:sz w:val="21"/>
                <w:szCs w:val="21"/>
                <w:highlight w:val="none"/>
              </w:rPr>
              <w:t>浸泡清洗工件上残留的脱脂液</w:t>
            </w:r>
            <w:r>
              <w:rPr>
                <w:rFonts w:hint="eastAsia"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min，槽液体积</w:t>
            </w:r>
            <w:r>
              <w:rPr>
                <w:rFonts w:hint="eastAsia" w:eastAsia="宋体" w:cs="Times New Roman"/>
                <w:bCs/>
                <w:color w:val="auto"/>
                <w:sz w:val="21"/>
                <w:szCs w:val="21"/>
                <w:highlight w:val="none"/>
                <w:lang w:val="en-US" w:eastAsia="zh-CN"/>
              </w:rPr>
              <w:t>3.504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，重复使用，</w:t>
            </w:r>
            <w:r>
              <w:rPr>
                <w:rFonts w:hint="eastAsia" w:eastAsia="宋体" w:cs="Times New Roman"/>
                <w:bCs/>
                <w:color w:val="auto"/>
                <w:sz w:val="21"/>
                <w:szCs w:val="21"/>
                <w:highlight w:val="none"/>
                <w:lang w:val="en-US" w:eastAsia="zh-CN"/>
              </w:rPr>
              <w:t>每天</w:t>
            </w:r>
            <w:r>
              <w:rPr>
                <w:rFonts w:hint="default" w:ascii="Times New Roman" w:hAnsi="Times New Roman" w:eastAsia="宋体" w:cs="Times New Roman"/>
                <w:bCs/>
                <w:color w:val="auto"/>
                <w:sz w:val="21"/>
                <w:szCs w:val="21"/>
                <w:highlight w:val="none"/>
              </w:rPr>
              <w:t>补充蒸发损耗的水</w:t>
            </w:r>
            <w:r>
              <w:rPr>
                <w:rFonts w:hint="eastAsia" w:eastAsia="宋体" w:cs="Times New Roman"/>
                <w:bCs/>
                <w:color w:val="auto"/>
                <w:sz w:val="21"/>
                <w:szCs w:val="21"/>
                <w:highlight w:val="none"/>
                <w:lang w:val="en-US" w:eastAsia="zh-CN"/>
              </w:rPr>
              <w:t>及溢流的水</w:t>
            </w:r>
            <w:r>
              <w:rPr>
                <w:rFonts w:hint="default" w:ascii="Times New Roman" w:hAnsi="Times New Roman" w:eastAsia="宋体" w:cs="Times New Roman"/>
                <w:bCs/>
                <w:color w:val="auto"/>
                <w:sz w:val="21"/>
                <w:szCs w:val="21"/>
                <w:highlight w:val="none"/>
              </w:rPr>
              <w:t>，清洗水</w:t>
            </w:r>
            <w:r>
              <w:rPr>
                <w:rFonts w:hint="eastAsia" w:eastAsia="宋体" w:cs="Times New Roman"/>
                <w:bCs/>
                <w:color w:val="auto"/>
                <w:sz w:val="21"/>
                <w:szCs w:val="21"/>
                <w:highlight w:val="none"/>
                <w:lang w:val="en-US" w:eastAsia="zh-CN"/>
              </w:rPr>
              <w:t>15天</w:t>
            </w:r>
            <w:r>
              <w:rPr>
                <w:rFonts w:hint="default" w:ascii="Times New Roman" w:hAnsi="Times New Roman" w:eastAsia="宋体" w:cs="Times New Roman"/>
                <w:bCs/>
                <w:color w:val="auto"/>
                <w:sz w:val="21"/>
                <w:szCs w:val="21"/>
                <w:highlight w:val="none"/>
              </w:rPr>
              <w:t>排放一次，产生水洗废水W</w:t>
            </w:r>
            <w:r>
              <w:rPr>
                <w:rFonts w:hint="eastAsia"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w:t>
            </w:r>
          </w:p>
          <w:p w14:paraId="3FAEB20A">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④第二次水洗：再次用自来水喷淋清洗工件上残留的脱脂液。喷淋时间</w:t>
            </w:r>
            <w:r>
              <w:rPr>
                <w:rFonts w:hint="eastAsia"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min，喷淋流量</w:t>
            </w:r>
            <w:r>
              <w:rPr>
                <w:rFonts w:hint="eastAsia" w:eastAsia="宋体" w:cs="Times New Roman"/>
                <w:bCs/>
                <w:color w:val="auto"/>
                <w:sz w:val="21"/>
                <w:szCs w:val="21"/>
                <w:highlight w:val="none"/>
                <w:lang w:val="en-US" w:eastAsia="zh-CN"/>
              </w:rPr>
              <w:t>29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/h，槽液体积</w:t>
            </w:r>
            <w:r>
              <w:rPr>
                <w:rFonts w:hint="eastAsia" w:eastAsia="宋体" w:cs="Times New Roman"/>
                <w:bCs/>
                <w:color w:val="auto"/>
                <w:sz w:val="21"/>
                <w:szCs w:val="21"/>
                <w:highlight w:val="none"/>
                <w:lang w:val="en-US" w:eastAsia="zh-CN"/>
              </w:rPr>
              <w:t>1.6</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，循环使用，</w:t>
            </w:r>
            <w:r>
              <w:rPr>
                <w:rFonts w:hint="eastAsia" w:eastAsia="宋体" w:cs="Times New Roman"/>
                <w:bCs/>
                <w:color w:val="auto"/>
                <w:sz w:val="21"/>
                <w:szCs w:val="21"/>
                <w:highlight w:val="none"/>
                <w:lang w:val="en-US" w:eastAsia="zh-CN"/>
              </w:rPr>
              <w:t>清洗水采取溢流方式，每天</w:t>
            </w:r>
            <w:r>
              <w:rPr>
                <w:rFonts w:hint="default" w:ascii="Times New Roman" w:hAnsi="Times New Roman" w:eastAsia="宋体" w:cs="Times New Roman"/>
                <w:bCs/>
                <w:color w:val="auto"/>
                <w:sz w:val="21"/>
                <w:szCs w:val="21"/>
                <w:highlight w:val="none"/>
              </w:rPr>
              <w:t>补充蒸发损耗的水</w:t>
            </w:r>
            <w:r>
              <w:rPr>
                <w:rFonts w:hint="eastAsia" w:eastAsia="宋体" w:cs="Times New Roman"/>
                <w:bCs/>
                <w:color w:val="auto"/>
                <w:sz w:val="21"/>
                <w:szCs w:val="21"/>
                <w:highlight w:val="none"/>
                <w:lang w:val="en-US" w:eastAsia="zh-CN"/>
              </w:rPr>
              <w:t>及溢流的水量</w:t>
            </w:r>
            <w:r>
              <w:rPr>
                <w:rFonts w:hint="default" w:ascii="Times New Roman" w:hAnsi="Times New Roman" w:eastAsia="宋体" w:cs="Times New Roman"/>
                <w:bCs/>
                <w:color w:val="auto"/>
                <w:sz w:val="21"/>
                <w:szCs w:val="21"/>
                <w:highlight w:val="none"/>
              </w:rPr>
              <w:t>，清洗水一</w:t>
            </w:r>
            <w:r>
              <w:rPr>
                <w:rFonts w:hint="eastAsia" w:eastAsia="宋体" w:cs="Times New Roman"/>
                <w:bCs/>
                <w:color w:val="auto"/>
                <w:sz w:val="21"/>
                <w:szCs w:val="21"/>
                <w:highlight w:val="none"/>
                <w:lang w:val="en-US" w:eastAsia="zh-CN"/>
              </w:rPr>
              <w:t>周</w:t>
            </w:r>
            <w:r>
              <w:rPr>
                <w:rFonts w:hint="default" w:ascii="Times New Roman" w:hAnsi="Times New Roman" w:eastAsia="宋体" w:cs="Times New Roman"/>
                <w:bCs/>
                <w:color w:val="auto"/>
                <w:sz w:val="21"/>
                <w:szCs w:val="21"/>
                <w:highlight w:val="none"/>
              </w:rPr>
              <w:t>排放一次，产生水洗废水W</w:t>
            </w:r>
            <w:r>
              <w:rPr>
                <w:rFonts w:hint="eastAsia"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w:t>
            </w:r>
          </w:p>
          <w:p w14:paraId="2DAE949B">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⑤表调：用浓度为</w:t>
            </w:r>
            <w:r>
              <w:rPr>
                <w:rFonts w:hint="eastAsia" w:eastAsia="宋体" w:cs="Times New Roman"/>
                <w:bCs/>
                <w:color w:val="auto"/>
                <w:sz w:val="21"/>
                <w:szCs w:val="21"/>
                <w:highlight w:val="none"/>
                <w:lang w:val="en-US" w:eastAsia="zh-CN"/>
              </w:rPr>
              <w:t>6.25</w:t>
            </w:r>
            <w:r>
              <w:rPr>
                <w:rFonts w:hint="default" w:ascii="Times New Roman" w:hAnsi="Times New Roman" w:eastAsia="宋体" w:cs="Times New Roman"/>
                <w:bCs/>
                <w:color w:val="auto"/>
                <w:sz w:val="21"/>
                <w:szCs w:val="21"/>
                <w:highlight w:val="none"/>
              </w:rPr>
              <w:t>%的表调液喷淋工件，进行表面调整处理，时间</w:t>
            </w:r>
            <w:r>
              <w:rPr>
                <w:rFonts w:hint="eastAsia"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min，喷淋流量2</w:t>
            </w:r>
            <w:r>
              <w:rPr>
                <w:rFonts w:hint="eastAsia" w:eastAsia="宋体" w:cs="Times New Roman"/>
                <w:bCs/>
                <w:color w:val="auto"/>
                <w:sz w:val="21"/>
                <w:szCs w:val="21"/>
                <w:highlight w:val="none"/>
                <w:lang w:val="en-US" w:eastAsia="zh-CN"/>
              </w:rPr>
              <w:t>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/h。槽液体积</w:t>
            </w:r>
            <w:r>
              <w:rPr>
                <w:rFonts w:hint="eastAsia" w:eastAsia="宋体" w:cs="Times New Roman"/>
                <w:bCs/>
                <w:color w:val="auto"/>
                <w:sz w:val="21"/>
                <w:szCs w:val="21"/>
                <w:highlight w:val="none"/>
                <w:lang w:val="en-US" w:eastAsia="zh-CN"/>
              </w:rPr>
              <w:t>1.6</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w:t>
            </w:r>
            <w:r>
              <w:rPr>
                <w:rFonts w:hint="eastAsia" w:eastAsia="宋体" w:cs="Times New Roman"/>
                <w:bCs/>
                <w:color w:val="auto"/>
                <w:sz w:val="21"/>
                <w:szCs w:val="21"/>
                <w:highlight w:val="none"/>
                <w:lang w:val="en-US" w:eastAsia="zh-CN"/>
              </w:rPr>
              <w:t>每天</w:t>
            </w:r>
            <w:r>
              <w:rPr>
                <w:rFonts w:hint="default" w:ascii="Times New Roman" w:hAnsi="Times New Roman" w:eastAsia="宋体" w:cs="Times New Roman"/>
                <w:bCs/>
                <w:color w:val="auto"/>
                <w:sz w:val="21"/>
                <w:szCs w:val="21"/>
                <w:highlight w:val="none"/>
              </w:rPr>
              <w:t>补充蒸发损耗的水</w:t>
            </w:r>
            <w:r>
              <w:rPr>
                <w:rFonts w:hint="eastAsia" w:eastAsia="宋体" w:cs="Times New Roman"/>
                <w:bCs/>
                <w:color w:val="auto"/>
                <w:sz w:val="21"/>
                <w:szCs w:val="21"/>
                <w:highlight w:val="none"/>
                <w:lang w:val="en-US" w:eastAsia="zh-CN"/>
              </w:rPr>
              <w:t>和</w:t>
            </w:r>
            <w:r>
              <w:rPr>
                <w:rFonts w:hint="default" w:ascii="Times New Roman" w:hAnsi="Times New Roman" w:eastAsia="宋体" w:cs="Times New Roman"/>
                <w:bCs/>
                <w:color w:val="auto"/>
                <w:sz w:val="21"/>
                <w:szCs w:val="21"/>
                <w:highlight w:val="none"/>
              </w:rPr>
              <w:t>表调剂，</w:t>
            </w:r>
            <w:r>
              <w:rPr>
                <w:rFonts w:hint="eastAsia" w:eastAsia="宋体" w:cs="Times New Roman"/>
                <w:bCs/>
                <w:color w:val="auto"/>
                <w:sz w:val="21"/>
                <w:szCs w:val="21"/>
                <w:highlight w:val="none"/>
                <w:lang w:val="en-US" w:eastAsia="zh-CN"/>
              </w:rPr>
              <w:t>定期</w:t>
            </w:r>
            <w:r>
              <w:rPr>
                <w:rFonts w:hint="default" w:ascii="Times New Roman" w:hAnsi="Times New Roman" w:eastAsia="宋体" w:cs="Times New Roman"/>
                <w:bCs/>
                <w:color w:val="auto"/>
                <w:sz w:val="21"/>
                <w:szCs w:val="21"/>
                <w:highlight w:val="none"/>
              </w:rPr>
              <w:t>清理槽渣</w:t>
            </w:r>
            <w:r>
              <w:rPr>
                <w:rFonts w:hint="eastAsia" w:eastAsia="宋体" w:cs="Times New Roman"/>
                <w:bCs/>
                <w:color w:val="auto"/>
                <w:sz w:val="21"/>
                <w:szCs w:val="21"/>
                <w:highlight w:val="none"/>
                <w:lang w:val="en-US" w:eastAsia="zh-CN"/>
              </w:rPr>
              <w:t>S3</w:t>
            </w:r>
            <w:r>
              <w:rPr>
                <w:rFonts w:hint="eastAsia"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以满足处理要求</w:t>
            </w: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槽液不更换。</w:t>
            </w:r>
          </w:p>
          <w:p w14:paraId="182A9412">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⑥皮膜：皮膜目的就是提高涂层与工件间的结合力。皮膜后工件表面会形成一层0.5~1.0μm的化学氧化膜，该膜层有许多细小的腐蚀孔，涂层材料渗入微孔中，经固化处理，喷涂材料将牢牢嵌入氧化层微孔中，使涂层与基体很难拔离，从而实现喷涂材料对工件的长期保护。用PH值为4.2的皮膜液浸泡工件，时间</w:t>
            </w:r>
            <w:r>
              <w:rPr>
                <w:rFonts w:hint="eastAsia"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min，槽液体积</w:t>
            </w:r>
            <w:r>
              <w:rPr>
                <w:rFonts w:hint="eastAsia" w:eastAsia="宋体" w:cs="Times New Roman"/>
                <w:bCs/>
                <w:color w:val="auto"/>
                <w:sz w:val="21"/>
                <w:szCs w:val="21"/>
                <w:highlight w:val="none"/>
                <w:lang w:val="en-US" w:eastAsia="zh-CN"/>
              </w:rPr>
              <w:t>8.64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w:t>
            </w:r>
            <w:r>
              <w:rPr>
                <w:rFonts w:hint="eastAsia" w:eastAsia="宋体" w:cs="Times New Roman"/>
                <w:bCs/>
                <w:color w:val="auto"/>
                <w:sz w:val="21"/>
                <w:szCs w:val="21"/>
                <w:highlight w:val="none"/>
                <w:lang w:val="en-US" w:eastAsia="zh-CN"/>
              </w:rPr>
              <w:t>每天</w:t>
            </w:r>
            <w:r>
              <w:rPr>
                <w:rFonts w:hint="default" w:ascii="Times New Roman" w:hAnsi="Times New Roman" w:eastAsia="宋体" w:cs="Times New Roman"/>
                <w:bCs/>
                <w:color w:val="auto"/>
                <w:sz w:val="21"/>
                <w:szCs w:val="21"/>
                <w:highlight w:val="none"/>
              </w:rPr>
              <w:t>补充蒸发损耗的水</w:t>
            </w:r>
            <w:r>
              <w:rPr>
                <w:rFonts w:hint="eastAsia" w:eastAsia="宋体" w:cs="Times New Roman"/>
                <w:bCs/>
                <w:color w:val="auto"/>
                <w:sz w:val="21"/>
                <w:szCs w:val="21"/>
                <w:highlight w:val="none"/>
                <w:lang w:val="en-US" w:eastAsia="zh-CN"/>
              </w:rPr>
              <w:t>和</w:t>
            </w:r>
            <w:r>
              <w:rPr>
                <w:rFonts w:hint="default" w:ascii="Times New Roman" w:hAnsi="Times New Roman" w:eastAsia="宋体" w:cs="Times New Roman"/>
                <w:bCs/>
                <w:color w:val="auto"/>
                <w:sz w:val="21"/>
                <w:szCs w:val="21"/>
                <w:highlight w:val="none"/>
              </w:rPr>
              <w:t>皮膜液，</w:t>
            </w:r>
            <w:r>
              <w:rPr>
                <w:rFonts w:hint="eastAsia" w:eastAsia="宋体" w:cs="Times New Roman"/>
                <w:bCs/>
                <w:color w:val="auto"/>
                <w:sz w:val="21"/>
                <w:szCs w:val="21"/>
                <w:highlight w:val="none"/>
                <w:lang w:val="en-US" w:eastAsia="zh-CN"/>
              </w:rPr>
              <w:t>定期清理S4</w:t>
            </w:r>
            <w:r>
              <w:rPr>
                <w:rFonts w:hint="default" w:ascii="Times New Roman" w:hAnsi="Times New Roman" w:eastAsia="宋体" w:cs="Times New Roman"/>
                <w:bCs/>
                <w:color w:val="auto"/>
                <w:sz w:val="21"/>
                <w:szCs w:val="21"/>
                <w:highlight w:val="none"/>
              </w:rPr>
              <w:t>槽渣</w:t>
            </w:r>
            <w:r>
              <w:rPr>
                <w:rFonts w:hint="eastAsia"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以满足处理要求</w:t>
            </w: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槽液不更换</w:t>
            </w:r>
            <w:r>
              <w:rPr>
                <w:rFonts w:hint="default" w:ascii="Times New Roman" w:hAnsi="Times New Roman" w:eastAsia="宋体" w:cs="Times New Roman"/>
                <w:bCs/>
                <w:color w:val="auto"/>
                <w:sz w:val="21"/>
                <w:szCs w:val="21"/>
                <w:highlight w:val="none"/>
              </w:rPr>
              <w:t>。皮膜工段所用热水</w:t>
            </w:r>
            <w:r>
              <w:rPr>
                <w:rFonts w:hint="eastAsia" w:eastAsia="宋体" w:cs="Times New Roman"/>
                <w:bCs/>
                <w:color w:val="auto"/>
                <w:sz w:val="21"/>
                <w:szCs w:val="21"/>
                <w:highlight w:val="none"/>
                <w:lang w:val="en-US" w:eastAsia="zh-CN"/>
              </w:rPr>
              <w:t>有厂区现有项目热水锅炉提供加热，不新增污染物</w:t>
            </w:r>
            <w:r>
              <w:rPr>
                <w:rFonts w:hint="default" w:ascii="Times New Roman" w:hAnsi="Times New Roman" w:eastAsia="宋体" w:cs="Times New Roman"/>
                <w:bCs/>
                <w:color w:val="auto"/>
                <w:sz w:val="21"/>
                <w:szCs w:val="21"/>
                <w:highlight w:val="none"/>
              </w:rPr>
              <w:t>。</w:t>
            </w:r>
            <w:r>
              <w:rPr>
                <w:rFonts w:hint="eastAsia" w:eastAsia="宋体" w:cs="Times New Roman"/>
                <w:bCs/>
                <w:color w:val="auto"/>
                <w:sz w:val="21"/>
                <w:szCs w:val="21"/>
                <w:highlight w:val="none"/>
                <w:lang w:val="en-US" w:eastAsia="zh-CN"/>
              </w:rPr>
              <w:t>项目所用皮膜液中含磷酸10~20%、硝酸5~10%，使用槽液中磷酸百分比为1.8~3.5%，硝酸百分比为0.9~1.8%，磷酸为难挥发酸，且浓度较低，磷酸雾产生量忽略不计，又根据《污染源源强核算技术指南 电镀》（HJ984-2018）表B.1“在质量百分浓度≤3%稀硝酸溶液中清洗铝、不锈钢钝化、锌镀层出光等氮氧化物产生量可忽略”，故皮膜工序产生的酸雾可忽略不计。</w:t>
            </w:r>
          </w:p>
          <w:p w14:paraId="113CB94C">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⑦第一次水洗：用自来水浸泡清洗工件上残留的皮膜液</w:t>
            </w:r>
            <w:r>
              <w:rPr>
                <w:rFonts w:hint="eastAsia"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min，槽液体积</w:t>
            </w:r>
            <w:r>
              <w:rPr>
                <w:rFonts w:hint="eastAsia" w:eastAsia="宋体" w:cs="Times New Roman"/>
                <w:bCs/>
                <w:color w:val="auto"/>
                <w:sz w:val="21"/>
                <w:szCs w:val="21"/>
                <w:highlight w:val="none"/>
                <w:lang w:val="en-US" w:eastAsia="zh-CN"/>
              </w:rPr>
              <w:t>3.504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，重复使用，</w:t>
            </w:r>
            <w:r>
              <w:rPr>
                <w:rFonts w:hint="eastAsia" w:eastAsia="宋体" w:cs="Times New Roman"/>
                <w:bCs/>
                <w:color w:val="auto"/>
                <w:sz w:val="21"/>
                <w:szCs w:val="21"/>
                <w:highlight w:val="none"/>
                <w:lang w:val="en-US" w:eastAsia="zh-CN"/>
              </w:rPr>
              <w:t>每天</w:t>
            </w:r>
            <w:r>
              <w:rPr>
                <w:rFonts w:hint="default" w:ascii="Times New Roman" w:hAnsi="Times New Roman" w:eastAsia="宋体" w:cs="Times New Roman"/>
                <w:bCs/>
                <w:color w:val="auto"/>
                <w:sz w:val="21"/>
                <w:szCs w:val="21"/>
                <w:highlight w:val="none"/>
              </w:rPr>
              <w:t>补充蒸发损耗的水，清洗水</w:t>
            </w:r>
            <w:r>
              <w:rPr>
                <w:rFonts w:hint="eastAsia" w:eastAsia="宋体" w:cs="Times New Roman"/>
                <w:bCs/>
                <w:color w:val="auto"/>
                <w:sz w:val="21"/>
                <w:szCs w:val="21"/>
                <w:highlight w:val="none"/>
                <w:lang w:val="en-US" w:eastAsia="zh-CN"/>
              </w:rPr>
              <w:t>15天</w:t>
            </w:r>
            <w:r>
              <w:rPr>
                <w:rFonts w:hint="default" w:ascii="Times New Roman" w:hAnsi="Times New Roman" w:eastAsia="宋体" w:cs="Times New Roman"/>
                <w:bCs/>
                <w:color w:val="auto"/>
                <w:sz w:val="21"/>
                <w:szCs w:val="21"/>
                <w:highlight w:val="none"/>
              </w:rPr>
              <w:t>排放一次，产生水洗废水W</w:t>
            </w:r>
            <w:r>
              <w:rPr>
                <w:rFonts w:hint="eastAsia" w:eastAsia="宋体"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w:t>
            </w:r>
          </w:p>
          <w:p w14:paraId="454590EE">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⑧第二次水洗：再次用自来水</w:t>
            </w:r>
            <w:r>
              <w:rPr>
                <w:rFonts w:hint="eastAsia" w:eastAsia="宋体" w:cs="Times New Roman"/>
                <w:bCs/>
                <w:color w:val="auto"/>
                <w:sz w:val="21"/>
                <w:szCs w:val="21"/>
                <w:highlight w:val="none"/>
                <w:lang w:val="en-US" w:eastAsia="zh-CN"/>
              </w:rPr>
              <w:t>溢流</w:t>
            </w:r>
            <w:r>
              <w:rPr>
                <w:rFonts w:hint="default" w:ascii="Times New Roman" w:hAnsi="Times New Roman" w:eastAsia="宋体" w:cs="Times New Roman"/>
                <w:bCs/>
                <w:color w:val="auto"/>
                <w:sz w:val="21"/>
                <w:szCs w:val="21"/>
                <w:highlight w:val="none"/>
              </w:rPr>
              <w:t>喷淋清洗工件上残留的脱脂液。喷淋时间</w:t>
            </w:r>
            <w:r>
              <w:rPr>
                <w:rFonts w:hint="eastAsia"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min，喷淋流量2</w:t>
            </w:r>
            <w:r>
              <w:rPr>
                <w:rFonts w:hint="eastAsia" w:eastAsia="宋体" w:cs="Times New Roman"/>
                <w:bCs/>
                <w:color w:val="auto"/>
                <w:sz w:val="21"/>
                <w:szCs w:val="21"/>
                <w:highlight w:val="none"/>
                <w:lang w:val="en-US" w:eastAsia="zh-CN"/>
              </w:rPr>
              <w:t>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/h，槽液体积</w:t>
            </w:r>
            <w:r>
              <w:rPr>
                <w:rFonts w:hint="eastAsia" w:eastAsia="宋体" w:cs="Times New Roman"/>
                <w:bCs/>
                <w:color w:val="auto"/>
                <w:sz w:val="21"/>
                <w:szCs w:val="21"/>
                <w:highlight w:val="none"/>
                <w:lang w:val="en-US" w:eastAsia="zh-CN"/>
              </w:rPr>
              <w:t>1.6</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w:t>
            </w:r>
            <w:r>
              <w:rPr>
                <w:rFonts w:hint="eastAsia" w:eastAsia="宋体" w:cs="Times New Roman"/>
                <w:bCs/>
                <w:color w:val="auto"/>
                <w:sz w:val="21"/>
                <w:szCs w:val="21"/>
                <w:highlight w:val="none"/>
                <w:lang w:val="en-US" w:eastAsia="zh-CN"/>
              </w:rPr>
              <w:t>清洗水</w:t>
            </w:r>
            <w:r>
              <w:rPr>
                <w:rFonts w:hint="default" w:ascii="Times New Roman" w:hAnsi="Times New Roman" w:eastAsia="宋体" w:cs="Times New Roman"/>
                <w:bCs/>
                <w:color w:val="auto"/>
                <w:sz w:val="21"/>
                <w:szCs w:val="21"/>
                <w:highlight w:val="none"/>
              </w:rPr>
              <w:t>循环使用，</w:t>
            </w:r>
            <w:r>
              <w:rPr>
                <w:rFonts w:hint="eastAsia" w:eastAsia="宋体" w:cs="Times New Roman"/>
                <w:bCs/>
                <w:color w:val="auto"/>
                <w:sz w:val="21"/>
                <w:szCs w:val="21"/>
                <w:highlight w:val="none"/>
                <w:lang w:val="en-US" w:eastAsia="zh-CN"/>
              </w:rPr>
              <w:t>每天</w:t>
            </w:r>
            <w:r>
              <w:rPr>
                <w:rFonts w:hint="default" w:ascii="Times New Roman" w:hAnsi="Times New Roman" w:eastAsia="宋体" w:cs="Times New Roman"/>
                <w:bCs/>
                <w:color w:val="auto"/>
                <w:sz w:val="21"/>
                <w:szCs w:val="21"/>
                <w:highlight w:val="none"/>
              </w:rPr>
              <w:t>补充蒸发损耗的水</w:t>
            </w:r>
            <w:r>
              <w:rPr>
                <w:rFonts w:hint="eastAsia" w:eastAsia="宋体" w:cs="Times New Roman"/>
                <w:bCs/>
                <w:color w:val="auto"/>
                <w:sz w:val="21"/>
                <w:szCs w:val="21"/>
                <w:highlight w:val="none"/>
                <w:lang w:val="en-US" w:eastAsia="zh-CN"/>
              </w:rPr>
              <w:t>和溢流的水量</w:t>
            </w:r>
            <w:r>
              <w:rPr>
                <w:rFonts w:hint="default" w:ascii="Times New Roman" w:hAnsi="Times New Roman" w:eastAsia="宋体" w:cs="Times New Roman"/>
                <w:bCs/>
                <w:color w:val="auto"/>
                <w:sz w:val="21"/>
                <w:szCs w:val="21"/>
                <w:highlight w:val="none"/>
              </w:rPr>
              <w:t>，清洗水</w:t>
            </w:r>
            <w:r>
              <w:rPr>
                <w:rFonts w:hint="eastAsia" w:eastAsia="宋体" w:cs="Times New Roman"/>
                <w:bCs/>
                <w:color w:val="auto"/>
                <w:sz w:val="21"/>
                <w:szCs w:val="21"/>
                <w:highlight w:val="none"/>
                <w:lang w:val="en-US" w:eastAsia="zh-CN"/>
              </w:rPr>
              <w:t>1周</w:t>
            </w:r>
            <w:r>
              <w:rPr>
                <w:rFonts w:hint="default" w:ascii="Times New Roman" w:hAnsi="Times New Roman" w:eastAsia="宋体" w:cs="Times New Roman"/>
                <w:bCs/>
                <w:color w:val="auto"/>
                <w:sz w:val="21"/>
                <w:szCs w:val="21"/>
                <w:highlight w:val="none"/>
              </w:rPr>
              <w:t>排放一次，产生水洗废水W</w:t>
            </w:r>
            <w:r>
              <w:rPr>
                <w:rFonts w:hint="eastAsia"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w:t>
            </w:r>
          </w:p>
          <w:p w14:paraId="5764FBB2">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⑨烘干：在燃气水分烘干炉中将工件上的水份烘干，温度为100~120℃，时间25min。</w:t>
            </w:r>
            <w:r>
              <w:rPr>
                <w:rFonts w:hint="default" w:ascii="Times New Roman" w:hAnsi="Times New Roman" w:eastAsia="宋体" w:cs="Times New Roman"/>
                <w:bCs/>
                <w:color w:val="auto"/>
                <w:sz w:val="21"/>
                <w:szCs w:val="21"/>
                <w:highlight w:val="none"/>
                <w:lang w:val="en-US" w:eastAsia="zh-CN"/>
              </w:rPr>
              <w:t>此工序会产生</w:t>
            </w:r>
            <w:r>
              <w:rPr>
                <w:rFonts w:hint="default" w:ascii="Times New Roman" w:hAnsi="Times New Roman" w:eastAsia="宋体" w:cs="Times New Roman"/>
                <w:bCs/>
                <w:color w:val="auto"/>
                <w:sz w:val="21"/>
                <w:szCs w:val="21"/>
                <w:highlight w:val="none"/>
              </w:rPr>
              <w:t>天然气</w:t>
            </w:r>
            <w:r>
              <w:rPr>
                <w:rFonts w:hint="eastAsia" w:eastAsia="宋体" w:cs="Times New Roman"/>
                <w:bCs/>
                <w:color w:val="auto"/>
                <w:sz w:val="21"/>
                <w:szCs w:val="21"/>
                <w:highlight w:val="none"/>
                <w:lang w:val="en-US" w:eastAsia="zh-CN"/>
              </w:rPr>
              <w:t>燃烧</w:t>
            </w:r>
            <w:r>
              <w:rPr>
                <w:rFonts w:hint="default" w:ascii="Times New Roman" w:hAnsi="Times New Roman" w:eastAsia="宋体" w:cs="Times New Roman"/>
                <w:bCs/>
                <w:color w:val="auto"/>
                <w:sz w:val="21"/>
                <w:szCs w:val="21"/>
                <w:highlight w:val="none"/>
              </w:rPr>
              <w:t>废气</w:t>
            </w: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烘干废气</w:t>
            </w:r>
            <w:r>
              <w:rPr>
                <w:rFonts w:hint="default" w:ascii="Times New Roman" w:hAnsi="Times New Roman" w:eastAsia="宋体" w:cs="Times New Roman"/>
                <w:bCs/>
                <w:color w:val="auto"/>
                <w:sz w:val="21"/>
                <w:szCs w:val="21"/>
                <w:highlight w:val="none"/>
              </w:rPr>
              <w:t>G1。</w:t>
            </w:r>
          </w:p>
          <w:p w14:paraId="5CC4749A">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⑩</w:t>
            </w:r>
            <w:r>
              <w:rPr>
                <w:rFonts w:hint="eastAsia" w:eastAsia="宋体" w:cs="Times New Roman"/>
                <w:bCs/>
                <w:color w:val="auto"/>
                <w:sz w:val="21"/>
                <w:szCs w:val="21"/>
                <w:highlight w:val="none"/>
                <w:lang w:val="en-US" w:eastAsia="zh-CN"/>
              </w:rPr>
              <w:t>喷塑</w:t>
            </w:r>
            <w:r>
              <w:rPr>
                <w:rFonts w:hint="default" w:ascii="Times New Roman" w:hAnsi="Times New Roman" w:eastAsia="宋体" w:cs="Times New Roman"/>
                <w:bCs/>
                <w:color w:val="auto"/>
                <w:sz w:val="21"/>
                <w:szCs w:val="21"/>
                <w:highlight w:val="none"/>
              </w:rPr>
              <w:t>：手工将工件挂上生产线悬挂输送链，在密闭的喷</w:t>
            </w:r>
            <w:r>
              <w:rPr>
                <w:rFonts w:hint="eastAsia" w:eastAsia="宋体" w:cs="Times New Roman"/>
                <w:bCs/>
                <w:color w:val="auto"/>
                <w:sz w:val="21"/>
                <w:szCs w:val="21"/>
                <w:highlight w:val="none"/>
                <w:lang w:val="en-US" w:eastAsia="zh-CN"/>
              </w:rPr>
              <w:t>塑</w:t>
            </w:r>
            <w:r>
              <w:rPr>
                <w:rFonts w:hint="default" w:ascii="Times New Roman" w:hAnsi="Times New Roman" w:eastAsia="宋体" w:cs="Times New Roman"/>
                <w:bCs/>
                <w:color w:val="auto"/>
                <w:sz w:val="21"/>
                <w:szCs w:val="21"/>
                <w:highlight w:val="none"/>
              </w:rPr>
              <w:t>间内，环氧聚酯粉末在高压静电作用下，喷射吸附于金属工件表面上，静电喷粉过程会产生</w:t>
            </w:r>
            <w:r>
              <w:rPr>
                <w:rFonts w:hint="eastAsia" w:eastAsia="宋体" w:cs="Times New Roman"/>
                <w:bCs/>
                <w:color w:val="auto"/>
                <w:sz w:val="21"/>
                <w:szCs w:val="21"/>
                <w:highlight w:val="none"/>
                <w:lang w:val="en-US" w:eastAsia="zh-CN"/>
              </w:rPr>
              <w:t>喷塑</w:t>
            </w:r>
            <w:r>
              <w:rPr>
                <w:rFonts w:hint="default" w:ascii="Times New Roman" w:hAnsi="Times New Roman" w:eastAsia="宋体" w:cs="Times New Roman"/>
                <w:bCs/>
                <w:color w:val="auto"/>
                <w:sz w:val="21"/>
                <w:szCs w:val="21"/>
                <w:highlight w:val="none"/>
              </w:rPr>
              <w:t>废气G2</w:t>
            </w:r>
            <w:r>
              <w:rPr>
                <w:rFonts w:hint="default" w:ascii="Times New Roman" w:hAnsi="Times New Roman" w:eastAsia="宋体" w:cs="Times New Roman"/>
                <w:bCs/>
                <w:color w:val="auto"/>
                <w:sz w:val="21"/>
                <w:szCs w:val="21"/>
                <w:highlight w:val="none"/>
                <w:lang w:eastAsia="zh-CN"/>
              </w:rPr>
              <w:t>。</w:t>
            </w:r>
          </w:p>
          <w:p w14:paraId="3EA74029">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⑪粉末固化：在粉末固化炉的固化烘道内，经热风循环加热，于180~200℃下，对喷涂的塑粉进行固化烘烤，时间40min。粉末固化炉</w:t>
            </w:r>
            <w:r>
              <w:rPr>
                <w:rFonts w:hint="eastAsia" w:eastAsia="宋体" w:cs="Times New Roman"/>
                <w:bCs/>
                <w:color w:val="auto"/>
                <w:sz w:val="21"/>
                <w:szCs w:val="21"/>
                <w:highlight w:val="none"/>
                <w:lang w:val="en-US" w:eastAsia="zh-CN"/>
              </w:rPr>
              <w:t>采用天然气燃烧热风加热，此工序产生</w:t>
            </w:r>
            <w:r>
              <w:rPr>
                <w:rFonts w:hint="default" w:ascii="Times New Roman" w:hAnsi="Times New Roman" w:eastAsia="宋体" w:cs="Times New Roman"/>
                <w:bCs/>
                <w:color w:val="auto"/>
                <w:sz w:val="21"/>
                <w:szCs w:val="21"/>
                <w:highlight w:val="none"/>
              </w:rPr>
              <w:t>天然气</w:t>
            </w:r>
            <w:r>
              <w:rPr>
                <w:rFonts w:hint="eastAsia" w:eastAsia="宋体" w:cs="Times New Roman"/>
                <w:bCs/>
                <w:color w:val="auto"/>
                <w:sz w:val="21"/>
                <w:szCs w:val="21"/>
                <w:highlight w:val="none"/>
                <w:lang w:val="en-US" w:eastAsia="zh-CN"/>
              </w:rPr>
              <w:t>燃烧</w:t>
            </w:r>
            <w:r>
              <w:rPr>
                <w:rFonts w:hint="default" w:ascii="Times New Roman" w:hAnsi="Times New Roman" w:eastAsia="宋体" w:cs="Times New Roman"/>
                <w:bCs/>
                <w:color w:val="auto"/>
                <w:sz w:val="21"/>
                <w:szCs w:val="21"/>
                <w:highlight w:val="none"/>
              </w:rPr>
              <w:t>废气</w:t>
            </w: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固化废气</w:t>
            </w:r>
            <w:r>
              <w:rPr>
                <w:rFonts w:hint="default" w:ascii="Times New Roman" w:hAnsi="Times New Roman" w:eastAsia="宋体" w:cs="Times New Roman"/>
                <w:bCs/>
                <w:color w:val="auto"/>
                <w:sz w:val="21"/>
                <w:szCs w:val="21"/>
                <w:highlight w:val="none"/>
              </w:rPr>
              <w:t>G3。</w:t>
            </w:r>
          </w:p>
          <w:p w14:paraId="62D6C5C7">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⑫组装、检验：人工将各工件及五金件按照要求进行试组装，并检验是否漏件、涂层是否均匀等，检验过程产生的不合格品返回相应工序重新加工。</w:t>
            </w:r>
          </w:p>
          <w:p w14:paraId="5EFD1CDA">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⑬包装入库：产品包装入库、待售。</w:t>
            </w:r>
          </w:p>
          <w:p w14:paraId="45B2205F">
            <w:pPr>
              <w:pStyle w:val="10"/>
              <w:keepNext w:val="0"/>
              <w:keepLines w:val="0"/>
              <w:pageBreakBefore w:val="0"/>
              <w:widowControl/>
              <w:kinsoku/>
              <w:wordWrap/>
              <w:overflowPunct/>
              <w:topLinePunct w:val="0"/>
              <w:autoSpaceDE/>
              <w:autoSpaceDN/>
              <w:bidi w:val="0"/>
              <w:adjustRightInd/>
              <w:snapToGrid/>
              <w:spacing w:before="157" w:beforeLines="50" w:after="0" w:line="240" w:lineRule="auto"/>
              <w:ind w:right="0" w:firstLine="422" w:firstLineChars="200"/>
              <w:jc w:val="center"/>
              <w:textAlignment w:val="auto"/>
              <w:rPr>
                <w:color w:val="auto"/>
                <w:sz w:val="21"/>
                <w:szCs w:val="16"/>
                <w:highlight w:val="none"/>
              </w:rPr>
            </w:pPr>
            <w:r>
              <w:rPr>
                <w:rFonts w:hint="eastAsia"/>
                <w:b/>
                <w:bCs/>
                <w:color w:val="auto"/>
                <w:kern w:val="2"/>
                <w:sz w:val="21"/>
                <w:szCs w:val="24"/>
                <w:highlight w:val="none"/>
              </w:rPr>
              <w:t>表2-</w:t>
            </w:r>
            <w:r>
              <w:rPr>
                <w:rFonts w:hint="eastAsia"/>
                <w:b/>
                <w:bCs/>
                <w:color w:val="auto"/>
                <w:kern w:val="2"/>
                <w:sz w:val="21"/>
                <w:szCs w:val="24"/>
                <w:highlight w:val="none"/>
                <w:lang w:val="en-US" w:eastAsia="zh-CN"/>
              </w:rPr>
              <w:t xml:space="preserve">9 </w:t>
            </w:r>
            <w:r>
              <w:rPr>
                <w:rFonts w:hint="eastAsia"/>
                <w:b/>
                <w:bCs/>
                <w:color w:val="auto"/>
                <w:kern w:val="2"/>
                <w:sz w:val="21"/>
                <w:szCs w:val="24"/>
                <w:highlight w:val="none"/>
              </w:rPr>
              <w:t>项目产污环节一览表</w:t>
            </w:r>
          </w:p>
          <w:tbl>
            <w:tblPr>
              <w:tblStyle w:val="30"/>
              <w:tblW w:w="473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5"/>
              <w:gridCol w:w="615"/>
              <w:gridCol w:w="1270"/>
              <w:gridCol w:w="1992"/>
              <w:gridCol w:w="1691"/>
              <w:gridCol w:w="1313"/>
            </w:tblGrid>
            <w:tr w14:paraId="5985B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84" w:hRule="atLeast"/>
                <w:jc w:val="center"/>
              </w:trPr>
              <w:tc>
                <w:tcPr>
                  <w:tcW w:w="410" w:type="pct"/>
                  <w:tcBorders>
                    <w:tl2br w:val="nil"/>
                    <w:tr2bl w:val="nil"/>
                  </w:tcBorders>
                  <w:vAlign w:val="center"/>
                </w:tcPr>
                <w:p w14:paraId="021E1A14">
                  <w:pPr>
                    <w:jc w:val="center"/>
                    <w:rPr>
                      <w:b/>
                      <w:bCs/>
                      <w:snapToGrid w:val="0"/>
                      <w:color w:val="auto"/>
                      <w:kern w:val="0"/>
                      <w:szCs w:val="21"/>
                      <w:highlight w:val="none"/>
                    </w:rPr>
                  </w:pPr>
                  <w:r>
                    <w:rPr>
                      <w:b/>
                      <w:bCs/>
                      <w:snapToGrid w:val="0"/>
                      <w:color w:val="auto"/>
                      <w:kern w:val="0"/>
                      <w:szCs w:val="21"/>
                      <w:highlight w:val="none"/>
                    </w:rPr>
                    <w:t>分类</w:t>
                  </w:r>
                </w:p>
              </w:tc>
              <w:tc>
                <w:tcPr>
                  <w:tcW w:w="410" w:type="pct"/>
                  <w:tcBorders>
                    <w:tl2br w:val="nil"/>
                    <w:tr2bl w:val="nil"/>
                  </w:tcBorders>
                  <w:vAlign w:val="center"/>
                </w:tcPr>
                <w:p w14:paraId="37A3A371">
                  <w:pPr>
                    <w:jc w:val="center"/>
                    <w:rPr>
                      <w:b/>
                      <w:bCs/>
                      <w:snapToGrid w:val="0"/>
                      <w:color w:val="auto"/>
                      <w:kern w:val="0"/>
                      <w:szCs w:val="21"/>
                      <w:highlight w:val="none"/>
                    </w:rPr>
                  </w:pPr>
                  <w:r>
                    <w:rPr>
                      <w:b/>
                      <w:bCs/>
                      <w:snapToGrid w:val="0"/>
                      <w:color w:val="auto"/>
                      <w:kern w:val="0"/>
                      <w:szCs w:val="21"/>
                      <w:highlight w:val="none"/>
                    </w:rPr>
                    <w:t>代号</w:t>
                  </w:r>
                </w:p>
              </w:tc>
              <w:tc>
                <w:tcPr>
                  <w:tcW w:w="847" w:type="pct"/>
                  <w:tcBorders>
                    <w:tl2br w:val="nil"/>
                    <w:tr2bl w:val="nil"/>
                  </w:tcBorders>
                  <w:vAlign w:val="center"/>
                </w:tcPr>
                <w:p w14:paraId="4999D1E2">
                  <w:pPr>
                    <w:jc w:val="center"/>
                    <w:rPr>
                      <w:b/>
                      <w:bCs/>
                      <w:snapToGrid w:val="0"/>
                      <w:color w:val="auto"/>
                      <w:kern w:val="0"/>
                      <w:szCs w:val="21"/>
                      <w:highlight w:val="none"/>
                    </w:rPr>
                  </w:pPr>
                  <w:r>
                    <w:rPr>
                      <w:b/>
                      <w:bCs/>
                      <w:snapToGrid w:val="0"/>
                      <w:color w:val="auto"/>
                      <w:kern w:val="0"/>
                      <w:szCs w:val="21"/>
                      <w:highlight w:val="none"/>
                    </w:rPr>
                    <w:t>产生工序</w:t>
                  </w:r>
                </w:p>
              </w:tc>
              <w:tc>
                <w:tcPr>
                  <w:tcW w:w="1328" w:type="pct"/>
                  <w:tcBorders>
                    <w:tl2br w:val="nil"/>
                    <w:tr2bl w:val="nil"/>
                  </w:tcBorders>
                  <w:vAlign w:val="center"/>
                </w:tcPr>
                <w:p w14:paraId="3B24B40D">
                  <w:pPr>
                    <w:jc w:val="center"/>
                    <w:rPr>
                      <w:b/>
                      <w:bCs/>
                      <w:snapToGrid w:val="0"/>
                      <w:color w:val="auto"/>
                      <w:kern w:val="0"/>
                      <w:szCs w:val="21"/>
                      <w:highlight w:val="none"/>
                    </w:rPr>
                  </w:pPr>
                  <w:r>
                    <w:rPr>
                      <w:b/>
                      <w:bCs/>
                      <w:snapToGrid w:val="0"/>
                      <w:color w:val="auto"/>
                      <w:kern w:val="0"/>
                      <w:szCs w:val="21"/>
                      <w:highlight w:val="none"/>
                    </w:rPr>
                    <w:t>污染因子</w:t>
                  </w:r>
                </w:p>
              </w:tc>
              <w:tc>
                <w:tcPr>
                  <w:tcW w:w="2003" w:type="pct"/>
                  <w:gridSpan w:val="2"/>
                  <w:tcBorders>
                    <w:tl2br w:val="nil"/>
                    <w:tr2bl w:val="nil"/>
                  </w:tcBorders>
                  <w:vAlign w:val="center"/>
                </w:tcPr>
                <w:p w14:paraId="327657BB">
                  <w:pPr>
                    <w:jc w:val="center"/>
                    <w:rPr>
                      <w:b/>
                      <w:bCs/>
                      <w:snapToGrid w:val="0"/>
                      <w:color w:val="auto"/>
                      <w:kern w:val="0"/>
                      <w:szCs w:val="21"/>
                      <w:highlight w:val="none"/>
                    </w:rPr>
                  </w:pPr>
                  <w:r>
                    <w:rPr>
                      <w:b/>
                      <w:bCs/>
                      <w:snapToGrid w:val="0"/>
                      <w:color w:val="auto"/>
                      <w:kern w:val="0"/>
                      <w:szCs w:val="21"/>
                      <w:highlight w:val="none"/>
                    </w:rPr>
                    <w:t>治理措施及排放方式</w:t>
                  </w:r>
                </w:p>
              </w:tc>
            </w:tr>
            <w:tr w14:paraId="1D0E9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410" w:type="pct"/>
                  <w:vMerge w:val="restart"/>
                  <w:tcBorders>
                    <w:tl2br w:val="nil"/>
                    <w:tr2bl w:val="nil"/>
                  </w:tcBorders>
                  <w:vAlign w:val="center"/>
                </w:tcPr>
                <w:p w14:paraId="29B711E0">
                  <w:pPr>
                    <w:jc w:val="center"/>
                    <w:rPr>
                      <w:color w:val="auto"/>
                      <w:szCs w:val="21"/>
                      <w:highlight w:val="none"/>
                    </w:rPr>
                  </w:pPr>
                  <w:r>
                    <w:rPr>
                      <w:color w:val="auto"/>
                      <w:szCs w:val="21"/>
                      <w:highlight w:val="none"/>
                    </w:rPr>
                    <w:t>废气（G）</w:t>
                  </w:r>
                </w:p>
              </w:tc>
              <w:tc>
                <w:tcPr>
                  <w:tcW w:w="410" w:type="pct"/>
                  <w:tcBorders>
                    <w:tl2br w:val="nil"/>
                    <w:tr2bl w:val="nil"/>
                  </w:tcBorders>
                  <w:vAlign w:val="center"/>
                </w:tcPr>
                <w:p w14:paraId="358B0778">
                  <w:pPr>
                    <w:jc w:val="center"/>
                    <w:rPr>
                      <w:color w:val="auto"/>
                      <w:szCs w:val="21"/>
                      <w:highlight w:val="none"/>
                    </w:rPr>
                  </w:pPr>
                  <w:r>
                    <w:rPr>
                      <w:color w:val="auto"/>
                      <w:szCs w:val="21"/>
                      <w:highlight w:val="none"/>
                    </w:rPr>
                    <w:t>G</w:t>
                  </w:r>
                  <w:r>
                    <w:rPr>
                      <w:rFonts w:hint="eastAsia"/>
                      <w:color w:val="auto"/>
                      <w:szCs w:val="21"/>
                      <w:highlight w:val="none"/>
                    </w:rPr>
                    <w:t>1</w:t>
                  </w:r>
                </w:p>
              </w:tc>
              <w:tc>
                <w:tcPr>
                  <w:tcW w:w="847" w:type="pct"/>
                  <w:tcBorders>
                    <w:tl2br w:val="nil"/>
                    <w:tr2bl w:val="nil"/>
                  </w:tcBorders>
                  <w:vAlign w:val="center"/>
                </w:tcPr>
                <w:p w14:paraId="25641B11">
                  <w:pPr>
                    <w:jc w:val="center"/>
                    <w:rPr>
                      <w:rFonts w:hint="default" w:eastAsia="宋体"/>
                      <w:color w:val="auto"/>
                      <w:szCs w:val="21"/>
                      <w:highlight w:val="none"/>
                      <w:lang w:val="en-US" w:eastAsia="zh-CN"/>
                    </w:rPr>
                  </w:pPr>
                  <w:r>
                    <w:rPr>
                      <w:rFonts w:hint="eastAsia"/>
                      <w:color w:val="auto"/>
                      <w:szCs w:val="21"/>
                      <w:highlight w:val="none"/>
                      <w:lang w:val="en-US" w:eastAsia="zh-CN"/>
                    </w:rPr>
                    <w:t>烘干（天然气燃烧）</w:t>
                  </w:r>
                </w:p>
              </w:tc>
              <w:tc>
                <w:tcPr>
                  <w:tcW w:w="1328" w:type="pct"/>
                  <w:tcBorders>
                    <w:tl2br w:val="nil"/>
                    <w:tr2bl w:val="nil"/>
                  </w:tcBorders>
                  <w:vAlign w:val="center"/>
                </w:tcPr>
                <w:p w14:paraId="75E63F59">
                  <w:pPr>
                    <w:jc w:val="center"/>
                    <w:rPr>
                      <w:rFonts w:hint="default" w:eastAsia="宋体"/>
                      <w:color w:val="auto"/>
                      <w:szCs w:val="21"/>
                      <w:highlight w:val="none"/>
                      <w:lang w:val="en-US" w:eastAsia="zh-CN"/>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、氮氧化物</w:t>
                  </w:r>
                </w:p>
              </w:tc>
              <w:tc>
                <w:tcPr>
                  <w:tcW w:w="1127" w:type="pct"/>
                  <w:tcBorders>
                    <w:tl2br w:val="nil"/>
                    <w:tr2bl w:val="nil"/>
                  </w:tcBorders>
                  <w:vAlign w:val="center"/>
                </w:tcPr>
                <w:p w14:paraId="3105A4FB">
                  <w:pPr>
                    <w:jc w:val="center"/>
                    <w:rPr>
                      <w:color w:val="auto"/>
                      <w:szCs w:val="21"/>
                      <w:highlight w:val="none"/>
                    </w:rPr>
                  </w:pPr>
                  <w:r>
                    <w:rPr>
                      <w:rFonts w:hint="eastAsia" w:cs="Times New Roman"/>
                      <w:color w:val="auto"/>
                      <w:sz w:val="21"/>
                      <w:szCs w:val="21"/>
                      <w:highlight w:val="none"/>
                      <w:lang w:val="en-US" w:eastAsia="zh-CN"/>
                    </w:rPr>
                    <w:t>低氮燃烧</w:t>
                  </w:r>
                </w:p>
              </w:tc>
              <w:tc>
                <w:tcPr>
                  <w:tcW w:w="875" w:type="pct"/>
                  <w:vMerge w:val="restart"/>
                  <w:tcBorders>
                    <w:tl2br w:val="nil"/>
                    <w:tr2bl w:val="nil"/>
                  </w:tcBorders>
                  <w:vAlign w:val="center"/>
                </w:tcPr>
                <w:p w14:paraId="4C7D9809">
                  <w:pPr>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eastAsia" w:eastAsia="宋体" w:cs="Times New Roman"/>
                      <w:color w:val="auto"/>
                      <w:sz w:val="21"/>
                      <w:szCs w:val="21"/>
                      <w:highlight w:val="none"/>
                      <w:lang w:val="en-US" w:eastAsia="zh-CN"/>
                    </w:rPr>
                    <w:t>m高排气筒DA00</w:t>
                  </w:r>
                  <w:r>
                    <w:rPr>
                      <w:rFonts w:hint="eastAsia" w:cs="Times New Roman"/>
                      <w:color w:val="auto"/>
                      <w:sz w:val="21"/>
                      <w:szCs w:val="21"/>
                      <w:highlight w:val="none"/>
                      <w:lang w:val="en-US" w:eastAsia="zh-CN"/>
                    </w:rPr>
                    <w:t>6</w:t>
                  </w:r>
                  <w:r>
                    <w:rPr>
                      <w:rFonts w:hint="eastAsia" w:eastAsia="宋体" w:cs="Times New Roman"/>
                      <w:color w:val="auto"/>
                      <w:sz w:val="21"/>
                      <w:szCs w:val="21"/>
                      <w:highlight w:val="none"/>
                      <w:lang w:val="en-US" w:eastAsia="zh-CN"/>
                    </w:rPr>
                    <w:t>排放</w:t>
                  </w:r>
                </w:p>
              </w:tc>
            </w:tr>
            <w:tr w14:paraId="63621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410" w:type="pct"/>
                  <w:vMerge w:val="continue"/>
                  <w:tcBorders>
                    <w:tl2br w:val="nil"/>
                    <w:tr2bl w:val="nil"/>
                  </w:tcBorders>
                  <w:vAlign w:val="center"/>
                </w:tcPr>
                <w:p w14:paraId="21B206E8">
                  <w:pPr>
                    <w:jc w:val="center"/>
                    <w:rPr>
                      <w:color w:val="auto"/>
                      <w:szCs w:val="21"/>
                      <w:highlight w:val="none"/>
                    </w:rPr>
                  </w:pPr>
                </w:p>
              </w:tc>
              <w:tc>
                <w:tcPr>
                  <w:tcW w:w="410" w:type="pct"/>
                  <w:tcBorders>
                    <w:tl2br w:val="nil"/>
                    <w:tr2bl w:val="nil"/>
                  </w:tcBorders>
                  <w:shd w:val="clear" w:color="auto" w:fill="auto"/>
                  <w:vAlign w:val="center"/>
                </w:tcPr>
                <w:p w14:paraId="300AA775">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G3</w:t>
                  </w:r>
                </w:p>
              </w:tc>
              <w:tc>
                <w:tcPr>
                  <w:tcW w:w="847" w:type="pct"/>
                  <w:tcBorders>
                    <w:tl2br w:val="nil"/>
                    <w:tr2bl w:val="nil"/>
                  </w:tcBorders>
                  <w:shd w:val="clear" w:color="auto" w:fill="auto"/>
                  <w:vAlign w:val="center"/>
                </w:tcPr>
                <w:p w14:paraId="1003EF02">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粉末固化（天然气燃烧）</w:t>
                  </w:r>
                </w:p>
              </w:tc>
              <w:tc>
                <w:tcPr>
                  <w:tcW w:w="1328" w:type="pct"/>
                  <w:tcBorders>
                    <w:tl2br w:val="nil"/>
                    <w:tr2bl w:val="nil"/>
                  </w:tcBorders>
                  <w:shd w:val="clear" w:color="auto" w:fill="auto"/>
                  <w:vAlign w:val="center"/>
                </w:tcPr>
                <w:p w14:paraId="2CB1C68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、氮氧化物、VOCs</w:t>
                  </w:r>
                </w:p>
              </w:tc>
              <w:tc>
                <w:tcPr>
                  <w:tcW w:w="1127" w:type="pct"/>
                  <w:tcBorders>
                    <w:tl2br w:val="nil"/>
                    <w:tr2bl w:val="nil"/>
                  </w:tcBorders>
                  <w:shd w:val="clear" w:color="auto" w:fill="auto"/>
                  <w:vAlign w:val="center"/>
                </w:tcPr>
                <w:p w14:paraId="0D98E79E">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低氮燃烧+二级活性炭吸附装置</w:t>
                  </w:r>
                </w:p>
              </w:tc>
              <w:tc>
                <w:tcPr>
                  <w:tcW w:w="875" w:type="pct"/>
                  <w:vMerge w:val="continue"/>
                  <w:tcBorders>
                    <w:tl2br w:val="nil"/>
                    <w:tr2bl w:val="nil"/>
                  </w:tcBorders>
                  <w:vAlign w:val="center"/>
                </w:tcPr>
                <w:p w14:paraId="59A45239">
                  <w:pPr>
                    <w:jc w:val="center"/>
                    <w:rPr>
                      <w:color w:val="auto"/>
                      <w:szCs w:val="21"/>
                      <w:highlight w:val="none"/>
                    </w:rPr>
                  </w:pPr>
                </w:p>
              </w:tc>
            </w:tr>
            <w:tr w14:paraId="02FB1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410" w:type="pct"/>
                  <w:vMerge w:val="continue"/>
                  <w:tcBorders>
                    <w:tl2br w:val="nil"/>
                    <w:tr2bl w:val="nil"/>
                  </w:tcBorders>
                  <w:vAlign w:val="center"/>
                </w:tcPr>
                <w:p w14:paraId="4D2BBD21">
                  <w:pPr>
                    <w:jc w:val="center"/>
                    <w:rPr>
                      <w:color w:val="auto"/>
                      <w:szCs w:val="21"/>
                      <w:highlight w:val="none"/>
                    </w:rPr>
                  </w:pPr>
                </w:p>
              </w:tc>
              <w:tc>
                <w:tcPr>
                  <w:tcW w:w="410" w:type="pct"/>
                  <w:tcBorders>
                    <w:tl2br w:val="nil"/>
                    <w:tr2bl w:val="nil"/>
                  </w:tcBorders>
                  <w:shd w:val="clear" w:color="auto" w:fill="auto"/>
                  <w:vAlign w:val="center"/>
                </w:tcPr>
                <w:p w14:paraId="18D2AB6F">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G2</w:t>
                  </w:r>
                </w:p>
              </w:tc>
              <w:tc>
                <w:tcPr>
                  <w:tcW w:w="847" w:type="pct"/>
                  <w:tcBorders>
                    <w:tl2br w:val="nil"/>
                    <w:tr2bl w:val="nil"/>
                  </w:tcBorders>
                  <w:shd w:val="clear" w:color="auto" w:fill="auto"/>
                  <w:vAlign w:val="center"/>
                </w:tcPr>
                <w:p w14:paraId="791DB95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喷塑</w:t>
                  </w:r>
                </w:p>
              </w:tc>
              <w:tc>
                <w:tcPr>
                  <w:tcW w:w="1328" w:type="pct"/>
                  <w:tcBorders>
                    <w:tl2br w:val="nil"/>
                    <w:tr2bl w:val="nil"/>
                  </w:tcBorders>
                  <w:shd w:val="clear" w:color="auto" w:fill="auto"/>
                  <w:vAlign w:val="center"/>
                </w:tcPr>
                <w:p w14:paraId="1A98C8B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颗粒物</w:t>
                  </w:r>
                </w:p>
              </w:tc>
              <w:tc>
                <w:tcPr>
                  <w:tcW w:w="2003" w:type="pct"/>
                  <w:gridSpan w:val="2"/>
                  <w:tcBorders>
                    <w:tl2br w:val="nil"/>
                    <w:tr2bl w:val="nil"/>
                  </w:tcBorders>
                  <w:shd w:val="clear" w:color="auto" w:fill="auto"/>
                  <w:vAlign w:val="center"/>
                </w:tcPr>
                <w:p w14:paraId="247F3966">
                  <w:pPr>
                    <w:jc w:val="center"/>
                    <w:rPr>
                      <w:rFonts w:hint="default"/>
                      <w:color w:val="auto"/>
                      <w:szCs w:val="21"/>
                      <w:highlight w:val="none"/>
                      <w:lang w:val="en-US"/>
                    </w:rPr>
                  </w:pPr>
                  <w:r>
                    <w:rPr>
                      <w:rFonts w:hint="eastAsia"/>
                      <w:color w:val="auto"/>
                      <w:szCs w:val="21"/>
                      <w:highlight w:val="none"/>
                      <w:lang w:val="en-US" w:eastAsia="zh-CN"/>
                    </w:rPr>
                    <w:t>粉末回收装置（旋风+布袋）处理后</w:t>
                  </w:r>
                  <w:bookmarkStart w:id="19" w:name="OLE_LINK3"/>
                  <w:r>
                    <w:rPr>
                      <w:rFonts w:hint="eastAsia"/>
                      <w:color w:val="auto"/>
                      <w:szCs w:val="21"/>
                      <w:highlight w:val="none"/>
                      <w:lang w:val="en-US" w:eastAsia="zh-CN"/>
                    </w:rPr>
                    <w:t>于喷塑工序循环使用</w:t>
                  </w:r>
                  <w:bookmarkEnd w:id="19"/>
                  <w:r>
                    <w:rPr>
                      <w:rFonts w:hint="eastAsia"/>
                      <w:color w:val="auto"/>
                      <w:szCs w:val="21"/>
                      <w:highlight w:val="none"/>
                      <w:lang w:val="en-US" w:eastAsia="zh-CN"/>
                    </w:rPr>
                    <w:t>不外排</w:t>
                  </w:r>
                </w:p>
              </w:tc>
            </w:tr>
            <w:tr w14:paraId="0E5F8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410" w:type="pct"/>
                  <w:vMerge w:val="restart"/>
                  <w:tcBorders>
                    <w:tl2br w:val="nil"/>
                    <w:tr2bl w:val="nil"/>
                  </w:tcBorders>
                  <w:vAlign w:val="center"/>
                </w:tcPr>
                <w:p w14:paraId="400233BC">
                  <w:pPr>
                    <w:jc w:val="center"/>
                    <w:rPr>
                      <w:color w:val="auto"/>
                      <w:szCs w:val="21"/>
                      <w:highlight w:val="none"/>
                    </w:rPr>
                  </w:pPr>
                  <w:r>
                    <w:rPr>
                      <w:rFonts w:hint="eastAsia"/>
                      <w:color w:val="auto"/>
                      <w:szCs w:val="21"/>
                      <w:highlight w:val="none"/>
                      <w:lang w:val="en-US" w:eastAsia="zh-CN"/>
                    </w:rPr>
                    <w:t>废水（W）</w:t>
                  </w:r>
                </w:p>
              </w:tc>
              <w:tc>
                <w:tcPr>
                  <w:tcW w:w="410" w:type="pct"/>
                  <w:tcBorders>
                    <w:tl2br w:val="nil"/>
                    <w:tr2bl w:val="nil"/>
                  </w:tcBorders>
                  <w:vAlign w:val="center"/>
                </w:tcPr>
                <w:p w14:paraId="4A2A7880">
                  <w:pPr>
                    <w:jc w:val="center"/>
                    <w:rPr>
                      <w:rFonts w:hint="eastAsia" w:eastAsia="宋体"/>
                      <w:color w:val="auto"/>
                      <w:szCs w:val="21"/>
                      <w:highlight w:val="none"/>
                      <w:lang w:val="en-US" w:eastAsia="zh-CN"/>
                    </w:rPr>
                  </w:pPr>
                  <w:r>
                    <w:rPr>
                      <w:rFonts w:hint="eastAsia"/>
                      <w:color w:val="auto"/>
                      <w:szCs w:val="21"/>
                      <w:highlight w:val="none"/>
                      <w:lang w:val="en-US" w:eastAsia="zh-CN"/>
                    </w:rPr>
                    <w:t>W1</w:t>
                  </w:r>
                </w:p>
              </w:tc>
              <w:tc>
                <w:tcPr>
                  <w:tcW w:w="847" w:type="pct"/>
                  <w:tcBorders>
                    <w:tl2br w:val="nil"/>
                    <w:tr2bl w:val="nil"/>
                  </w:tcBorders>
                  <w:vAlign w:val="center"/>
                </w:tcPr>
                <w:p w14:paraId="35F60522">
                  <w:pPr>
                    <w:jc w:val="center"/>
                    <w:rPr>
                      <w:rFonts w:hint="default"/>
                      <w:color w:val="auto"/>
                      <w:szCs w:val="21"/>
                      <w:highlight w:val="none"/>
                      <w:lang w:val="en-US" w:eastAsia="zh-CN"/>
                    </w:rPr>
                  </w:pPr>
                  <w:r>
                    <w:rPr>
                      <w:rFonts w:hint="eastAsia"/>
                      <w:color w:val="auto"/>
                      <w:szCs w:val="21"/>
                      <w:highlight w:val="none"/>
                      <w:lang w:val="en-US" w:eastAsia="zh-CN"/>
                    </w:rPr>
                    <w:t>预脱脂</w:t>
                  </w:r>
                </w:p>
              </w:tc>
              <w:tc>
                <w:tcPr>
                  <w:tcW w:w="1328" w:type="pct"/>
                  <w:tcBorders>
                    <w:tl2br w:val="nil"/>
                    <w:tr2bl w:val="nil"/>
                  </w:tcBorders>
                  <w:vAlign w:val="center"/>
                </w:tcPr>
                <w:p w14:paraId="38AEF169">
                  <w:pPr>
                    <w:jc w:val="center"/>
                    <w:rPr>
                      <w:rFonts w:hint="default" w:eastAsia="宋体"/>
                      <w:color w:val="auto"/>
                      <w:szCs w:val="21"/>
                      <w:highlight w:val="none"/>
                      <w:lang w:val="en-US" w:eastAsia="zh-CN"/>
                    </w:rPr>
                  </w:pPr>
                  <w:r>
                    <w:rPr>
                      <w:rFonts w:hint="eastAsia"/>
                      <w:color w:val="auto"/>
                      <w:szCs w:val="21"/>
                      <w:highlight w:val="none"/>
                      <w:lang w:val="en-US" w:eastAsia="zh-CN"/>
                    </w:rPr>
                    <w:t>pH、COD、BOD</w:t>
                  </w:r>
                  <w:r>
                    <w:rPr>
                      <w:rFonts w:hint="eastAsia"/>
                      <w:color w:val="auto"/>
                      <w:szCs w:val="21"/>
                      <w:highlight w:val="none"/>
                      <w:vertAlign w:val="subscript"/>
                      <w:lang w:val="en-US" w:eastAsia="zh-CN"/>
                    </w:rPr>
                    <w:t>5</w:t>
                  </w:r>
                  <w:r>
                    <w:rPr>
                      <w:rFonts w:hint="eastAsia"/>
                      <w:color w:val="auto"/>
                      <w:szCs w:val="21"/>
                      <w:highlight w:val="none"/>
                      <w:lang w:val="en-US" w:eastAsia="zh-CN"/>
                    </w:rPr>
                    <w:t>、SS、NH</w:t>
                  </w:r>
                  <w:r>
                    <w:rPr>
                      <w:rFonts w:hint="eastAsia"/>
                      <w:color w:val="auto"/>
                      <w:szCs w:val="21"/>
                      <w:highlight w:val="none"/>
                      <w:vertAlign w:val="subscript"/>
                      <w:lang w:val="en-US" w:eastAsia="zh-CN"/>
                    </w:rPr>
                    <w:t>3</w:t>
                  </w:r>
                  <w:r>
                    <w:rPr>
                      <w:rFonts w:hint="eastAsia"/>
                      <w:color w:val="auto"/>
                      <w:szCs w:val="21"/>
                      <w:highlight w:val="none"/>
                      <w:lang w:val="en-US" w:eastAsia="zh-CN"/>
                    </w:rPr>
                    <w:t>-H、TN、TP、石油类</w:t>
                  </w:r>
                </w:p>
              </w:tc>
              <w:tc>
                <w:tcPr>
                  <w:tcW w:w="2003" w:type="pct"/>
                  <w:gridSpan w:val="2"/>
                  <w:vMerge w:val="restart"/>
                  <w:tcBorders>
                    <w:tl2br w:val="nil"/>
                    <w:tr2bl w:val="nil"/>
                  </w:tcBorders>
                  <w:vAlign w:val="center"/>
                </w:tcPr>
                <w:p w14:paraId="3900BAD3">
                  <w:pPr>
                    <w:jc w:val="center"/>
                    <w:rPr>
                      <w:rFonts w:hint="default" w:eastAsia="宋体"/>
                      <w:color w:val="auto"/>
                      <w:szCs w:val="21"/>
                      <w:highlight w:val="none"/>
                      <w:lang w:val="en-US" w:eastAsia="zh-CN"/>
                    </w:rPr>
                  </w:pPr>
                  <w:r>
                    <w:rPr>
                      <w:rFonts w:hint="eastAsia"/>
                      <w:color w:val="auto"/>
                      <w:szCs w:val="21"/>
                      <w:highlight w:val="none"/>
                      <w:lang w:val="en-US" w:eastAsia="zh-CN"/>
                    </w:rPr>
                    <w:t>经项目新建污水处理站TW002（隔油+中和+絮凝+斜管沉淀+过滤器处理工艺）处理后与经化粪池处理后的生活污水和现有项目废水一起接管至李口镇污水处理厂</w:t>
                  </w:r>
                </w:p>
              </w:tc>
            </w:tr>
            <w:tr w14:paraId="1DB4A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410" w:type="pct"/>
                  <w:vMerge w:val="continue"/>
                  <w:tcBorders>
                    <w:tl2br w:val="nil"/>
                    <w:tr2bl w:val="nil"/>
                  </w:tcBorders>
                  <w:vAlign w:val="center"/>
                </w:tcPr>
                <w:p w14:paraId="0EF6F979">
                  <w:pPr>
                    <w:jc w:val="center"/>
                    <w:rPr>
                      <w:color w:val="auto"/>
                      <w:szCs w:val="21"/>
                      <w:highlight w:val="none"/>
                    </w:rPr>
                  </w:pPr>
                </w:p>
              </w:tc>
              <w:tc>
                <w:tcPr>
                  <w:tcW w:w="410" w:type="pct"/>
                  <w:tcBorders>
                    <w:tl2br w:val="nil"/>
                    <w:tr2bl w:val="nil"/>
                  </w:tcBorders>
                  <w:vAlign w:val="center"/>
                </w:tcPr>
                <w:p w14:paraId="770150A7">
                  <w:pPr>
                    <w:jc w:val="center"/>
                    <w:rPr>
                      <w:rFonts w:hint="default" w:eastAsia="宋体"/>
                      <w:color w:val="auto"/>
                      <w:szCs w:val="21"/>
                      <w:highlight w:val="none"/>
                      <w:lang w:val="en-US" w:eastAsia="zh-CN"/>
                    </w:rPr>
                  </w:pPr>
                  <w:r>
                    <w:rPr>
                      <w:rFonts w:hint="eastAsia"/>
                      <w:color w:val="auto"/>
                      <w:szCs w:val="21"/>
                      <w:highlight w:val="none"/>
                      <w:lang w:val="en-US" w:eastAsia="zh-CN"/>
                    </w:rPr>
                    <w:t>W2</w:t>
                  </w:r>
                </w:p>
              </w:tc>
              <w:tc>
                <w:tcPr>
                  <w:tcW w:w="847" w:type="pct"/>
                  <w:tcBorders>
                    <w:tl2br w:val="nil"/>
                    <w:tr2bl w:val="nil"/>
                  </w:tcBorders>
                  <w:vAlign w:val="center"/>
                </w:tcPr>
                <w:p w14:paraId="6A19D31A">
                  <w:pPr>
                    <w:jc w:val="center"/>
                    <w:rPr>
                      <w:rFonts w:hint="default"/>
                      <w:color w:val="auto"/>
                      <w:szCs w:val="21"/>
                      <w:highlight w:val="none"/>
                      <w:lang w:val="en-US" w:eastAsia="zh-CN"/>
                    </w:rPr>
                  </w:pPr>
                  <w:r>
                    <w:rPr>
                      <w:rFonts w:hint="eastAsia"/>
                      <w:color w:val="auto"/>
                      <w:szCs w:val="21"/>
                      <w:highlight w:val="none"/>
                      <w:lang w:val="en-US" w:eastAsia="zh-CN"/>
                    </w:rPr>
                    <w:t>水洗</w:t>
                  </w:r>
                </w:p>
              </w:tc>
              <w:tc>
                <w:tcPr>
                  <w:tcW w:w="1328" w:type="pct"/>
                  <w:tcBorders>
                    <w:tl2br w:val="nil"/>
                    <w:tr2bl w:val="nil"/>
                  </w:tcBorders>
                  <w:vAlign w:val="center"/>
                </w:tcPr>
                <w:p w14:paraId="391E6E2E">
                  <w:pPr>
                    <w:jc w:val="center"/>
                    <w:rPr>
                      <w:rFonts w:hint="eastAsia"/>
                      <w:color w:val="auto"/>
                      <w:szCs w:val="21"/>
                      <w:highlight w:val="none"/>
                    </w:rPr>
                  </w:pPr>
                  <w:r>
                    <w:rPr>
                      <w:rFonts w:hint="eastAsia"/>
                      <w:color w:val="auto"/>
                      <w:szCs w:val="21"/>
                      <w:highlight w:val="none"/>
                      <w:lang w:val="en-US" w:eastAsia="zh-CN"/>
                    </w:rPr>
                    <w:t>pH、COD、BOD</w:t>
                  </w:r>
                  <w:r>
                    <w:rPr>
                      <w:rFonts w:hint="eastAsia"/>
                      <w:color w:val="auto"/>
                      <w:szCs w:val="21"/>
                      <w:highlight w:val="none"/>
                      <w:vertAlign w:val="subscript"/>
                      <w:lang w:val="en-US" w:eastAsia="zh-CN"/>
                    </w:rPr>
                    <w:t>5</w:t>
                  </w:r>
                  <w:r>
                    <w:rPr>
                      <w:rFonts w:hint="eastAsia"/>
                      <w:color w:val="auto"/>
                      <w:szCs w:val="21"/>
                      <w:highlight w:val="none"/>
                      <w:lang w:val="en-US" w:eastAsia="zh-CN"/>
                    </w:rPr>
                    <w:t>、SS、NH</w:t>
                  </w:r>
                  <w:r>
                    <w:rPr>
                      <w:rFonts w:hint="eastAsia"/>
                      <w:color w:val="auto"/>
                      <w:szCs w:val="21"/>
                      <w:highlight w:val="none"/>
                      <w:vertAlign w:val="subscript"/>
                      <w:lang w:val="en-US" w:eastAsia="zh-CN"/>
                    </w:rPr>
                    <w:t>3</w:t>
                  </w:r>
                  <w:r>
                    <w:rPr>
                      <w:rFonts w:hint="eastAsia"/>
                      <w:color w:val="auto"/>
                      <w:szCs w:val="21"/>
                      <w:highlight w:val="none"/>
                      <w:lang w:val="en-US" w:eastAsia="zh-CN"/>
                    </w:rPr>
                    <w:t>-H、TN、TP、石油类</w:t>
                  </w:r>
                </w:p>
              </w:tc>
              <w:tc>
                <w:tcPr>
                  <w:tcW w:w="2003" w:type="pct"/>
                  <w:gridSpan w:val="2"/>
                  <w:vMerge w:val="continue"/>
                  <w:tcBorders>
                    <w:tl2br w:val="nil"/>
                    <w:tr2bl w:val="nil"/>
                  </w:tcBorders>
                  <w:vAlign w:val="center"/>
                </w:tcPr>
                <w:p w14:paraId="73280119">
                  <w:pPr>
                    <w:jc w:val="center"/>
                    <w:rPr>
                      <w:color w:val="auto"/>
                      <w:szCs w:val="21"/>
                      <w:highlight w:val="none"/>
                    </w:rPr>
                  </w:pPr>
                </w:p>
              </w:tc>
            </w:tr>
            <w:tr w14:paraId="63143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410" w:type="pct"/>
                  <w:vMerge w:val="continue"/>
                  <w:tcBorders>
                    <w:tl2br w:val="nil"/>
                    <w:tr2bl w:val="nil"/>
                  </w:tcBorders>
                  <w:vAlign w:val="center"/>
                </w:tcPr>
                <w:p w14:paraId="6E5D85B9">
                  <w:pPr>
                    <w:jc w:val="center"/>
                    <w:rPr>
                      <w:color w:val="auto"/>
                      <w:szCs w:val="21"/>
                      <w:highlight w:val="none"/>
                    </w:rPr>
                  </w:pPr>
                </w:p>
              </w:tc>
              <w:tc>
                <w:tcPr>
                  <w:tcW w:w="410" w:type="pct"/>
                  <w:tcBorders>
                    <w:tl2br w:val="nil"/>
                    <w:tr2bl w:val="nil"/>
                  </w:tcBorders>
                  <w:vAlign w:val="center"/>
                </w:tcPr>
                <w:p w14:paraId="68CF8396">
                  <w:pPr>
                    <w:jc w:val="center"/>
                    <w:rPr>
                      <w:rFonts w:hint="default" w:eastAsia="宋体"/>
                      <w:color w:val="auto"/>
                      <w:szCs w:val="21"/>
                      <w:highlight w:val="none"/>
                      <w:lang w:val="en-US" w:eastAsia="zh-CN"/>
                    </w:rPr>
                  </w:pPr>
                  <w:r>
                    <w:rPr>
                      <w:rFonts w:hint="eastAsia"/>
                      <w:color w:val="auto"/>
                      <w:szCs w:val="21"/>
                      <w:highlight w:val="none"/>
                      <w:lang w:val="en-US" w:eastAsia="zh-CN"/>
                    </w:rPr>
                    <w:t>W3</w:t>
                  </w:r>
                </w:p>
              </w:tc>
              <w:tc>
                <w:tcPr>
                  <w:tcW w:w="847" w:type="pct"/>
                  <w:tcBorders>
                    <w:tl2br w:val="nil"/>
                    <w:tr2bl w:val="nil"/>
                  </w:tcBorders>
                  <w:vAlign w:val="center"/>
                </w:tcPr>
                <w:p w14:paraId="06F883CE">
                  <w:pPr>
                    <w:jc w:val="center"/>
                    <w:rPr>
                      <w:rFonts w:hint="default"/>
                      <w:color w:val="auto"/>
                      <w:szCs w:val="21"/>
                      <w:highlight w:val="none"/>
                      <w:lang w:val="en-US" w:eastAsia="zh-CN"/>
                    </w:rPr>
                  </w:pPr>
                  <w:r>
                    <w:rPr>
                      <w:rFonts w:hint="eastAsia"/>
                      <w:color w:val="auto"/>
                      <w:szCs w:val="21"/>
                      <w:highlight w:val="none"/>
                      <w:lang w:val="en-US" w:eastAsia="zh-CN"/>
                    </w:rPr>
                    <w:t>水洗</w:t>
                  </w:r>
                </w:p>
              </w:tc>
              <w:tc>
                <w:tcPr>
                  <w:tcW w:w="1328" w:type="pct"/>
                  <w:tcBorders>
                    <w:tl2br w:val="nil"/>
                    <w:tr2bl w:val="nil"/>
                  </w:tcBorders>
                  <w:vAlign w:val="center"/>
                </w:tcPr>
                <w:p w14:paraId="50485B93">
                  <w:pPr>
                    <w:jc w:val="center"/>
                    <w:rPr>
                      <w:rFonts w:hint="eastAsia"/>
                      <w:color w:val="auto"/>
                      <w:szCs w:val="21"/>
                      <w:highlight w:val="none"/>
                    </w:rPr>
                  </w:pPr>
                  <w:r>
                    <w:rPr>
                      <w:rFonts w:hint="eastAsia"/>
                      <w:color w:val="auto"/>
                      <w:szCs w:val="21"/>
                      <w:highlight w:val="none"/>
                      <w:lang w:val="en-US" w:eastAsia="zh-CN"/>
                    </w:rPr>
                    <w:t>pH、COD、BOD</w:t>
                  </w:r>
                  <w:r>
                    <w:rPr>
                      <w:rFonts w:hint="eastAsia"/>
                      <w:color w:val="auto"/>
                      <w:szCs w:val="21"/>
                      <w:highlight w:val="none"/>
                      <w:vertAlign w:val="subscript"/>
                      <w:lang w:val="en-US" w:eastAsia="zh-CN"/>
                    </w:rPr>
                    <w:t>5</w:t>
                  </w:r>
                  <w:r>
                    <w:rPr>
                      <w:rFonts w:hint="eastAsia"/>
                      <w:color w:val="auto"/>
                      <w:szCs w:val="21"/>
                      <w:highlight w:val="none"/>
                      <w:lang w:val="en-US" w:eastAsia="zh-CN"/>
                    </w:rPr>
                    <w:t>、SS、NH</w:t>
                  </w:r>
                  <w:r>
                    <w:rPr>
                      <w:rFonts w:hint="eastAsia"/>
                      <w:color w:val="auto"/>
                      <w:szCs w:val="21"/>
                      <w:highlight w:val="none"/>
                      <w:vertAlign w:val="subscript"/>
                      <w:lang w:val="en-US" w:eastAsia="zh-CN"/>
                    </w:rPr>
                    <w:t>3</w:t>
                  </w:r>
                  <w:r>
                    <w:rPr>
                      <w:rFonts w:hint="eastAsia"/>
                      <w:color w:val="auto"/>
                      <w:szCs w:val="21"/>
                      <w:highlight w:val="none"/>
                      <w:lang w:val="en-US" w:eastAsia="zh-CN"/>
                    </w:rPr>
                    <w:t>-H、TN、TP、石油类</w:t>
                  </w:r>
                </w:p>
              </w:tc>
              <w:tc>
                <w:tcPr>
                  <w:tcW w:w="2003" w:type="pct"/>
                  <w:gridSpan w:val="2"/>
                  <w:vMerge w:val="continue"/>
                  <w:tcBorders>
                    <w:tl2br w:val="nil"/>
                    <w:tr2bl w:val="nil"/>
                  </w:tcBorders>
                  <w:vAlign w:val="center"/>
                </w:tcPr>
                <w:p w14:paraId="049C85BF">
                  <w:pPr>
                    <w:jc w:val="center"/>
                    <w:rPr>
                      <w:color w:val="auto"/>
                      <w:szCs w:val="21"/>
                      <w:highlight w:val="none"/>
                    </w:rPr>
                  </w:pPr>
                </w:p>
              </w:tc>
            </w:tr>
            <w:tr w14:paraId="4EB62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410" w:type="pct"/>
                  <w:vMerge w:val="continue"/>
                  <w:tcBorders>
                    <w:tl2br w:val="nil"/>
                    <w:tr2bl w:val="nil"/>
                  </w:tcBorders>
                  <w:vAlign w:val="center"/>
                </w:tcPr>
                <w:p w14:paraId="4EA3F05B">
                  <w:pPr>
                    <w:jc w:val="center"/>
                    <w:rPr>
                      <w:color w:val="auto"/>
                      <w:szCs w:val="21"/>
                      <w:highlight w:val="none"/>
                    </w:rPr>
                  </w:pPr>
                </w:p>
              </w:tc>
              <w:tc>
                <w:tcPr>
                  <w:tcW w:w="410" w:type="pct"/>
                  <w:tcBorders>
                    <w:tl2br w:val="nil"/>
                    <w:tr2bl w:val="nil"/>
                  </w:tcBorders>
                  <w:shd w:val="clear" w:color="auto" w:fill="auto"/>
                  <w:vAlign w:val="center"/>
                </w:tcPr>
                <w:p w14:paraId="543943DC">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W54</w:t>
                  </w:r>
                </w:p>
              </w:tc>
              <w:tc>
                <w:tcPr>
                  <w:tcW w:w="847" w:type="pct"/>
                  <w:tcBorders>
                    <w:tl2br w:val="nil"/>
                    <w:tr2bl w:val="nil"/>
                  </w:tcBorders>
                  <w:shd w:val="clear" w:color="auto" w:fill="auto"/>
                  <w:vAlign w:val="center"/>
                </w:tcPr>
                <w:p w14:paraId="3A750FE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水洗</w:t>
                  </w:r>
                </w:p>
              </w:tc>
              <w:tc>
                <w:tcPr>
                  <w:tcW w:w="1328" w:type="pct"/>
                  <w:tcBorders>
                    <w:tl2br w:val="nil"/>
                    <w:tr2bl w:val="nil"/>
                  </w:tcBorders>
                  <w:shd w:val="clear" w:color="auto" w:fill="auto"/>
                  <w:vAlign w:val="center"/>
                </w:tcPr>
                <w:p w14:paraId="0C3E955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pH、COD、BOD</w:t>
                  </w:r>
                  <w:r>
                    <w:rPr>
                      <w:rFonts w:hint="eastAsia"/>
                      <w:color w:val="auto"/>
                      <w:szCs w:val="21"/>
                      <w:highlight w:val="none"/>
                      <w:vertAlign w:val="subscript"/>
                      <w:lang w:val="en-US" w:eastAsia="zh-CN"/>
                    </w:rPr>
                    <w:t>5</w:t>
                  </w:r>
                  <w:r>
                    <w:rPr>
                      <w:rFonts w:hint="eastAsia"/>
                      <w:color w:val="auto"/>
                      <w:szCs w:val="21"/>
                      <w:highlight w:val="none"/>
                      <w:lang w:val="en-US" w:eastAsia="zh-CN"/>
                    </w:rPr>
                    <w:t>、SS、NH</w:t>
                  </w:r>
                  <w:r>
                    <w:rPr>
                      <w:rFonts w:hint="eastAsia"/>
                      <w:color w:val="auto"/>
                      <w:szCs w:val="21"/>
                      <w:highlight w:val="none"/>
                      <w:vertAlign w:val="subscript"/>
                      <w:lang w:val="en-US" w:eastAsia="zh-CN"/>
                    </w:rPr>
                    <w:t>3</w:t>
                  </w:r>
                  <w:r>
                    <w:rPr>
                      <w:rFonts w:hint="eastAsia"/>
                      <w:color w:val="auto"/>
                      <w:szCs w:val="21"/>
                      <w:highlight w:val="none"/>
                      <w:lang w:val="en-US" w:eastAsia="zh-CN"/>
                    </w:rPr>
                    <w:t>-H、TN、TP、总锌</w:t>
                  </w:r>
                </w:p>
              </w:tc>
              <w:tc>
                <w:tcPr>
                  <w:tcW w:w="2003" w:type="pct"/>
                  <w:gridSpan w:val="2"/>
                  <w:vMerge w:val="continue"/>
                  <w:tcBorders>
                    <w:tl2br w:val="nil"/>
                    <w:tr2bl w:val="nil"/>
                  </w:tcBorders>
                  <w:vAlign w:val="center"/>
                </w:tcPr>
                <w:p w14:paraId="4735108B">
                  <w:pPr>
                    <w:jc w:val="center"/>
                    <w:rPr>
                      <w:color w:val="auto"/>
                      <w:szCs w:val="21"/>
                      <w:highlight w:val="none"/>
                    </w:rPr>
                  </w:pPr>
                </w:p>
              </w:tc>
            </w:tr>
            <w:tr w14:paraId="7232F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410" w:type="pct"/>
                  <w:vMerge w:val="continue"/>
                  <w:tcBorders>
                    <w:tl2br w:val="nil"/>
                    <w:tr2bl w:val="nil"/>
                  </w:tcBorders>
                  <w:vAlign w:val="center"/>
                </w:tcPr>
                <w:p w14:paraId="154D7C54">
                  <w:pPr>
                    <w:jc w:val="center"/>
                    <w:rPr>
                      <w:color w:val="auto"/>
                      <w:szCs w:val="21"/>
                      <w:highlight w:val="none"/>
                    </w:rPr>
                  </w:pPr>
                </w:p>
              </w:tc>
              <w:tc>
                <w:tcPr>
                  <w:tcW w:w="410" w:type="pct"/>
                  <w:tcBorders>
                    <w:tl2br w:val="nil"/>
                    <w:tr2bl w:val="nil"/>
                  </w:tcBorders>
                  <w:shd w:val="clear" w:color="auto" w:fill="auto"/>
                  <w:vAlign w:val="center"/>
                </w:tcPr>
                <w:p w14:paraId="16C4B9D9">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W5</w:t>
                  </w:r>
                </w:p>
              </w:tc>
              <w:tc>
                <w:tcPr>
                  <w:tcW w:w="847" w:type="pct"/>
                  <w:tcBorders>
                    <w:tl2br w:val="nil"/>
                    <w:tr2bl w:val="nil"/>
                  </w:tcBorders>
                  <w:shd w:val="clear" w:color="auto" w:fill="auto"/>
                  <w:vAlign w:val="center"/>
                </w:tcPr>
                <w:p w14:paraId="685A1ED2">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水洗</w:t>
                  </w:r>
                </w:p>
              </w:tc>
              <w:tc>
                <w:tcPr>
                  <w:tcW w:w="1328" w:type="pct"/>
                  <w:tcBorders>
                    <w:tl2br w:val="nil"/>
                    <w:tr2bl w:val="nil"/>
                  </w:tcBorders>
                  <w:shd w:val="clear" w:color="auto" w:fill="auto"/>
                  <w:vAlign w:val="center"/>
                </w:tcPr>
                <w:p w14:paraId="612C4C3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pH、COD、BOD</w:t>
                  </w:r>
                  <w:r>
                    <w:rPr>
                      <w:rFonts w:hint="eastAsia"/>
                      <w:color w:val="auto"/>
                      <w:szCs w:val="21"/>
                      <w:highlight w:val="none"/>
                      <w:vertAlign w:val="subscript"/>
                      <w:lang w:val="en-US" w:eastAsia="zh-CN"/>
                    </w:rPr>
                    <w:t>5</w:t>
                  </w:r>
                  <w:r>
                    <w:rPr>
                      <w:rFonts w:hint="eastAsia"/>
                      <w:color w:val="auto"/>
                      <w:szCs w:val="21"/>
                      <w:highlight w:val="none"/>
                      <w:lang w:val="en-US" w:eastAsia="zh-CN"/>
                    </w:rPr>
                    <w:t>、SS、NH</w:t>
                  </w:r>
                  <w:r>
                    <w:rPr>
                      <w:rFonts w:hint="eastAsia"/>
                      <w:color w:val="auto"/>
                      <w:szCs w:val="21"/>
                      <w:highlight w:val="none"/>
                      <w:vertAlign w:val="subscript"/>
                      <w:lang w:val="en-US" w:eastAsia="zh-CN"/>
                    </w:rPr>
                    <w:t>3</w:t>
                  </w:r>
                  <w:r>
                    <w:rPr>
                      <w:rFonts w:hint="eastAsia"/>
                      <w:color w:val="auto"/>
                      <w:szCs w:val="21"/>
                      <w:highlight w:val="none"/>
                      <w:lang w:val="en-US" w:eastAsia="zh-CN"/>
                    </w:rPr>
                    <w:t>-H、TN、TP、总锌</w:t>
                  </w:r>
                </w:p>
              </w:tc>
              <w:tc>
                <w:tcPr>
                  <w:tcW w:w="2003" w:type="pct"/>
                  <w:gridSpan w:val="2"/>
                  <w:vMerge w:val="continue"/>
                  <w:tcBorders>
                    <w:tl2br w:val="nil"/>
                    <w:tr2bl w:val="nil"/>
                  </w:tcBorders>
                  <w:vAlign w:val="center"/>
                </w:tcPr>
                <w:p w14:paraId="267F9654">
                  <w:pPr>
                    <w:jc w:val="center"/>
                    <w:rPr>
                      <w:color w:val="auto"/>
                      <w:szCs w:val="21"/>
                      <w:highlight w:val="none"/>
                    </w:rPr>
                  </w:pPr>
                </w:p>
              </w:tc>
            </w:tr>
            <w:tr w14:paraId="0F2AC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852" w:hRule="atLeast"/>
                <w:jc w:val="center"/>
              </w:trPr>
              <w:tc>
                <w:tcPr>
                  <w:tcW w:w="410" w:type="pct"/>
                  <w:vMerge w:val="continue"/>
                  <w:tcBorders>
                    <w:tl2br w:val="nil"/>
                    <w:tr2bl w:val="nil"/>
                  </w:tcBorders>
                  <w:vAlign w:val="center"/>
                </w:tcPr>
                <w:p w14:paraId="7DE767C9">
                  <w:pPr>
                    <w:jc w:val="center"/>
                    <w:rPr>
                      <w:color w:val="auto"/>
                      <w:szCs w:val="21"/>
                      <w:highlight w:val="none"/>
                    </w:rPr>
                  </w:pPr>
                </w:p>
              </w:tc>
              <w:tc>
                <w:tcPr>
                  <w:tcW w:w="410" w:type="pct"/>
                  <w:tcBorders>
                    <w:tl2br w:val="nil"/>
                    <w:tr2bl w:val="nil"/>
                  </w:tcBorders>
                  <w:vAlign w:val="center"/>
                </w:tcPr>
                <w:p w14:paraId="1D360967">
                  <w:pPr>
                    <w:jc w:val="center"/>
                    <w:rPr>
                      <w:rFonts w:hint="default"/>
                      <w:color w:val="auto"/>
                      <w:szCs w:val="21"/>
                      <w:highlight w:val="none"/>
                      <w:lang w:val="en-US" w:eastAsia="zh-CN"/>
                    </w:rPr>
                  </w:pPr>
                  <w:r>
                    <w:rPr>
                      <w:rFonts w:hint="eastAsia"/>
                      <w:color w:val="auto"/>
                      <w:szCs w:val="21"/>
                      <w:highlight w:val="none"/>
                      <w:lang w:val="en-US" w:eastAsia="zh-CN"/>
                    </w:rPr>
                    <w:t>生活污水</w:t>
                  </w:r>
                </w:p>
              </w:tc>
              <w:tc>
                <w:tcPr>
                  <w:tcW w:w="847" w:type="pct"/>
                  <w:tcBorders>
                    <w:tl2br w:val="nil"/>
                    <w:tr2bl w:val="nil"/>
                  </w:tcBorders>
                  <w:vAlign w:val="center"/>
                </w:tcPr>
                <w:p w14:paraId="20268714">
                  <w:pPr>
                    <w:jc w:val="center"/>
                    <w:rPr>
                      <w:rFonts w:hint="default"/>
                      <w:color w:val="auto"/>
                      <w:szCs w:val="21"/>
                      <w:highlight w:val="none"/>
                      <w:lang w:val="en-US" w:eastAsia="zh-CN"/>
                    </w:rPr>
                  </w:pPr>
                  <w:r>
                    <w:rPr>
                      <w:rFonts w:hint="eastAsia"/>
                      <w:color w:val="auto"/>
                      <w:szCs w:val="21"/>
                      <w:highlight w:val="none"/>
                      <w:lang w:val="en-US" w:eastAsia="zh-CN"/>
                    </w:rPr>
                    <w:t>职工生活</w:t>
                  </w:r>
                </w:p>
              </w:tc>
              <w:tc>
                <w:tcPr>
                  <w:tcW w:w="1328" w:type="pct"/>
                  <w:tcBorders>
                    <w:tl2br w:val="nil"/>
                    <w:tr2bl w:val="nil"/>
                  </w:tcBorders>
                  <w:vAlign w:val="center"/>
                </w:tcPr>
                <w:p w14:paraId="1B4ECADE">
                  <w:pPr>
                    <w:jc w:val="center"/>
                    <w:rPr>
                      <w:rFonts w:hint="default"/>
                      <w:color w:val="auto"/>
                      <w:szCs w:val="21"/>
                      <w:highlight w:val="none"/>
                      <w:lang w:val="en-US"/>
                    </w:rPr>
                  </w:pPr>
                  <w:r>
                    <w:rPr>
                      <w:rFonts w:hint="eastAsia"/>
                      <w:color w:val="auto"/>
                      <w:szCs w:val="21"/>
                      <w:highlight w:val="none"/>
                      <w:lang w:val="en-US" w:eastAsia="zh-CN"/>
                    </w:rPr>
                    <w:t>pH、COD、BOD</w:t>
                  </w:r>
                  <w:r>
                    <w:rPr>
                      <w:rFonts w:hint="eastAsia"/>
                      <w:color w:val="auto"/>
                      <w:szCs w:val="21"/>
                      <w:highlight w:val="none"/>
                      <w:vertAlign w:val="subscript"/>
                      <w:lang w:val="en-US" w:eastAsia="zh-CN"/>
                    </w:rPr>
                    <w:t>5</w:t>
                  </w:r>
                  <w:r>
                    <w:rPr>
                      <w:rFonts w:hint="eastAsia"/>
                      <w:color w:val="auto"/>
                      <w:szCs w:val="21"/>
                      <w:highlight w:val="none"/>
                      <w:lang w:val="en-US" w:eastAsia="zh-CN"/>
                    </w:rPr>
                    <w:t>、SS、NH</w:t>
                  </w:r>
                  <w:r>
                    <w:rPr>
                      <w:rFonts w:hint="eastAsia"/>
                      <w:color w:val="auto"/>
                      <w:szCs w:val="21"/>
                      <w:highlight w:val="none"/>
                      <w:vertAlign w:val="subscript"/>
                      <w:lang w:val="en-US" w:eastAsia="zh-CN"/>
                    </w:rPr>
                    <w:t>3</w:t>
                  </w:r>
                  <w:r>
                    <w:rPr>
                      <w:rFonts w:hint="eastAsia"/>
                      <w:color w:val="auto"/>
                      <w:szCs w:val="21"/>
                      <w:highlight w:val="none"/>
                      <w:lang w:val="en-US" w:eastAsia="zh-CN"/>
                    </w:rPr>
                    <w:t>-H、TN、TP、动植物油</w:t>
                  </w:r>
                </w:p>
              </w:tc>
              <w:tc>
                <w:tcPr>
                  <w:tcW w:w="2003" w:type="pct"/>
                  <w:gridSpan w:val="2"/>
                  <w:tcBorders>
                    <w:tl2br w:val="nil"/>
                    <w:tr2bl w:val="nil"/>
                  </w:tcBorders>
                  <w:vAlign w:val="center"/>
                </w:tcPr>
                <w:p w14:paraId="3B772F4C">
                  <w:pPr>
                    <w:jc w:val="center"/>
                    <w:rPr>
                      <w:rFonts w:hint="default" w:eastAsia="宋体"/>
                      <w:color w:val="auto"/>
                      <w:szCs w:val="21"/>
                      <w:highlight w:val="none"/>
                      <w:lang w:val="en-US" w:eastAsia="zh-CN"/>
                    </w:rPr>
                  </w:pPr>
                  <w:r>
                    <w:rPr>
                      <w:rFonts w:hint="eastAsia"/>
                      <w:color w:val="auto"/>
                      <w:szCs w:val="21"/>
                      <w:highlight w:val="none"/>
                      <w:lang w:val="en-US" w:eastAsia="zh-CN"/>
                    </w:rPr>
                    <w:t>经化粪池处理后与本项目与处理后的生产废水和现有项目废水一起接管至李口镇污水处理厂</w:t>
                  </w:r>
                </w:p>
              </w:tc>
            </w:tr>
            <w:tr w14:paraId="3F104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restart"/>
                  <w:tcBorders>
                    <w:tl2br w:val="nil"/>
                    <w:tr2bl w:val="nil"/>
                  </w:tcBorders>
                  <w:vAlign w:val="center"/>
                </w:tcPr>
                <w:p w14:paraId="4D3802F2">
                  <w:pPr>
                    <w:jc w:val="center"/>
                    <w:rPr>
                      <w:snapToGrid w:val="0"/>
                      <w:color w:val="auto"/>
                      <w:kern w:val="0"/>
                      <w:szCs w:val="21"/>
                      <w:highlight w:val="none"/>
                    </w:rPr>
                  </w:pPr>
                  <w:r>
                    <w:rPr>
                      <w:snapToGrid w:val="0"/>
                      <w:color w:val="auto"/>
                      <w:kern w:val="0"/>
                      <w:szCs w:val="21"/>
                      <w:highlight w:val="none"/>
                    </w:rPr>
                    <w:t>固废（S）</w:t>
                  </w:r>
                </w:p>
              </w:tc>
              <w:tc>
                <w:tcPr>
                  <w:tcW w:w="410" w:type="pct"/>
                  <w:tcBorders>
                    <w:tl2br w:val="nil"/>
                    <w:tr2bl w:val="nil"/>
                  </w:tcBorders>
                  <w:vAlign w:val="center"/>
                </w:tcPr>
                <w:p w14:paraId="37504D8F">
                  <w:pPr>
                    <w:jc w:val="center"/>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S1</w:t>
                  </w:r>
                </w:p>
              </w:tc>
              <w:tc>
                <w:tcPr>
                  <w:tcW w:w="847" w:type="pct"/>
                  <w:tcBorders>
                    <w:tl2br w:val="nil"/>
                    <w:tr2bl w:val="nil"/>
                  </w:tcBorders>
                  <w:vAlign w:val="center"/>
                </w:tcPr>
                <w:p w14:paraId="2D4B1E74">
                  <w:pPr>
                    <w:jc w:val="center"/>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预脱脂槽渣</w:t>
                  </w:r>
                </w:p>
              </w:tc>
              <w:tc>
                <w:tcPr>
                  <w:tcW w:w="1328" w:type="pct"/>
                  <w:tcBorders>
                    <w:tl2br w:val="nil"/>
                    <w:tr2bl w:val="nil"/>
                  </w:tcBorders>
                  <w:vAlign w:val="center"/>
                </w:tcPr>
                <w:p w14:paraId="0855651B">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预脱脂槽渣</w:t>
                  </w:r>
                </w:p>
              </w:tc>
              <w:tc>
                <w:tcPr>
                  <w:tcW w:w="2003" w:type="pct"/>
                  <w:gridSpan w:val="2"/>
                  <w:vMerge w:val="restart"/>
                  <w:tcBorders>
                    <w:tl2br w:val="nil"/>
                    <w:tr2bl w:val="nil"/>
                  </w:tcBorders>
                  <w:vAlign w:val="center"/>
                </w:tcPr>
                <w:p w14:paraId="04F58B0F">
                  <w:pPr>
                    <w:jc w:val="center"/>
                    <w:rPr>
                      <w:snapToGrid w:val="0"/>
                      <w:color w:val="auto"/>
                      <w:kern w:val="0"/>
                      <w:szCs w:val="21"/>
                      <w:highlight w:val="none"/>
                    </w:rPr>
                  </w:pPr>
                  <w:r>
                    <w:rPr>
                      <w:rFonts w:hint="eastAsia"/>
                      <w:color w:val="auto"/>
                      <w:szCs w:val="22"/>
                      <w:highlight w:val="none"/>
                    </w:rPr>
                    <w:t>委托有资质单位处理</w:t>
                  </w:r>
                </w:p>
              </w:tc>
            </w:tr>
            <w:tr w14:paraId="7DA13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continue"/>
                  <w:tcBorders>
                    <w:tl2br w:val="nil"/>
                    <w:tr2bl w:val="nil"/>
                  </w:tcBorders>
                  <w:vAlign w:val="center"/>
                </w:tcPr>
                <w:p w14:paraId="11E1C1CF">
                  <w:pPr>
                    <w:jc w:val="center"/>
                    <w:rPr>
                      <w:snapToGrid w:val="0"/>
                      <w:color w:val="auto"/>
                      <w:kern w:val="0"/>
                      <w:szCs w:val="21"/>
                      <w:highlight w:val="none"/>
                    </w:rPr>
                  </w:pPr>
                </w:p>
              </w:tc>
              <w:tc>
                <w:tcPr>
                  <w:tcW w:w="410" w:type="pct"/>
                  <w:tcBorders>
                    <w:tl2br w:val="nil"/>
                    <w:tr2bl w:val="nil"/>
                  </w:tcBorders>
                  <w:vAlign w:val="center"/>
                </w:tcPr>
                <w:p w14:paraId="5687BDF0">
                  <w:pPr>
                    <w:jc w:val="center"/>
                    <w:rPr>
                      <w:rFonts w:hint="default" w:ascii="Times New Roman" w:hAnsi="Times New Roman" w:eastAsia="宋体" w:cs="Times New Roman"/>
                      <w:snapToGrid w:val="0"/>
                      <w:color w:val="auto"/>
                      <w:kern w:val="0"/>
                      <w:sz w:val="21"/>
                      <w:szCs w:val="21"/>
                      <w:highlight w:val="none"/>
                      <w:lang w:val="en-US" w:eastAsia="zh-CN" w:bidi="ar-SA"/>
                    </w:rPr>
                  </w:pPr>
                  <w:r>
                    <w:rPr>
                      <w:snapToGrid w:val="0"/>
                      <w:color w:val="auto"/>
                      <w:kern w:val="0"/>
                      <w:szCs w:val="21"/>
                      <w:highlight w:val="none"/>
                    </w:rPr>
                    <w:t>S</w:t>
                  </w:r>
                  <w:r>
                    <w:rPr>
                      <w:rFonts w:hint="eastAsia"/>
                      <w:snapToGrid w:val="0"/>
                      <w:color w:val="auto"/>
                      <w:kern w:val="0"/>
                      <w:szCs w:val="21"/>
                      <w:highlight w:val="none"/>
                      <w:lang w:val="en-US" w:eastAsia="zh-CN"/>
                    </w:rPr>
                    <w:t>2</w:t>
                  </w:r>
                </w:p>
              </w:tc>
              <w:tc>
                <w:tcPr>
                  <w:tcW w:w="847" w:type="pct"/>
                  <w:tcBorders>
                    <w:tl2br w:val="nil"/>
                    <w:tr2bl w:val="nil"/>
                  </w:tcBorders>
                  <w:vAlign w:val="center"/>
                </w:tcPr>
                <w:p w14:paraId="03493A20">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脱脂槽槽渣</w:t>
                  </w:r>
                </w:p>
              </w:tc>
              <w:tc>
                <w:tcPr>
                  <w:tcW w:w="1328" w:type="pct"/>
                  <w:tcBorders>
                    <w:tl2br w:val="nil"/>
                    <w:tr2bl w:val="nil"/>
                  </w:tcBorders>
                  <w:vAlign w:val="center"/>
                </w:tcPr>
                <w:p w14:paraId="19368C59">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脱脂槽槽渣</w:t>
                  </w:r>
                </w:p>
              </w:tc>
              <w:tc>
                <w:tcPr>
                  <w:tcW w:w="2003" w:type="pct"/>
                  <w:gridSpan w:val="2"/>
                  <w:vMerge w:val="continue"/>
                  <w:tcBorders>
                    <w:tl2br w:val="nil"/>
                    <w:tr2bl w:val="nil"/>
                  </w:tcBorders>
                  <w:vAlign w:val="center"/>
                </w:tcPr>
                <w:p w14:paraId="65148091">
                  <w:pPr>
                    <w:jc w:val="center"/>
                    <w:rPr>
                      <w:rFonts w:hint="eastAsia" w:ascii="Times New Roman" w:hAnsi="Times New Roman" w:eastAsia="宋体" w:cs="Times New Roman"/>
                      <w:snapToGrid w:val="0"/>
                      <w:color w:val="auto"/>
                      <w:kern w:val="0"/>
                      <w:sz w:val="21"/>
                      <w:szCs w:val="21"/>
                      <w:highlight w:val="none"/>
                      <w:lang w:val="en-US" w:eastAsia="zh-CN" w:bidi="ar-SA"/>
                    </w:rPr>
                  </w:pPr>
                </w:p>
              </w:tc>
            </w:tr>
            <w:tr w14:paraId="4236E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continue"/>
                  <w:tcBorders>
                    <w:tl2br w:val="nil"/>
                    <w:tr2bl w:val="nil"/>
                  </w:tcBorders>
                  <w:vAlign w:val="center"/>
                </w:tcPr>
                <w:p w14:paraId="7C7E51B7">
                  <w:pPr>
                    <w:jc w:val="center"/>
                    <w:rPr>
                      <w:snapToGrid w:val="0"/>
                      <w:color w:val="auto"/>
                      <w:kern w:val="0"/>
                      <w:szCs w:val="21"/>
                      <w:highlight w:val="none"/>
                    </w:rPr>
                  </w:pPr>
                </w:p>
              </w:tc>
              <w:tc>
                <w:tcPr>
                  <w:tcW w:w="410" w:type="pct"/>
                  <w:tcBorders>
                    <w:tl2br w:val="nil"/>
                    <w:tr2bl w:val="nil"/>
                  </w:tcBorders>
                  <w:vAlign w:val="center"/>
                </w:tcPr>
                <w:p w14:paraId="44EEB79F">
                  <w:pPr>
                    <w:jc w:val="center"/>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S3</w:t>
                  </w:r>
                </w:p>
              </w:tc>
              <w:tc>
                <w:tcPr>
                  <w:tcW w:w="847" w:type="pct"/>
                  <w:tcBorders>
                    <w:tl2br w:val="nil"/>
                    <w:tr2bl w:val="nil"/>
                  </w:tcBorders>
                  <w:vAlign w:val="center"/>
                </w:tcPr>
                <w:p w14:paraId="47FD0740">
                  <w:pPr>
                    <w:jc w:val="center"/>
                    <w:rPr>
                      <w:rFonts w:hint="default"/>
                      <w:snapToGrid w:val="0"/>
                      <w:color w:val="auto"/>
                      <w:kern w:val="0"/>
                      <w:szCs w:val="21"/>
                      <w:highlight w:val="none"/>
                      <w:lang w:val="en-US"/>
                    </w:rPr>
                  </w:pPr>
                  <w:r>
                    <w:rPr>
                      <w:rFonts w:hint="eastAsia"/>
                      <w:snapToGrid w:val="0"/>
                      <w:color w:val="auto"/>
                      <w:kern w:val="0"/>
                      <w:szCs w:val="21"/>
                      <w:highlight w:val="none"/>
                      <w:lang w:val="en-US" w:eastAsia="zh-CN"/>
                    </w:rPr>
                    <w:t>表调槽渣</w:t>
                  </w:r>
                </w:p>
              </w:tc>
              <w:tc>
                <w:tcPr>
                  <w:tcW w:w="1328" w:type="pct"/>
                  <w:tcBorders>
                    <w:tl2br w:val="nil"/>
                    <w:tr2bl w:val="nil"/>
                  </w:tcBorders>
                  <w:vAlign w:val="center"/>
                </w:tcPr>
                <w:p w14:paraId="38414388">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表调槽渣</w:t>
                  </w:r>
                </w:p>
              </w:tc>
              <w:tc>
                <w:tcPr>
                  <w:tcW w:w="2003" w:type="pct"/>
                  <w:gridSpan w:val="2"/>
                  <w:vMerge w:val="continue"/>
                  <w:tcBorders>
                    <w:tl2br w:val="nil"/>
                    <w:tr2bl w:val="nil"/>
                  </w:tcBorders>
                  <w:vAlign w:val="center"/>
                </w:tcPr>
                <w:p w14:paraId="7E3CF62D">
                  <w:pPr>
                    <w:jc w:val="center"/>
                    <w:rPr>
                      <w:color w:val="auto"/>
                      <w:szCs w:val="21"/>
                      <w:highlight w:val="none"/>
                    </w:rPr>
                  </w:pPr>
                </w:p>
              </w:tc>
            </w:tr>
            <w:tr w14:paraId="3C72F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continue"/>
                  <w:tcBorders>
                    <w:tl2br w:val="nil"/>
                    <w:tr2bl w:val="nil"/>
                  </w:tcBorders>
                  <w:vAlign w:val="center"/>
                </w:tcPr>
                <w:p w14:paraId="4F9994C4">
                  <w:pPr>
                    <w:jc w:val="center"/>
                    <w:rPr>
                      <w:snapToGrid w:val="0"/>
                      <w:color w:val="auto"/>
                      <w:kern w:val="0"/>
                      <w:szCs w:val="21"/>
                      <w:highlight w:val="none"/>
                    </w:rPr>
                  </w:pPr>
                </w:p>
              </w:tc>
              <w:tc>
                <w:tcPr>
                  <w:tcW w:w="410" w:type="pct"/>
                  <w:tcBorders>
                    <w:tl2br w:val="nil"/>
                    <w:tr2bl w:val="nil"/>
                  </w:tcBorders>
                  <w:vAlign w:val="center"/>
                </w:tcPr>
                <w:p w14:paraId="0FA4025D">
                  <w:pPr>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S4</w:t>
                  </w:r>
                </w:p>
              </w:tc>
              <w:tc>
                <w:tcPr>
                  <w:tcW w:w="847" w:type="pct"/>
                  <w:tcBorders>
                    <w:tl2br w:val="nil"/>
                    <w:tr2bl w:val="nil"/>
                  </w:tcBorders>
                  <w:vAlign w:val="center"/>
                </w:tcPr>
                <w:p w14:paraId="68C18EE8">
                  <w:pPr>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皮膜槽渣</w:t>
                  </w:r>
                </w:p>
              </w:tc>
              <w:tc>
                <w:tcPr>
                  <w:tcW w:w="1328" w:type="pct"/>
                  <w:tcBorders>
                    <w:tl2br w:val="nil"/>
                    <w:tr2bl w:val="nil"/>
                  </w:tcBorders>
                  <w:vAlign w:val="center"/>
                </w:tcPr>
                <w:p w14:paraId="7CD96F90">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皮膜槽渣</w:t>
                  </w:r>
                </w:p>
              </w:tc>
              <w:tc>
                <w:tcPr>
                  <w:tcW w:w="2003" w:type="pct"/>
                  <w:gridSpan w:val="2"/>
                  <w:vMerge w:val="continue"/>
                  <w:tcBorders>
                    <w:tl2br w:val="nil"/>
                    <w:tr2bl w:val="nil"/>
                  </w:tcBorders>
                  <w:vAlign w:val="center"/>
                </w:tcPr>
                <w:p w14:paraId="6795D22D">
                  <w:pPr>
                    <w:jc w:val="center"/>
                    <w:rPr>
                      <w:rFonts w:hint="eastAsia"/>
                      <w:snapToGrid w:val="0"/>
                      <w:color w:val="auto"/>
                      <w:kern w:val="0"/>
                      <w:szCs w:val="21"/>
                      <w:highlight w:val="none"/>
                    </w:rPr>
                  </w:pPr>
                </w:p>
              </w:tc>
            </w:tr>
            <w:tr w14:paraId="68251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continue"/>
                  <w:tcBorders>
                    <w:tl2br w:val="nil"/>
                    <w:tr2bl w:val="nil"/>
                  </w:tcBorders>
                  <w:vAlign w:val="center"/>
                </w:tcPr>
                <w:p w14:paraId="2C3D9989">
                  <w:pPr>
                    <w:jc w:val="center"/>
                    <w:rPr>
                      <w:snapToGrid w:val="0"/>
                      <w:color w:val="auto"/>
                      <w:kern w:val="0"/>
                      <w:szCs w:val="21"/>
                      <w:highlight w:val="none"/>
                    </w:rPr>
                  </w:pPr>
                </w:p>
              </w:tc>
              <w:tc>
                <w:tcPr>
                  <w:tcW w:w="410" w:type="pct"/>
                  <w:tcBorders>
                    <w:tl2br w:val="nil"/>
                    <w:tr2bl w:val="nil"/>
                  </w:tcBorders>
                  <w:vAlign w:val="center"/>
                </w:tcPr>
                <w:p w14:paraId="27E0C483">
                  <w:pPr>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w:t>
                  </w:r>
                </w:p>
              </w:tc>
              <w:tc>
                <w:tcPr>
                  <w:tcW w:w="847" w:type="pct"/>
                  <w:tcBorders>
                    <w:tl2br w:val="nil"/>
                    <w:tr2bl w:val="nil"/>
                  </w:tcBorders>
                  <w:vAlign w:val="center"/>
                </w:tcPr>
                <w:p w14:paraId="69C089D8">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废气处理</w:t>
                  </w:r>
                </w:p>
              </w:tc>
              <w:tc>
                <w:tcPr>
                  <w:tcW w:w="1328" w:type="pct"/>
                  <w:tcBorders>
                    <w:tl2br w:val="nil"/>
                    <w:tr2bl w:val="nil"/>
                  </w:tcBorders>
                  <w:vAlign w:val="center"/>
                </w:tcPr>
                <w:p w14:paraId="6F02710A">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收集的粉尘</w:t>
                  </w:r>
                </w:p>
              </w:tc>
              <w:tc>
                <w:tcPr>
                  <w:tcW w:w="2003" w:type="pct"/>
                  <w:gridSpan w:val="2"/>
                  <w:tcBorders>
                    <w:tl2br w:val="nil"/>
                    <w:tr2bl w:val="nil"/>
                  </w:tcBorders>
                  <w:vAlign w:val="center"/>
                </w:tcPr>
                <w:p w14:paraId="7840E8D5">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回用于喷塑工序</w:t>
                  </w:r>
                </w:p>
              </w:tc>
            </w:tr>
            <w:tr w14:paraId="036D1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continue"/>
                  <w:tcBorders>
                    <w:tl2br w:val="nil"/>
                    <w:tr2bl w:val="nil"/>
                  </w:tcBorders>
                  <w:vAlign w:val="center"/>
                </w:tcPr>
                <w:p w14:paraId="1935F516">
                  <w:pPr>
                    <w:jc w:val="center"/>
                    <w:rPr>
                      <w:snapToGrid w:val="0"/>
                      <w:color w:val="auto"/>
                      <w:kern w:val="0"/>
                      <w:szCs w:val="21"/>
                      <w:highlight w:val="none"/>
                    </w:rPr>
                  </w:pPr>
                </w:p>
              </w:tc>
              <w:tc>
                <w:tcPr>
                  <w:tcW w:w="410" w:type="pct"/>
                  <w:tcBorders>
                    <w:tl2br w:val="nil"/>
                    <w:tr2bl w:val="nil"/>
                  </w:tcBorders>
                  <w:vAlign w:val="center"/>
                </w:tcPr>
                <w:p w14:paraId="15516F71">
                  <w:pPr>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w:t>
                  </w:r>
                </w:p>
              </w:tc>
              <w:tc>
                <w:tcPr>
                  <w:tcW w:w="847" w:type="pct"/>
                  <w:tcBorders>
                    <w:tl2br w:val="nil"/>
                    <w:tr2bl w:val="nil"/>
                  </w:tcBorders>
                  <w:vAlign w:val="center"/>
                </w:tcPr>
                <w:p w14:paraId="3B40E48B">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废气处理</w:t>
                  </w:r>
                </w:p>
              </w:tc>
              <w:tc>
                <w:tcPr>
                  <w:tcW w:w="1328" w:type="pct"/>
                  <w:tcBorders>
                    <w:tl2br w:val="nil"/>
                    <w:tr2bl w:val="nil"/>
                  </w:tcBorders>
                  <w:vAlign w:val="center"/>
                </w:tcPr>
                <w:p w14:paraId="3626EAEC">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废布袋</w:t>
                  </w:r>
                </w:p>
              </w:tc>
              <w:tc>
                <w:tcPr>
                  <w:tcW w:w="2003" w:type="pct"/>
                  <w:gridSpan w:val="2"/>
                  <w:vMerge w:val="restart"/>
                  <w:tcBorders>
                    <w:tl2br w:val="nil"/>
                    <w:tr2bl w:val="nil"/>
                  </w:tcBorders>
                  <w:vAlign w:val="center"/>
                </w:tcPr>
                <w:p w14:paraId="7FED8897">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Cs w:val="22"/>
                      <w:highlight w:val="none"/>
                    </w:rPr>
                    <w:t>委托有资质单位处理</w:t>
                  </w:r>
                </w:p>
              </w:tc>
            </w:tr>
            <w:tr w14:paraId="30A2F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continue"/>
                  <w:tcBorders>
                    <w:tl2br w:val="nil"/>
                    <w:tr2bl w:val="nil"/>
                  </w:tcBorders>
                  <w:vAlign w:val="center"/>
                </w:tcPr>
                <w:p w14:paraId="2A921B69">
                  <w:pPr>
                    <w:jc w:val="center"/>
                    <w:rPr>
                      <w:snapToGrid w:val="0"/>
                      <w:color w:val="auto"/>
                      <w:kern w:val="0"/>
                      <w:szCs w:val="21"/>
                      <w:highlight w:val="none"/>
                    </w:rPr>
                  </w:pPr>
                </w:p>
              </w:tc>
              <w:tc>
                <w:tcPr>
                  <w:tcW w:w="410" w:type="pct"/>
                  <w:tcBorders>
                    <w:tl2br w:val="nil"/>
                    <w:tr2bl w:val="nil"/>
                  </w:tcBorders>
                  <w:vAlign w:val="center"/>
                </w:tcPr>
                <w:p w14:paraId="4EC24E2F">
                  <w:pPr>
                    <w:jc w:val="center"/>
                    <w:rPr>
                      <w:snapToGrid w:val="0"/>
                      <w:color w:val="auto"/>
                      <w:kern w:val="0"/>
                      <w:szCs w:val="21"/>
                      <w:highlight w:val="none"/>
                    </w:rPr>
                  </w:pPr>
                  <w:r>
                    <w:rPr>
                      <w:rFonts w:hint="eastAsia"/>
                      <w:snapToGrid w:val="0"/>
                      <w:color w:val="auto"/>
                      <w:kern w:val="0"/>
                      <w:szCs w:val="21"/>
                      <w:highlight w:val="none"/>
                    </w:rPr>
                    <w:t>/</w:t>
                  </w:r>
                </w:p>
              </w:tc>
              <w:tc>
                <w:tcPr>
                  <w:tcW w:w="847" w:type="pct"/>
                  <w:tcBorders>
                    <w:tl2br w:val="nil"/>
                    <w:tr2bl w:val="nil"/>
                  </w:tcBorders>
                  <w:vAlign w:val="center"/>
                </w:tcPr>
                <w:p w14:paraId="45770C67">
                  <w:pPr>
                    <w:jc w:val="center"/>
                    <w:rPr>
                      <w:rFonts w:hint="eastAsia"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废气处理</w:t>
                  </w:r>
                </w:p>
              </w:tc>
              <w:tc>
                <w:tcPr>
                  <w:tcW w:w="1328" w:type="pct"/>
                  <w:tcBorders>
                    <w:tl2br w:val="nil"/>
                    <w:tr2bl w:val="nil"/>
                  </w:tcBorders>
                  <w:vAlign w:val="center"/>
                </w:tcPr>
                <w:p w14:paraId="1C35C4B6">
                  <w:pPr>
                    <w:jc w:val="center"/>
                    <w:rPr>
                      <w:snapToGrid w:val="0"/>
                      <w:color w:val="auto"/>
                      <w:kern w:val="0"/>
                      <w:szCs w:val="21"/>
                      <w:highlight w:val="none"/>
                    </w:rPr>
                  </w:pPr>
                  <w:r>
                    <w:rPr>
                      <w:rFonts w:hint="eastAsia"/>
                      <w:snapToGrid w:val="0"/>
                      <w:color w:val="auto"/>
                      <w:kern w:val="0"/>
                      <w:szCs w:val="21"/>
                      <w:highlight w:val="none"/>
                      <w:lang w:val="en-US" w:eastAsia="zh-CN"/>
                    </w:rPr>
                    <w:t>废活性炭</w:t>
                  </w:r>
                </w:p>
              </w:tc>
              <w:tc>
                <w:tcPr>
                  <w:tcW w:w="2003" w:type="pct"/>
                  <w:gridSpan w:val="2"/>
                  <w:vMerge w:val="continue"/>
                  <w:tcBorders>
                    <w:tl2br w:val="nil"/>
                    <w:tr2bl w:val="nil"/>
                  </w:tcBorders>
                  <w:vAlign w:val="center"/>
                </w:tcPr>
                <w:p w14:paraId="294AD96D">
                  <w:pPr>
                    <w:jc w:val="center"/>
                    <w:rPr>
                      <w:rFonts w:hint="eastAsia" w:ascii="Times New Roman" w:hAnsi="Times New Roman" w:eastAsia="宋体" w:cs="Times New Roman"/>
                      <w:color w:val="auto"/>
                      <w:kern w:val="2"/>
                      <w:sz w:val="21"/>
                      <w:szCs w:val="21"/>
                      <w:highlight w:val="none"/>
                      <w:lang w:val="en-US" w:eastAsia="zh-CN" w:bidi="ar-SA"/>
                    </w:rPr>
                  </w:pPr>
                </w:p>
              </w:tc>
            </w:tr>
            <w:tr w14:paraId="288EA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continue"/>
                  <w:tcBorders>
                    <w:tl2br w:val="nil"/>
                    <w:tr2bl w:val="nil"/>
                  </w:tcBorders>
                  <w:vAlign w:val="center"/>
                </w:tcPr>
                <w:p w14:paraId="6047E4B4">
                  <w:pPr>
                    <w:jc w:val="center"/>
                    <w:rPr>
                      <w:snapToGrid w:val="0"/>
                      <w:color w:val="auto"/>
                      <w:kern w:val="0"/>
                      <w:szCs w:val="21"/>
                      <w:highlight w:val="none"/>
                    </w:rPr>
                  </w:pPr>
                </w:p>
              </w:tc>
              <w:tc>
                <w:tcPr>
                  <w:tcW w:w="410" w:type="pct"/>
                  <w:tcBorders>
                    <w:tl2br w:val="nil"/>
                    <w:tr2bl w:val="nil"/>
                  </w:tcBorders>
                  <w:vAlign w:val="center"/>
                </w:tcPr>
                <w:p w14:paraId="737A6BFF">
                  <w:pPr>
                    <w:jc w:val="center"/>
                    <w:rPr>
                      <w:rFonts w:hint="eastAsia"/>
                      <w:snapToGrid w:val="0"/>
                      <w:color w:val="auto"/>
                      <w:kern w:val="0"/>
                      <w:szCs w:val="21"/>
                      <w:highlight w:val="none"/>
                    </w:rPr>
                  </w:pPr>
                </w:p>
              </w:tc>
              <w:tc>
                <w:tcPr>
                  <w:tcW w:w="847" w:type="pct"/>
                  <w:tcBorders>
                    <w:tl2br w:val="nil"/>
                    <w:tr2bl w:val="nil"/>
                  </w:tcBorders>
                  <w:vAlign w:val="center"/>
                </w:tcPr>
                <w:p w14:paraId="4AE148F1">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废水处理</w:t>
                  </w:r>
                </w:p>
              </w:tc>
              <w:tc>
                <w:tcPr>
                  <w:tcW w:w="1328" w:type="pct"/>
                  <w:tcBorders>
                    <w:tl2br w:val="nil"/>
                    <w:tr2bl w:val="nil"/>
                  </w:tcBorders>
                  <w:vAlign w:val="center"/>
                </w:tcPr>
                <w:p w14:paraId="69B20101">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污泥</w:t>
                  </w:r>
                </w:p>
              </w:tc>
              <w:tc>
                <w:tcPr>
                  <w:tcW w:w="2003" w:type="pct"/>
                  <w:gridSpan w:val="2"/>
                  <w:vMerge w:val="continue"/>
                  <w:tcBorders>
                    <w:tl2br w:val="nil"/>
                    <w:tr2bl w:val="nil"/>
                  </w:tcBorders>
                  <w:vAlign w:val="center"/>
                </w:tcPr>
                <w:p w14:paraId="145CA12E">
                  <w:pPr>
                    <w:jc w:val="center"/>
                    <w:rPr>
                      <w:rFonts w:hint="eastAsia" w:ascii="Times New Roman" w:hAnsi="Times New Roman" w:eastAsia="宋体" w:cs="Times New Roman"/>
                      <w:color w:val="auto"/>
                      <w:kern w:val="2"/>
                      <w:sz w:val="21"/>
                      <w:szCs w:val="21"/>
                      <w:highlight w:val="none"/>
                      <w:lang w:val="en-US" w:eastAsia="zh-CN" w:bidi="ar-SA"/>
                    </w:rPr>
                  </w:pPr>
                </w:p>
              </w:tc>
            </w:tr>
            <w:tr w14:paraId="6685E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continue"/>
                  <w:tcBorders>
                    <w:tl2br w:val="nil"/>
                    <w:tr2bl w:val="nil"/>
                  </w:tcBorders>
                  <w:vAlign w:val="center"/>
                </w:tcPr>
                <w:p w14:paraId="3BC3E9C0">
                  <w:pPr>
                    <w:jc w:val="center"/>
                    <w:rPr>
                      <w:snapToGrid w:val="0"/>
                      <w:color w:val="auto"/>
                      <w:kern w:val="0"/>
                      <w:szCs w:val="21"/>
                      <w:highlight w:val="none"/>
                    </w:rPr>
                  </w:pPr>
                </w:p>
              </w:tc>
              <w:tc>
                <w:tcPr>
                  <w:tcW w:w="410" w:type="pct"/>
                  <w:tcBorders>
                    <w:tl2br w:val="nil"/>
                    <w:tr2bl w:val="nil"/>
                  </w:tcBorders>
                  <w:vAlign w:val="center"/>
                </w:tcPr>
                <w:p w14:paraId="265130CA">
                  <w:pPr>
                    <w:jc w:val="center"/>
                    <w:rPr>
                      <w:snapToGrid w:val="0"/>
                      <w:color w:val="auto"/>
                      <w:kern w:val="0"/>
                      <w:szCs w:val="21"/>
                      <w:highlight w:val="none"/>
                    </w:rPr>
                  </w:pPr>
                  <w:r>
                    <w:rPr>
                      <w:rFonts w:hint="eastAsia"/>
                      <w:snapToGrid w:val="0"/>
                      <w:color w:val="auto"/>
                      <w:kern w:val="0"/>
                      <w:szCs w:val="21"/>
                      <w:highlight w:val="none"/>
                    </w:rPr>
                    <w:t>/</w:t>
                  </w:r>
                </w:p>
              </w:tc>
              <w:tc>
                <w:tcPr>
                  <w:tcW w:w="847" w:type="pct"/>
                  <w:tcBorders>
                    <w:tl2br w:val="nil"/>
                    <w:tr2bl w:val="nil"/>
                  </w:tcBorders>
                  <w:vAlign w:val="center"/>
                </w:tcPr>
                <w:p w14:paraId="1382B2E5">
                  <w:pPr>
                    <w:jc w:val="center"/>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废水处理</w:t>
                  </w:r>
                </w:p>
              </w:tc>
              <w:tc>
                <w:tcPr>
                  <w:tcW w:w="1328" w:type="pct"/>
                  <w:tcBorders>
                    <w:tl2br w:val="nil"/>
                    <w:tr2bl w:val="nil"/>
                  </w:tcBorders>
                  <w:vAlign w:val="center"/>
                </w:tcPr>
                <w:p w14:paraId="37A606C5">
                  <w:pPr>
                    <w:jc w:val="center"/>
                    <w:rPr>
                      <w:snapToGrid w:val="0"/>
                      <w:color w:val="auto"/>
                      <w:kern w:val="0"/>
                      <w:szCs w:val="21"/>
                      <w:highlight w:val="none"/>
                    </w:rPr>
                  </w:pPr>
                  <w:r>
                    <w:rPr>
                      <w:rFonts w:hint="eastAsia"/>
                      <w:snapToGrid w:val="0"/>
                      <w:color w:val="auto"/>
                      <w:kern w:val="0"/>
                      <w:szCs w:val="21"/>
                      <w:highlight w:val="none"/>
                      <w:lang w:val="en-US" w:eastAsia="zh-CN"/>
                    </w:rPr>
                    <w:t>废油</w:t>
                  </w:r>
                </w:p>
              </w:tc>
              <w:tc>
                <w:tcPr>
                  <w:tcW w:w="2003" w:type="pct"/>
                  <w:gridSpan w:val="2"/>
                  <w:vMerge w:val="continue"/>
                  <w:tcBorders>
                    <w:tl2br w:val="nil"/>
                    <w:tr2bl w:val="nil"/>
                  </w:tcBorders>
                  <w:vAlign w:val="center"/>
                </w:tcPr>
                <w:p w14:paraId="24F1BD39">
                  <w:pPr>
                    <w:jc w:val="center"/>
                    <w:rPr>
                      <w:snapToGrid w:val="0"/>
                      <w:color w:val="auto"/>
                      <w:kern w:val="0"/>
                      <w:szCs w:val="21"/>
                      <w:highlight w:val="none"/>
                    </w:rPr>
                  </w:pPr>
                </w:p>
              </w:tc>
            </w:tr>
            <w:tr w14:paraId="14584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410" w:type="pct"/>
                  <w:vMerge w:val="continue"/>
                  <w:tcBorders>
                    <w:tl2br w:val="nil"/>
                    <w:tr2bl w:val="nil"/>
                  </w:tcBorders>
                  <w:vAlign w:val="center"/>
                </w:tcPr>
                <w:p w14:paraId="289DAF47">
                  <w:pPr>
                    <w:jc w:val="center"/>
                    <w:rPr>
                      <w:snapToGrid w:val="0"/>
                      <w:color w:val="auto"/>
                      <w:kern w:val="0"/>
                      <w:szCs w:val="21"/>
                      <w:highlight w:val="none"/>
                    </w:rPr>
                  </w:pPr>
                </w:p>
              </w:tc>
              <w:tc>
                <w:tcPr>
                  <w:tcW w:w="410" w:type="pct"/>
                  <w:tcBorders>
                    <w:tl2br w:val="nil"/>
                    <w:tr2bl w:val="nil"/>
                  </w:tcBorders>
                  <w:vAlign w:val="center"/>
                </w:tcPr>
                <w:p w14:paraId="70AC78A1">
                  <w:pPr>
                    <w:jc w:val="center"/>
                    <w:rPr>
                      <w:rFonts w:hint="eastAsia"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w:t>
                  </w:r>
                </w:p>
              </w:tc>
              <w:tc>
                <w:tcPr>
                  <w:tcW w:w="847" w:type="pct"/>
                  <w:tcBorders>
                    <w:tl2br w:val="nil"/>
                    <w:tr2bl w:val="nil"/>
                  </w:tcBorders>
                  <w:vAlign w:val="center"/>
                </w:tcPr>
                <w:p w14:paraId="05F86C93">
                  <w:pPr>
                    <w:jc w:val="center"/>
                    <w:rPr>
                      <w:rFonts w:hint="eastAsia"/>
                      <w:snapToGrid w:val="0"/>
                      <w:color w:val="auto"/>
                      <w:kern w:val="0"/>
                      <w:szCs w:val="21"/>
                      <w:highlight w:val="none"/>
                      <w:lang w:val="en-US" w:eastAsia="zh-CN"/>
                    </w:rPr>
                  </w:pPr>
                  <w:r>
                    <w:rPr>
                      <w:rFonts w:hint="eastAsia"/>
                      <w:snapToGrid w:val="0"/>
                      <w:color w:val="auto"/>
                      <w:kern w:val="0"/>
                      <w:szCs w:val="21"/>
                      <w:highlight w:val="none"/>
                      <w:lang w:val="en-US" w:eastAsia="zh-CN"/>
                    </w:rPr>
                    <w:t>职工生活</w:t>
                  </w:r>
                </w:p>
              </w:tc>
              <w:tc>
                <w:tcPr>
                  <w:tcW w:w="1328" w:type="pct"/>
                  <w:tcBorders>
                    <w:tl2br w:val="nil"/>
                    <w:tr2bl w:val="nil"/>
                  </w:tcBorders>
                  <w:vAlign w:val="center"/>
                </w:tcPr>
                <w:p w14:paraId="526D17D6">
                  <w:pPr>
                    <w:jc w:val="center"/>
                    <w:rPr>
                      <w:snapToGrid w:val="0"/>
                      <w:color w:val="auto"/>
                      <w:kern w:val="0"/>
                      <w:szCs w:val="21"/>
                      <w:highlight w:val="none"/>
                    </w:rPr>
                  </w:pPr>
                  <w:r>
                    <w:rPr>
                      <w:rFonts w:hint="eastAsia"/>
                      <w:snapToGrid w:val="0"/>
                      <w:color w:val="auto"/>
                      <w:kern w:val="0"/>
                      <w:szCs w:val="21"/>
                      <w:highlight w:val="none"/>
                      <w:lang w:val="en-US" w:eastAsia="zh-CN"/>
                    </w:rPr>
                    <w:t>生活垃圾</w:t>
                  </w:r>
                </w:p>
              </w:tc>
              <w:tc>
                <w:tcPr>
                  <w:tcW w:w="2003" w:type="pct"/>
                  <w:gridSpan w:val="2"/>
                  <w:tcBorders>
                    <w:tl2br w:val="nil"/>
                    <w:tr2bl w:val="nil"/>
                  </w:tcBorders>
                  <w:vAlign w:val="center"/>
                </w:tcPr>
                <w:p w14:paraId="7EC5F5B1">
                  <w:pPr>
                    <w:jc w:val="center"/>
                    <w:rPr>
                      <w:rFonts w:hint="eastAsia"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环卫清运</w:t>
                  </w:r>
                </w:p>
              </w:tc>
            </w:tr>
            <w:tr w14:paraId="5E0D5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85" w:hRule="atLeast"/>
                <w:jc w:val="center"/>
              </w:trPr>
              <w:tc>
                <w:tcPr>
                  <w:tcW w:w="410" w:type="pct"/>
                  <w:tcBorders>
                    <w:tl2br w:val="nil"/>
                    <w:tr2bl w:val="nil"/>
                  </w:tcBorders>
                  <w:vAlign w:val="center"/>
                </w:tcPr>
                <w:p w14:paraId="34ABED9D">
                  <w:pPr>
                    <w:jc w:val="center"/>
                    <w:rPr>
                      <w:rFonts w:hint="eastAsia" w:eastAsia="宋体"/>
                      <w:snapToGrid w:val="0"/>
                      <w:color w:val="auto"/>
                      <w:kern w:val="0"/>
                      <w:szCs w:val="21"/>
                      <w:highlight w:val="none"/>
                      <w:lang w:eastAsia="zh-CN"/>
                    </w:rPr>
                  </w:pPr>
                  <w:r>
                    <w:rPr>
                      <w:snapToGrid w:val="0"/>
                      <w:color w:val="auto"/>
                      <w:kern w:val="0"/>
                      <w:szCs w:val="21"/>
                      <w:highlight w:val="none"/>
                    </w:rPr>
                    <w:t>噪声</w:t>
                  </w:r>
                  <w:r>
                    <w:rPr>
                      <w:rFonts w:hint="eastAsia"/>
                      <w:snapToGrid w:val="0"/>
                      <w:color w:val="auto"/>
                      <w:kern w:val="0"/>
                      <w:szCs w:val="21"/>
                      <w:highlight w:val="none"/>
                      <w:lang w:eastAsia="zh-CN"/>
                    </w:rPr>
                    <w:t>（</w:t>
                  </w:r>
                  <w:r>
                    <w:rPr>
                      <w:rFonts w:hint="eastAsia"/>
                      <w:snapToGrid w:val="0"/>
                      <w:color w:val="auto"/>
                      <w:kern w:val="0"/>
                      <w:szCs w:val="21"/>
                      <w:highlight w:val="none"/>
                      <w:lang w:val="en-US" w:eastAsia="zh-CN"/>
                    </w:rPr>
                    <w:t>N</w:t>
                  </w:r>
                  <w:r>
                    <w:rPr>
                      <w:rFonts w:hint="eastAsia"/>
                      <w:snapToGrid w:val="0"/>
                      <w:color w:val="auto"/>
                      <w:kern w:val="0"/>
                      <w:szCs w:val="21"/>
                      <w:highlight w:val="none"/>
                      <w:lang w:eastAsia="zh-CN"/>
                    </w:rPr>
                    <w:t>）</w:t>
                  </w:r>
                </w:p>
              </w:tc>
              <w:tc>
                <w:tcPr>
                  <w:tcW w:w="410" w:type="pct"/>
                  <w:tcBorders>
                    <w:tl2br w:val="nil"/>
                    <w:tr2bl w:val="nil"/>
                  </w:tcBorders>
                  <w:vAlign w:val="center"/>
                </w:tcPr>
                <w:p w14:paraId="65365AD3">
                  <w:pPr>
                    <w:jc w:val="center"/>
                    <w:rPr>
                      <w:snapToGrid w:val="0"/>
                      <w:color w:val="auto"/>
                      <w:kern w:val="0"/>
                      <w:szCs w:val="21"/>
                      <w:highlight w:val="none"/>
                    </w:rPr>
                  </w:pPr>
                  <w:r>
                    <w:rPr>
                      <w:snapToGrid w:val="0"/>
                      <w:color w:val="auto"/>
                      <w:kern w:val="0"/>
                      <w:szCs w:val="21"/>
                      <w:highlight w:val="none"/>
                    </w:rPr>
                    <w:t>N</w:t>
                  </w:r>
                </w:p>
              </w:tc>
              <w:tc>
                <w:tcPr>
                  <w:tcW w:w="2175" w:type="pct"/>
                  <w:gridSpan w:val="2"/>
                  <w:tcBorders>
                    <w:tl2br w:val="nil"/>
                    <w:tr2bl w:val="nil"/>
                  </w:tcBorders>
                  <w:vAlign w:val="center"/>
                </w:tcPr>
                <w:p w14:paraId="2D4D2819">
                  <w:pPr>
                    <w:jc w:val="center"/>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喷涂流水线</w:t>
                  </w:r>
                </w:p>
              </w:tc>
              <w:tc>
                <w:tcPr>
                  <w:tcW w:w="2003" w:type="pct"/>
                  <w:gridSpan w:val="2"/>
                  <w:tcBorders>
                    <w:tl2br w:val="nil"/>
                    <w:tr2bl w:val="nil"/>
                  </w:tcBorders>
                  <w:vAlign w:val="center"/>
                </w:tcPr>
                <w:p w14:paraId="680C7E31">
                  <w:pPr>
                    <w:jc w:val="center"/>
                    <w:rPr>
                      <w:snapToGrid w:val="0"/>
                      <w:color w:val="auto"/>
                      <w:kern w:val="0"/>
                      <w:szCs w:val="21"/>
                      <w:highlight w:val="none"/>
                    </w:rPr>
                  </w:pPr>
                  <w:r>
                    <w:rPr>
                      <w:color w:val="auto"/>
                      <w:szCs w:val="21"/>
                      <w:highlight w:val="none"/>
                    </w:rPr>
                    <w:t>厂房隔声、距离衰减、减震</w:t>
                  </w:r>
                </w:p>
              </w:tc>
            </w:tr>
          </w:tbl>
          <w:p w14:paraId="61757F3A">
            <w:pPr>
              <w:pStyle w:val="10"/>
              <w:snapToGrid/>
              <w:spacing w:before="0" w:after="0" w:line="360" w:lineRule="auto"/>
              <w:ind w:right="0" w:firstLine="420" w:firstLineChars="200"/>
              <w:jc w:val="left"/>
              <w:rPr>
                <w:color w:val="auto"/>
                <w:sz w:val="21"/>
                <w:szCs w:val="16"/>
                <w:highlight w:val="none"/>
              </w:rPr>
            </w:pPr>
          </w:p>
        </w:tc>
      </w:tr>
      <w:tr w14:paraId="14A42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32" w:hRule="atLeast"/>
          <w:jc w:val="center"/>
        </w:trPr>
        <w:tc>
          <w:tcPr>
            <w:tcW w:w="846" w:type="dxa"/>
            <w:vAlign w:val="center"/>
          </w:tcPr>
          <w:p w14:paraId="244FC89A">
            <w:pPr>
              <w:pStyle w:val="25"/>
              <w:adjustRightInd w:val="0"/>
              <w:snapToGrid w:val="0"/>
              <w:spacing w:before="0" w:beforeAutospacing="0" w:after="0" w:afterAutospacing="0"/>
              <w:jc w:val="center"/>
              <w:rPr>
                <w:rFonts w:cs="宋体"/>
                <w:color w:val="FF0000"/>
                <w:sz w:val="21"/>
                <w:szCs w:val="21"/>
                <w:highlight w:val="none"/>
              </w:rPr>
            </w:pPr>
            <w:r>
              <w:rPr>
                <w:rFonts w:hint="eastAsia" w:cs="宋体"/>
                <w:bCs/>
                <w:color w:val="auto"/>
                <w:kern w:val="2"/>
                <w:sz w:val="21"/>
                <w:szCs w:val="21"/>
                <w:highlight w:val="none"/>
              </w:rPr>
              <w:t>与项目有关的原有环境污染问题</w:t>
            </w:r>
          </w:p>
        </w:tc>
        <w:tc>
          <w:tcPr>
            <w:tcW w:w="8138" w:type="dxa"/>
          </w:tcPr>
          <w:p w14:paraId="5E761694">
            <w:pPr>
              <w:tabs>
                <w:tab w:val="left" w:pos="840"/>
              </w:tabs>
              <w:snapToGrid w:val="0"/>
              <w:spacing w:line="360" w:lineRule="auto"/>
              <w:ind w:firstLine="422" w:firstLineChars="20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与本项目有关的原有污染情况及主要环境问题：</w:t>
            </w:r>
          </w:p>
          <w:p w14:paraId="4304DC98">
            <w:pPr>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1、现有项目情况</w:t>
            </w:r>
          </w:p>
          <w:p w14:paraId="2037ED13">
            <w:pPr>
              <w:pStyle w:val="63"/>
              <w:spacing w:line="360" w:lineRule="auto"/>
              <w:ind w:firstLine="420" w:firstLineChars="200"/>
              <w:jc w:val="left"/>
              <w:rPr>
                <w:rFonts w:hint="default" w:ascii="Times New Roman" w:hAnsi="Times New Roman" w:eastAsia="宋体" w:cs="Times New Roman"/>
                <w:color w:val="auto"/>
                <w:szCs w:val="21"/>
                <w:highlight w:val="none"/>
                <w:lang w:val="en-US" w:bidi="ar-SA"/>
              </w:rPr>
            </w:pPr>
            <w:r>
              <w:rPr>
                <w:rFonts w:hint="eastAsia" w:ascii="Times New Roman" w:hAnsi="Times New Roman" w:eastAsia="宋体" w:cs="Times New Roman"/>
                <w:color w:val="auto"/>
                <w:szCs w:val="21"/>
                <w:highlight w:val="none"/>
                <w:lang w:val="en-US" w:eastAsia="zh-CN" w:bidi="ar-SA"/>
              </w:rPr>
              <w:t>江苏裕强金属制造有限公司位于泗阳县李口镇广州路3号</w:t>
            </w:r>
            <w:r>
              <w:rPr>
                <w:rFonts w:hint="default" w:ascii="Times New Roman" w:hAnsi="Times New Roman" w:eastAsia="宋体" w:cs="Times New Roman"/>
                <w:color w:val="auto"/>
                <w:szCs w:val="21"/>
                <w:highlight w:val="none"/>
                <w:lang w:val="en-US" w:bidi="ar-SA"/>
              </w:rPr>
              <w:t>，成立于201</w:t>
            </w:r>
            <w:r>
              <w:rPr>
                <w:rFonts w:hint="eastAsia" w:ascii="Times New Roman" w:hAnsi="Times New Roman" w:eastAsia="宋体" w:cs="Times New Roman"/>
                <w:color w:val="auto"/>
                <w:szCs w:val="21"/>
                <w:highlight w:val="none"/>
                <w:lang w:val="en-US" w:eastAsia="zh-CN" w:bidi="ar-SA"/>
              </w:rPr>
              <w:t>3</w:t>
            </w:r>
            <w:r>
              <w:rPr>
                <w:rFonts w:hint="default" w:ascii="Times New Roman" w:hAnsi="Times New Roman" w:eastAsia="宋体" w:cs="Times New Roman"/>
                <w:color w:val="auto"/>
                <w:szCs w:val="21"/>
                <w:highlight w:val="none"/>
                <w:lang w:val="en-US" w:bidi="ar-SA"/>
              </w:rPr>
              <w:t>年</w:t>
            </w:r>
            <w:r>
              <w:rPr>
                <w:rFonts w:hint="eastAsia" w:ascii="Times New Roman" w:hAnsi="Times New Roman" w:eastAsia="宋体" w:cs="Times New Roman"/>
                <w:color w:val="auto"/>
                <w:szCs w:val="21"/>
                <w:highlight w:val="none"/>
                <w:lang w:val="en-US" w:eastAsia="zh-CN" w:bidi="ar-SA"/>
              </w:rPr>
              <w:t>7</w:t>
            </w:r>
            <w:r>
              <w:rPr>
                <w:rFonts w:hint="default" w:ascii="Times New Roman" w:hAnsi="Times New Roman" w:eastAsia="宋体" w:cs="Times New Roman"/>
                <w:color w:val="auto"/>
                <w:szCs w:val="21"/>
                <w:highlight w:val="none"/>
                <w:lang w:val="en-US" w:bidi="ar-SA"/>
              </w:rPr>
              <w:t>月。公司现有项目</w:t>
            </w:r>
            <w:r>
              <w:rPr>
                <w:rFonts w:hint="eastAsia" w:ascii="Times New Roman" w:hAnsi="Times New Roman" w:eastAsia="宋体" w:cs="Times New Roman"/>
                <w:color w:val="auto"/>
                <w:szCs w:val="21"/>
                <w:highlight w:val="none"/>
                <w:lang w:val="en-US" w:eastAsia="zh-CN" w:bidi="ar-SA"/>
              </w:rPr>
              <w:t>包括年产20万套烤炉及金属制品组件项目、年产20万套烤炉及金属制品组装和表面处理项目和年产3万个碳烤炉扩建项目</w:t>
            </w:r>
            <w:r>
              <w:rPr>
                <w:rFonts w:hint="default" w:ascii="Times New Roman" w:hAnsi="Times New Roman" w:eastAsia="宋体" w:cs="Times New Roman"/>
                <w:color w:val="auto"/>
                <w:szCs w:val="21"/>
                <w:highlight w:val="none"/>
                <w:lang w:val="en-US" w:bidi="ar-SA"/>
              </w:rPr>
              <w:t>。现有项目环保手续执行情况见下表。</w:t>
            </w:r>
          </w:p>
          <w:p w14:paraId="477A878D">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2" w:firstLineChars="20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w:t>
            </w:r>
            <w:r>
              <w:rPr>
                <w:rFonts w:hint="eastAsia" w:cs="Times New Roman"/>
                <w:b/>
                <w:bCs/>
                <w:color w:val="auto"/>
                <w:highlight w:val="none"/>
                <w:lang w:val="en-US" w:eastAsia="zh-CN"/>
              </w:rPr>
              <w:t xml:space="preserve">10 </w:t>
            </w:r>
            <w:r>
              <w:rPr>
                <w:rFonts w:hint="default" w:ascii="Times New Roman" w:hAnsi="Times New Roman" w:cs="Times New Roman"/>
                <w:b/>
                <w:bCs/>
                <w:color w:val="auto"/>
                <w:highlight w:val="none"/>
              </w:rPr>
              <w:t>现有项目环保审批情况</w:t>
            </w:r>
          </w:p>
          <w:tbl>
            <w:tblPr>
              <w:tblStyle w:val="30"/>
              <w:tblW w:w="80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851"/>
              <w:gridCol w:w="825"/>
              <w:gridCol w:w="930"/>
              <w:gridCol w:w="1170"/>
              <w:gridCol w:w="510"/>
              <w:gridCol w:w="1650"/>
              <w:gridCol w:w="1075"/>
            </w:tblGrid>
            <w:tr w14:paraId="5AA74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851" w:type="dxa"/>
                  <w:noWrap w:val="0"/>
                  <w:vAlign w:val="center"/>
                </w:tcPr>
                <w:p w14:paraId="6FEB7717">
                  <w:pPr>
                    <w:adjustRightInd w:val="0"/>
                    <w:snapToGrid w:val="0"/>
                    <w:jc w:val="center"/>
                    <w:rPr>
                      <w:rFonts w:hint="default" w:ascii="Times New Roman" w:hAnsi="Times New Roman" w:cs="Times New Roman"/>
                      <w:color w:val="auto"/>
                      <w:highlight w:val="none"/>
                    </w:rPr>
                  </w:pPr>
                  <w:r>
                    <w:rPr>
                      <w:rFonts w:hint="eastAsia" w:cs="Times New Roman"/>
                      <w:color w:val="auto"/>
                      <w:highlight w:val="none"/>
                      <w:lang w:val="en-US" w:eastAsia="zh-CN"/>
                    </w:rPr>
                    <w:t>项目</w:t>
                  </w:r>
                  <w:r>
                    <w:rPr>
                      <w:rFonts w:hint="default" w:ascii="Times New Roman" w:hAnsi="Times New Roman" w:cs="Times New Roman"/>
                      <w:color w:val="auto"/>
                      <w:highlight w:val="none"/>
                    </w:rPr>
                    <w:t>名称</w:t>
                  </w:r>
                </w:p>
              </w:tc>
              <w:tc>
                <w:tcPr>
                  <w:tcW w:w="825" w:type="dxa"/>
                  <w:noWrap w:val="0"/>
                  <w:vAlign w:val="center"/>
                </w:tcPr>
                <w:p w14:paraId="163B84D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批复部门</w:t>
                  </w:r>
                </w:p>
              </w:tc>
              <w:tc>
                <w:tcPr>
                  <w:tcW w:w="930" w:type="dxa"/>
                  <w:noWrap w:val="0"/>
                  <w:vAlign w:val="center"/>
                </w:tcPr>
                <w:p w14:paraId="769723BF">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批复时间</w:t>
                  </w:r>
                </w:p>
              </w:tc>
              <w:tc>
                <w:tcPr>
                  <w:tcW w:w="1170" w:type="dxa"/>
                  <w:noWrap w:val="0"/>
                  <w:vAlign w:val="center"/>
                </w:tcPr>
                <w:p w14:paraId="7473827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批复文号</w:t>
                  </w:r>
                </w:p>
              </w:tc>
              <w:tc>
                <w:tcPr>
                  <w:tcW w:w="510" w:type="dxa"/>
                  <w:noWrap w:val="0"/>
                  <w:vAlign w:val="center"/>
                </w:tcPr>
                <w:p w14:paraId="05211FC0">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建设情况</w:t>
                  </w:r>
                </w:p>
              </w:tc>
              <w:tc>
                <w:tcPr>
                  <w:tcW w:w="1650" w:type="dxa"/>
                  <w:noWrap w:val="0"/>
                  <w:vAlign w:val="center"/>
                </w:tcPr>
                <w:p w14:paraId="4D09AD9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验收情况</w:t>
                  </w:r>
                </w:p>
              </w:tc>
              <w:tc>
                <w:tcPr>
                  <w:tcW w:w="1075" w:type="dxa"/>
                  <w:noWrap w:val="0"/>
                  <w:vAlign w:val="center"/>
                </w:tcPr>
                <w:p w14:paraId="39975EDF">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排污许可证编号</w:t>
                  </w:r>
                </w:p>
              </w:tc>
            </w:tr>
            <w:tr w14:paraId="3B865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851" w:type="dxa"/>
                  <w:noWrap w:val="0"/>
                  <w:vAlign w:val="center"/>
                </w:tcPr>
                <w:p w14:paraId="3909F191">
                  <w:pPr>
                    <w:adjustRightInd w:val="0"/>
                    <w:snapToGrid w:val="0"/>
                    <w:jc w:val="center"/>
                    <w:rPr>
                      <w:rFonts w:hint="default" w:ascii="Times New Roman" w:hAnsi="Times New Roman" w:cs="Times New Roman"/>
                      <w:color w:val="auto"/>
                      <w:highlight w:val="none"/>
                    </w:rPr>
                  </w:pPr>
                  <w:r>
                    <w:rPr>
                      <w:rFonts w:hint="eastAsia" w:ascii="Times New Roman" w:hAnsi="Times New Roman" w:eastAsia="宋体" w:cs="Times New Roman"/>
                      <w:color w:val="auto"/>
                      <w:szCs w:val="21"/>
                      <w:highlight w:val="none"/>
                      <w:lang w:val="en-US" w:eastAsia="zh-CN" w:bidi="ar-SA"/>
                    </w:rPr>
                    <w:t>年产20万套烤炉及金属制品组件项目</w:t>
                  </w:r>
                </w:p>
              </w:tc>
              <w:tc>
                <w:tcPr>
                  <w:tcW w:w="825" w:type="dxa"/>
                  <w:vMerge w:val="restart"/>
                  <w:noWrap w:val="0"/>
                  <w:vAlign w:val="center"/>
                </w:tcPr>
                <w:p w14:paraId="17479119">
                  <w:pPr>
                    <w:adjustRightInd w:val="0"/>
                    <w:snapToGrid w:val="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泗阳</w:t>
                  </w:r>
                  <w:r>
                    <w:rPr>
                      <w:rFonts w:hint="default" w:ascii="Times New Roman" w:hAnsi="Times New Roman" w:cs="Times New Roman"/>
                      <w:color w:val="auto"/>
                      <w:highlight w:val="none"/>
                    </w:rPr>
                    <w:t>县环境保护局</w:t>
                  </w:r>
                </w:p>
              </w:tc>
              <w:tc>
                <w:tcPr>
                  <w:tcW w:w="930" w:type="dxa"/>
                  <w:noWrap w:val="0"/>
                  <w:vAlign w:val="center"/>
                </w:tcPr>
                <w:p w14:paraId="3D86277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201</w:t>
                  </w:r>
                  <w:r>
                    <w:rPr>
                      <w:rFonts w:hint="eastAsia" w:cs="Times New Roman"/>
                      <w:color w:val="auto"/>
                      <w:highlight w:val="none"/>
                      <w:lang w:val="en-US" w:eastAsia="zh-CN"/>
                    </w:rPr>
                    <w:t>3</w:t>
                  </w:r>
                  <w:r>
                    <w:rPr>
                      <w:rFonts w:hint="default" w:ascii="Times New Roman" w:hAnsi="Times New Roman" w:cs="Times New Roman"/>
                      <w:color w:val="auto"/>
                      <w:highlight w:val="none"/>
                    </w:rPr>
                    <w:t>年</w:t>
                  </w:r>
                  <w:r>
                    <w:rPr>
                      <w:rFonts w:hint="eastAsia" w:cs="Times New Roman"/>
                      <w:color w:val="auto"/>
                      <w:highlight w:val="none"/>
                      <w:lang w:val="en-US" w:eastAsia="zh-CN"/>
                    </w:rPr>
                    <w:t>3</w:t>
                  </w:r>
                  <w:r>
                    <w:rPr>
                      <w:rFonts w:hint="default" w:ascii="Times New Roman" w:hAnsi="Times New Roman" w:cs="Times New Roman"/>
                      <w:color w:val="auto"/>
                      <w:highlight w:val="none"/>
                    </w:rPr>
                    <w:t>月</w:t>
                  </w:r>
                  <w:r>
                    <w:rPr>
                      <w:rFonts w:hint="eastAsia" w:cs="Times New Roman"/>
                      <w:color w:val="auto"/>
                      <w:highlight w:val="none"/>
                      <w:lang w:val="en-US" w:eastAsia="zh-CN"/>
                    </w:rPr>
                    <w:t>21</w:t>
                  </w:r>
                  <w:r>
                    <w:rPr>
                      <w:rFonts w:hint="default" w:ascii="Times New Roman" w:hAnsi="Times New Roman" w:cs="Times New Roman"/>
                      <w:color w:val="auto"/>
                      <w:highlight w:val="none"/>
                    </w:rPr>
                    <w:t>日</w:t>
                  </w:r>
                </w:p>
              </w:tc>
              <w:tc>
                <w:tcPr>
                  <w:tcW w:w="1170" w:type="dxa"/>
                  <w:noWrap w:val="0"/>
                  <w:vAlign w:val="center"/>
                </w:tcPr>
                <w:p w14:paraId="4FFE41E8">
                  <w:pPr>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rPr>
                    <w:t>泗环评[2013]28号</w:t>
                  </w:r>
                </w:p>
              </w:tc>
              <w:tc>
                <w:tcPr>
                  <w:tcW w:w="510" w:type="dxa"/>
                  <w:vMerge w:val="restart"/>
                  <w:noWrap w:val="0"/>
                  <w:vAlign w:val="center"/>
                </w:tcPr>
                <w:p w14:paraId="75266D09">
                  <w:pPr>
                    <w:adjustRightInd w:val="0"/>
                    <w:snapToGrid w:val="0"/>
                    <w:jc w:val="center"/>
                    <w:rPr>
                      <w:rFonts w:hint="default" w:ascii="Times New Roman" w:hAnsi="Times New Roman" w:cs="Times New Roman"/>
                      <w:color w:val="auto"/>
                      <w:highlight w:val="none"/>
                      <w:lang w:val="en-US"/>
                    </w:rPr>
                  </w:pPr>
                  <w:r>
                    <w:rPr>
                      <w:rFonts w:hint="eastAsia" w:cs="Times New Roman"/>
                      <w:color w:val="auto"/>
                      <w:highlight w:val="none"/>
                      <w:lang w:val="en-US" w:eastAsia="zh-CN"/>
                    </w:rPr>
                    <w:t>已建成并运行</w:t>
                  </w:r>
                </w:p>
              </w:tc>
              <w:tc>
                <w:tcPr>
                  <w:tcW w:w="1650" w:type="dxa"/>
                  <w:vMerge w:val="restart"/>
                  <w:noWrap w:val="0"/>
                  <w:vAlign w:val="center"/>
                </w:tcPr>
                <w:p w14:paraId="163D5D86">
                  <w:pPr>
                    <w:adjustRightInd w:val="0"/>
                    <w:snapToGrid w:val="0"/>
                    <w:jc w:val="center"/>
                    <w:rPr>
                      <w:rFonts w:hint="default" w:ascii="Times New Roman" w:hAnsi="Times New Roman" w:cs="Times New Roman"/>
                      <w:color w:val="auto"/>
                      <w:highlight w:val="none"/>
                    </w:rPr>
                  </w:pPr>
                  <w:r>
                    <w:rPr>
                      <w:rFonts w:hint="eastAsia" w:eastAsia="宋体" w:cs="Times New Roman"/>
                      <w:color w:val="auto"/>
                      <w:szCs w:val="24"/>
                      <w:lang w:val="en-US" w:eastAsia="zh-CN"/>
                    </w:rPr>
                    <w:t>2016年7月5日通过环保验收，</w:t>
                  </w:r>
                  <w:r>
                    <w:rPr>
                      <w:rFonts w:hint="default" w:ascii="Times New Roman" w:hAnsi="Times New Roman" w:eastAsia="宋体" w:cs="Times New Roman"/>
                      <w:color w:val="auto"/>
                      <w:szCs w:val="24"/>
                    </w:rPr>
                    <w:t>环验[2016]019号</w:t>
                  </w:r>
                </w:p>
              </w:tc>
              <w:tc>
                <w:tcPr>
                  <w:tcW w:w="1075" w:type="dxa"/>
                  <w:vMerge w:val="restart"/>
                  <w:noWrap w:val="0"/>
                  <w:vAlign w:val="center"/>
                </w:tcPr>
                <w:p w14:paraId="520A8D8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91321323072757256F001U</w:t>
                  </w:r>
                </w:p>
                <w:p w14:paraId="50D11A97">
                  <w:pPr>
                    <w:adjustRightInd w:val="0"/>
                    <w:snapToGrid w:val="0"/>
                    <w:jc w:val="center"/>
                    <w:rPr>
                      <w:rFonts w:hint="default" w:ascii="Times New Roman" w:hAnsi="Times New Roman" w:cs="Times New Roman"/>
                      <w:color w:val="auto"/>
                      <w:highlight w:val="none"/>
                    </w:rPr>
                  </w:pPr>
                </w:p>
              </w:tc>
            </w:tr>
            <w:tr w14:paraId="254D9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851" w:type="dxa"/>
                  <w:noWrap w:val="0"/>
                  <w:vAlign w:val="center"/>
                </w:tcPr>
                <w:p w14:paraId="62A7D189">
                  <w:pPr>
                    <w:adjustRightInd w:val="0"/>
                    <w:snapToGrid w:val="0"/>
                    <w:jc w:val="center"/>
                    <w:rPr>
                      <w:rFonts w:hint="default" w:ascii="Times New Roman" w:hAnsi="Times New Roman" w:eastAsia="宋体" w:cs="Times New Roman"/>
                      <w:color w:val="auto"/>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年产20万套烤炉及金属制品组件项目修编报告</w:t>
                  </w:r>
                </w:p>
              </w:tc>
              <w:tc>
                <w:tcPr>
                  <w:tcW w:w="825" w:type="dxa"/>
                  <w:vMerge w:val="continue"/>
                  <w:noWrap w:val="0"/>
                  <w:vAlign w:val="center"/>
                </w:tcPr>
                <w:p w14:paraId="65341243">
                  <w:pPr>
                    <w:adjustRightInd w:val="0"/>
                    <w:snapToGrid w:val="0"/>
                    <w:jc w:val="center"/>
                    <w:rPr>
                      <w:rFonts w:hint="eastAsia" w:ascii="Times New Roman" w:hAnsi="Times New Roman" w:cs="Times New Roman"/>
                      <w:color w:val="auto"/>
                      <w:highlight w:val="none"/>
                      <w:lang w:val="en-US" w:eastAsia="zh-CN"/>
                    </w:rPr>
                  </w:pPr>
                </w:p>
              </w:tc>
              <w:tc>
                <w:tcPr>
                  <w:tcW w:w="930" w:type="dxa"/>
                  <w:noWrap w:val="0"/>
                  <w:vAlign w:val="center"/>
                </w:tcPr>
                <w:p w14:paraId="1F3EDF77">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2015年4月15日</w:t>
                  </w:r>
                </w:p>
              </w:tc>
              <w:tc>
                <w:tcPr>
                  <w:tcW w:w="1170" w:type="dxa"/>
                  <w:noWrap w:val="0"/>
                  <w:vAlign w:val="center"/>
                </w:tcPr>
                <w:p w14:paraId="5B1E648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泗环评[2015]55号</w:t>
                  </w:r>
                </w:p>
              </w:tc>
              <w:tc>
                <w:tcPr>
                  <w:tcW w:w="510" w:type="dxa"/>
                  <w:vMerge w:val="continue"/>
                  <w:noWrap w:val="0"/>
                  <w:vAlign w:val="center"/>
                </w:tcPr>
                <w:p w14:paraId="1AD5920E">
                  <w:pPr>
                    <w:adjustRightInd w:val="0"/>
                    <w:snapToGrid w:val="0"/>
                    <w:jc w:val="center"/>
                    <w:rPr>
                      <w:rFonts w:hint="eastAsia" w:cs="Times New Roman"/>
                      <w:color w:val="auto"/>
                      <w:highlight w:val="none"/>
                      <w:lang w:val="en-US" w:eastAsia="zh-CN"/>
                    </w:rPr>
                  </w:pPr>
                </w:p>
              </w:tc>
              <w:tc>
                <w:tcPr>
                  <w:tcW w:w="1650" w:type="dxa"/>
                  <w:vMerge w:val="continue"/>
                  <w:noWrap w:val="0"/>
                  <w:vAlign w:val="center"/>
                </w:tcPr>
                <w:p w14:paraId="0CBADD6C">
                  <w:pPr>
                    <w:adjustRightInd w:val="0"/>
                    <w:snapToGrid w:val="0"/>
                    <w:jc w:val="center"/>
                    <w:rPr>
                      <w:rFonts w:hint="default" w:ascii="Times New Roman" w:hAnsi="Times New Roman" w:cs="Times New Roman"/>
                      <w:color w:val="auto"/>
                      <w:highlight w:val="none"/>
                    </w:rPr>
                  </w:pPr>
                </w:p>
              </w:tc>
              <w:tc>
                <w:tcPr>
                  <w:tcW w:w="1075" w:type="dxa"/>
                  <w:vMerge w:val="continue"/>
                  <w:noWrap w:val="0"/>
                  <w:vAlign w:val="center"/>
                </w:tcPr>
                <w:p w14:paraId="1FD227C8">
                  <w:pPr>
                    <w:adjustRightInd w:val="0"/>
                    <w:snapToGrid w:val="0"/>
                    <w:jc w:val="center"/>
                    <w:rPr>
                      <w:rFonts w:hint="default" w:ascii="Times New Roman" w:hAnsi="Times New Roman" w:cs="Times New Roman"/>
                      <w:color w:val="auto"/>
                      <w:highlight w:val="none"/>
                    </w:rPr>
                  </w:pPr>
                </w:p>
              </w:tc>
            </w:tr>
            <w:tr w14:paraId="3B089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851" w:type="dxa"/>
                  <w:noWrap w:val="0"/>
                  <w:vAlign w:val="center"/>
                </w:tcPr>
                <w:p w14:paraId="4E279A3B">
                  <w:pPr>
                    <w:adjustRightInd w:val="0"/>
                    <w:snapToGrid w:val="0"/>
                    <w:jc w:val="center"/>
                    <w:rPr>
                      <w:rFonts w:hint="default" w:ascii="Times New Roman" w:hAnsi="Times New Roman" w:cs="Times New Roman"/>
                      <w:color w:val="auto"/>
                      <w:highlight w:val="none"/>
                    </w:rPr>
                  </w:pPr>
                  <w:r>
                    <w:rPr>
                      <w:rFonts w:hint="eastAsia" w:ascii="Times New Roman" w:hAnsi="Times New Roman" w:eastAsia="宋体" w:cs="Times New Roman"/>
                      <w:color w:val="auto"/>
                      <w:szCs w:val="21"/>
                      <w:highlight w:val="none"/>
                      <w:lang w:val="en-US" w:eastAsia="zh-CN" w:bidi="ar-SA"/>
                    </w:rPr>
                    <w:t>年产20万套烤炉及金属制品组装和表面处理项目</w:t>
                  </w:r>
                </w:p>
              </w:tc>
              <w:tc>
                <w:tcPr>
                  <w:tcW w:w="825" w:type="dxa"/>
                  <w:vMerge w:val="continue"/>
                  <w:noWrap w:val="0"/>
                  <w:vAlign w:val="center"/>
                </w:tcPr>
                <w:p w14:paraId="1BBCED4F">
                  <w:pPr>
                    <w:adjustRightInd w:val="0"/>
                    <w:snapToGrid w:val="0"/>
                    <w:jc w:val="center"/>
                    <w:rPr>
                      <w:rFonts w:hint="eastAsia" w:ascii="Times New Roman" w:hAnsi="Times New Roman" w:cs="Times New Roman"/>
                      <w:color w:val="auto"/>
                      <w:highlight w:val="none"/>
                      <w:lang w:val="en-US" w:eastAsia="zh-CN"/>
                    </w:rPr>
                  </w:pPr>
                </w:p>
              </w:tc>
              <w:tc>
                <w:tcPr>
                  <w:tcW w:w="930" w:type="dxa"/>
                  <w:noWrap w:val="0"/>
                  <w:vAlign w:val="center"/>
                </w:tcPr>
                <w:p w14:paraId="7EE110DD">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2018年3月26日</w:t>
                  </w:r>
                </w:p>
              </w:tc>
              <w:tc>
                <w:tcPr>
                  <w:tcW w:w="1170" w:type="dxa"/>
                  <w:noWrap w:val="0"/>
                  <w:vAlign w:val="center"/>
                </w:tcPr>
                <w:p w14:paraId="7BC53734">
                  <w:pPr>
                    <w:adjustRightInd w:val="0"/>
                    <w:snapToGrid w:val="0"/>
                    <w:jc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color w:val="auto"/>
                      <w:sz w:val="21"/>
                      <w:szCs w:val="21"/>
                    </w:rPr>
                    <w:t>泗环评[20</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49</w:t>
                  </w:r>
                  <w:r>
                    <w:rPr>
                      <w:rFonts w:hint="default" w:ascii="Times New Roman" w:hAnsi="Times New Roman" w:eastAsia="宋体" w:cs="Times New Roman"/>
                      <w:color w:val="auto"/>
                      <w:sz w:val="21"/>
                      <w:szCs w:val="21"/>
                    </w:rPr>
                    <w:t>号</w:t>
                  </w:r>
                </w:p>
              </w:tc>
              <w:tc>
                <w:tcPr>
                  <w:tcW w:w="510" w:type="dxa"/>
                  <w:vMerge w:val="continue"/>
                  <w:noWrap w:val="0"/>
                  <w:vAlign w:val="center"/>
                </w:tcPr>
                <w:p w14:paraId="4DDE8FC0">
                  <w:pPr>
                    <w:adjustRightInd w:val="0"/>
                    <w:snapToGrid w:val="0"/>
                    <w:jc w:val="center"/>
                    <w:rPr>
                      <w:rFonts w:hint="default" w:ascii="Times New Roman" w:hAnsi="Times New Roman" w:cs="Times New Roman"/>
                      <w:color w:val="auto"/>
                      <w:highlight w:val="none"/>
                      <w:lang w:val="en-US" w:eastAsia="zh-CN"/>
                    </w:rPr>
                  </w:pPr>
                </w:p>
              </w:tc>
              <w:tc>
                <w:tcPr>
                  <w:tcW w:w="1650" w:type="dxa"/>
                  <w:noWrap w:val="0"/>
                  <w:vAlign w:val="center"/>
                </w:tcPr>
                <w:p w14:paraId="0DF41D0A">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2019年4月完成自主环保验收</w:t>
                  </w:r>
                </w:p>
              </w:tc>
              <w:tc>
                <w:tcPr>
                  <w:tcW w:w="1075" w:type="dxa"/>
                  <w:vMerge w:val="continue"/>
                  <w:noWrap w:val="0"/>
                  <w:vAlign w:val="center"/>
                </w:tcPr>
                <w:p w14:paraId="5B818D2E">
                  <w:pPr>
                    <w:adjustRightInd w:val="0"/>
                    <w:snapToGrid w:val="0"/>
                    <w:jc w:val="center"/>
                    <w:rPr>
                      <w:rFonts w:hint="default" w:ascii="Times New Roman" w:hAnsi="Times New Roman" w:cs="Times New Roman"/>
                      <w:color w:val="auto"/>
                      <w:highlight w:val="none"/>
                    </w:rPr>
                  </w:pPr>
                </w:p>
              </w:tc>
            </w:tr>
            <w:tr w14:paraId="4FFCA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1851" w:type="dxa"/>
                  <w:noWrap w:val="0"/>
                  <w:vAlign w:val="center"/>
                </w:tcPr>
                <w:p w14:paraId="136AC39A">
                  <w:pPr>
                    <w:adjustRightInd w:val="0"/>
                    <w:snapToGrid w:val="0"/>
                    <w:jc w:val="center"/>
                    <w:rPr>
                      <w:rFonts w:hint="default" w:ascii="Times New Roman" w:hAnsi="Times New Roman" w:cs="Times New Roman"/>
                      <w:color w:val="auto"/>
                      <w:highlight w:val="none"/>
                    </w:rPr>
                  </w:pPr>
                  <w:r>
                    <w:rPr>
                      <w:rFonts w:hint="eastAsia" w:ascii="Times New Roman" w:hAnsi="Times New Roman" w:eastAsia="宋体" w:cs="Times New Roman"/>
                      <w:color w:val="auto"/>
                      <w:szCs w:val="21"/>
                      <w:highlight w:val="none"/>
                      <w:lang w:val="en-US" w:eastAsia="zh-CN" w:bidi="ar-SA"/>
                    </w:rPr>
                    <w:t>年产3万个碳烤炉扩建项目</w:t>
                  </w:r>
                </w:p>
              </w:tc>
              <w:tc>
                <w:tcPr>
                  <w:tcW w:w="825" w:type="dxa"/>
                  <w:noWrap w:val="0"/>
                  <w:vAlign w:val="center"/>
                </w:tcPr>
                <w:p w14:paraId="41B0E1DB">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宿迁市泗阳生态环境局</w:t>
                  </w:r>
                </w:p>
              </w:tc>
              <w:tc>
                <w:tcPr>
                  <w:tcW w:w="930" w:type="dxa"/>
                  <w:noWrap w:val="0"/>
                  <w:vAlign w:val="center"/>
                </w:tcPr>
                <w:p w14:paraId="293C57D2">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2020年5月12日</w:t>
                  </w:r>
                </w:p>
              </w:tc>
              <w:tc>
                <w:tcPr>
                  <w:tcW w:w="1170" w:type="dxa"/>
                  <w:noWrap w:val="0"/>
                  <w:vAlign w:val="center"/>
                </w:tcPr>
                <w:p w14:paraId="05E9A016">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highlight w:val="none"/>
                      <w:lang w:val="en-US" w:eastAsia="zh-CN"/>
                    </w:rPr>
                    <w:t>宿环建管表</w:t>
                  </w:r>
                  <w:r>
                    <w:rPr>
                      <w:rFonts w:hint="default" w:ascii="Times New Roman" w:hAnsi="Times New Roman" w:cs="Times New Roman"/>
                      <w:color w:val="auto"/>
                      <w:highlight w:val="none"/>
                      <w:lang w:val="en-US" w:eastAsia="zh-CN"/>
                    </w:rPr>
                    <w:t>〔202</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2069号</w:t>
                  </w:r>
                </w:p>
              </w:tc>
              <w:tc>
                <w:tcPr>
                  <w:tcW w:w="510" w:type="dxa"/>
                  <w:vMerge w:val="continue"/>
                  <w:noWrap w:val="0"/>
                  <w:vAlign w:val="center"/>
                </w:tcPr>
                <w:p w14:paraId="51D09887">
                  <w:pPr>
                    <w:adjustRightInd w:val="0"/>
                    <w:snapToGrid w:val="0"/>
                    <w:jc w:val="center"/>
                    <w:rPr>
                      <w:rFonts w:hint="default" w:ascii="Times New Roman" w:hAnsi="Times New Roman" w:cs="Times New Roman"/>
                      <w:color w:val="auto"/>
                      <w:highlight w:val="none"/>
                      <w:lang w:val="en-US" w:eastAsia="zh-CN"/>
                    </w:rPr>
                  </w:pPr>
                </w:p>
              </w:tc>
              <w:tc>
                <w:tcPr>
                  <w:tcW w:w="1650" w:type="dxa"/>
                  <w:noWrap w:val="0"/>
                  <w:vAlign w:val="center"/>
                </w:tcPr>
                <w:p w14:paraId="130CF981">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2020年8月完成自主环保验收</w:t>
                  </w:r>
                </w:p>
              </w:tc>
              <w:tc>
                <w:tcPr>
                  <w:tcW w:w="1075" w:type="dxa"/>
                  <w:vMerge w:val="continue"/>
                  <w:noWrap w:val="0"/>
                  <w:vAlign w:val="center"/>
                </w:tcPr>
                <w:p w14:paraId="3EC18C77">
                  <w:pPr>
                    <w:adjustRightInd w:val="0"/>
                    <w:snapToGrid w:val="0"/>
                    <w:jc w:val="center"/>
                    <w:rPr>
                      <w:rFonts w:hint="default" w:ascii="Times New Roman" w:hAnsi="Times New Roman" w:cs="Times New Roman"/>
                      <w:color w:val="auto"/>
                      <w:highlight w:val="none"/>
                    </w:rPr>
                  </w:pPr>
                </w:p>
              </w:tc>
            </w:tr>
          </w:tbl>
          <w:p w14:paraId="33FBD1EA">
            <w:pPr>
              <w:pStyle w:val="29"/>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right="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2、现有项目生产工艺</w:t>
            </w:r>
          </w:p>
          <w:p w14:paraId="0BEFE958">
            <w:pPr>
              <w:pStyle w:val="28"/>
              <w:keepNext w:val="0"/>
              <w:keepLines w:val="0"/>
              <w:pageBreakBefore w:val="0"/>
              <w:kinsoku/>
              <w:wordWrap/>
              <w:overflowPunct/>
              <w:topLinePunct w:val="0"/>
              <w:autoSpaceDE/>
              <w:autoSpaceDN/>
              <w:bidi w:val="0"/>
              <w:adjustRightInd/>
              <w:snapToGrid/>
              <w:spacing w:before="0" w:after="0" w:line="360" w:lineRule="auto"/>
              <w:ind w:left="0" w:leftChars="0" w:right="0" w:firstLine="420" w:firstLineChars="20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（1）金属制品组件生产工艺</w:t>
            </w:r>
            <w:r>
              <w:rPr>
                <w:rFonts w:hint="default" w:ascii="Times New Roman" w:hAnsi="Times New Roman" w:eastAsia="宋体" w:cs="Times New Roman"/>
                <w:bCs/>
                <w:color w:val="auto"/>
                <w:sz w:val="21"/>
                <w:szCs w:val="21"/>
                <w:highlight w:val="none"/>
              </w:rPr>
              <w:t>流程与产污环节</w:t>
            </w:r>
          </w:p>
          <w:p w14:paraId="3F087D4D">
            <w:pPr>
              <w:pStyle w:val="28"/>
              <w:keepNext w:val="0"/>
              <w:keepLines w:val="0"/>
              <w:pageBreakBefore w:val="0"/>
              <w:kinsoku/>
              <w:wordWrap/>
              <w:overflowPunct/>
              <w:topLinePunct w:val="0"/>
              <w:autoSpaceDE/>
              <w:autoSpaceDN/>
              <w:bidi w:val="0"/>
              <w:adjustRightInd/>
              <w:snapToGrid/>
              <w:spacing w:before="0" w:after="0" w:line="360" w:lineRule="auto"/>
              <w:ind w:left="0" w:leftChars="0" w:right="0" w:firstLine="420" w:firstLineChars="200"/>
              <w:jc w:val="center"/>
              <w:textAlignment w:val="auto"/>
              <w:rPr>
                <w:rFonts w:hint="eastAsia" w:ascii="Times New Roman" w:hAnsi="Times New Roman" w:eastAsia="宋体" w:cs="Times New Roman"/>
                <w:bCs/>
                <w:color w:val="FF0000"/>
                <w:sz w:val="21"/>
                <w:szCs w:val="21"/>
                <w:highlight w:val="none"/>
                <w:lang w:eastAsia="zh-CN"/>
              </w:rPr>
            </w:pPr>
            <w:r>
              <w:rPr>
                <w:rFonts w:hint="eastAsia" w:ascii="Times New Roman" w:hAnsi="Times New Roman" w:eastAsia="宋体" w:cs="Times New Roman"/>
                <w:bCs/>
                <w:color w:val="FF0000"/>
                <w:sz w:val="21"/>
                <w:szCs w:val="21"/>
                <w:highlight w:val="none"/>
                <w:lang w:eastAsia="zh-CN"/>
              </w:rPr>
              <w:drawing>
                <wp:inline distT="0" distB="0" distL="114300" distR="114300">
                  <wp:extent cx="4781550" cy="3305175"/>
                  <wp:effectExtent l="0" t="0" r="0" b="9525"/>
                  <wp:docPr id="16" name="图片 16" descr="0990d5d8280e336948229964189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990d5d8280e3369482299641894837"/>
                          <pic:cNvPicPr>
                            <a:picLocks noChangeAspect="1"/>
                          </pic:cNvPicPr>
                        </pic:nvPicPr>
                        <pic:blipFill>
                          <a:blip r:embed="rId12"/>
                          <a:stretch>
                            <a:fillRect/>
                          </a:stretch>
                        </pic:blipFill>
                        <pic:spPr>
                          <a:xfrm>
                            <a:off x="0" y="0"/>
                            <a:ext cx="4781550" cy="3305175"/>
                          </a:xfrm>
                          <a:prstGeom prst="rect">
                            <a:avLst/>
                          </a:prstGeom>
                        </pic:spPr>
                      </pic:pic>
                    </a:graphicData>
                  </a:graphic>
                </wp:inline>
              </w:drawing>
            </w:r>
          </w:p>
          <w:p w14:paraId="48F01BD7">
            <w:pPr>
              <w:pStyle w:val="28"/>
              <w:keepNext w:val="0"/>
              <w:keepLines w:val="0"/>
              <w:pageBreakBefore w:val="0"/>
              <w:kinsoku/>
              <w:wordWrap/>
              <w:overflowPunct/>
              <w:topLinePunct w:val="0"/>
              <w:autoSpaceDE/>
              <w:autoSpaceDN/>
              <w:bidi w:val="0"/>
              <w:adjustRightInd/>
              <w:snapToGrid/>
              <w:spacing w:before="0" w:after="0" w:line="360" w:lineRule="auto"/>
              <w:ind w:right="0" w:firstLineChars="20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图</w:t>
            </w:r>
            <w:r>
              <w:rPr>
                <w:rFonts w:hint="eastAsia" w:eastAsia="宋体" w:cs="Times New Roman"/>
                <w:b/>
                <w:bCs w:val="0"/>
                <w:color w:val="auto"/>
                <w:sz w:val="21"/>
                <w:szCs w:val="21"/>
                <w:highlight w:val="none"/>
                <w:lang w:val="en-US" w:eastAsia="zh-CN"/>
              </w:rPr>
              <w:t>2-4</w:t>
            </w:r>
            <w:r>
              <w:rPr>
                <w:rFonts w:hint="default" w:ascii="Times New Roman" w:hAnsi="Times New Roman" w:eastAsia="宋体" w:cs="Times New Roman"/>
                <w:b/>
                <w:bCs w:val="0"/>
                <w:color w:val="auto"/>
                <w:sz w:val="21"/>
                <w:szCs w:val="21"/>
                <w:highlight w:val="none"/>
              </w:rPr>
              <w:t xml:space="preserve">  金属制品组件</w:t>
            </w:r>
            <w:r>
              <w:rPr>
                <w:rFonts w:hint="default" w:ascii="Times New Roman" w:hAnsi="Times New Roman" w:eastAsia="宋体" w:cs="Times New Roman"/>
                <w:b/>
                <w:bCs w:val="0"/>
                <w:color w:val="auto"/>
                <w:sz w:val="21"/>
                <w:szCs w:val="21"/>
                <w:highlight w:val="none"/>
                <w:lang w:val="en-US" w:eastAsia="zh-CN"/>
              </w:rPr>
              <w:t>生产工艺流程图</w:t>
            </w:r>
          </w:p>
          <w:p w14:paraId="041A5E87">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工艺流程说明：</w:t>
            </w:r>
          </w:p>
          <w:p w14:paraId="57B7961A">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①通过叉车将热轧钢坯原料运送至生产车间。</w:t>
            </w:r>
          </w:p>
          <w:p w14:paraId="4B8E8C58">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②在酸洗槽中泵入32%的盐酸，然后通入蒸汽，将槽液调整成为</w:t>
            </w:r>
            <w:r>
              <w:rPr>
                <w:rFonts w:hint="default" w:ascii="Times New Roman" w:hAnsi="Times New Roman" w:eastAsia="宋体" w:cs="Times New Roman"/>
                <w:bCs/>
                <w:color w:val="auto"/>
                <w:sz w:val="21"/>
                <w:szCs w:val="21"/>
                <w:highlight w:val="none"/>
                <w:lang w:val="en-US" w:eastAsia="en-US"/>
              </w:rPr>
              <w:t>70</w:t>
            </w:r>
            <w:r>
              <w:rPr>
                <w:rFonts w:hint="default" w:ascii="Times New Roman" w:hAnsi="Times New Roman" w:eastAsia="宋体" w:cs="Times New Roman"/>
                <w:bCs/>
                <w:color w:val="auto"/>
                <w:sz w:val="21"/>
                <w:szCs w:val="21"/>
                <w:highlight w:val="none"/>
              </w:rPr>
              <w:t>℃左右的25%的</w:t>
            </w:r>
            <w:r>
              <w:rPr>
                <w:rFonts w:hint="default" w:ascii="Times New Roman" w:hAnsi="Times New Roman" w:eastAsia="宋体" w:cs="Times New Roman"/>
                <w:bCs/>
                <w:color w:val="auto"/>
                <w:sz w:val="21"/>
                <w:szCs w:val="21"/>
                <w:highlight w:val="none"/>
                <w:lang w:val="en-US" w:eastAsia="zh-CN"/>
              </w:rPr>
              <w:t>酸</w:t>
            </w:r>
            <w:r>
              <w:rPr>
                <w:rFonts w:hint="default" w:ascii="Times New Roman" w:hAnsi="Times New Roman" w:eastAsia="宋体" w:cs="Times New Roman"/>
                <w:bCs/>
                <w:color w:val="auto"/>
                <w:sz w:val="21"/>
                <w:szCs w:val="21"/>
                <w:highlight w:val="none"/>
              </w:rPr>
              <w:t>洗液，然后将钢坯置于酸洗槽中，目的是除去表面的铁锈。</w:t>
            </w:r>
          </w:p>
          <w:p w14:paraId="3AE4BCDA">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③经过酸洗的热轧钢坯用清水清洗，经清洗后的热轧钢坯进行烘干处理。烘干为风干过程，项目釆甬鼓风机对钢坯表面进行吹风处理。</w:t>
            </w:r>
          </w:p>
          <w:p w14:paraId="759D4576">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④根据产品的生产需求对烘干后的钢坯进行轧制，轧制过的钢坯进行退火处理，退火釆用电加热式退火炉，退火过程需要循环水流对退火炉进行冷却。</w:t>
            </w:r>
          </w:p>
          <w:p w14:paraId="08C82AD9">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⑤退火后的钢坯进行平整、分剪、开屏、冲压、焊接等机加工处理。平整过程主要是对钢坯进行冲压和拉伸以使表面更光滑平整。</w:t>
            </w:r>
          </w:p>
          <w:p w14:paraId="7C6C3ED1">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⑥经过机加工后的成品进行检测，检测合格后包装出厂</w:t>
            </w:r>
            <w:r>
              <w:rPr>
                <w:rFonts w:hint="default" w:ascii="Times New Roman" w:hAnsi="Times New Roman" w:eastAsia="宋体" w:cs="Times New Roman"/>
                <w:bCs/>
                <w:color w:val="auto"/>
                <w:sz w:val="21"/>
                <w:szCs w:val="21"/>
                <w:highlight w:val="none"/>
                <w:lang w:eastAsia="zh-CN"/>
              </w:rPr>
              <w:t>。</w:t>
            </w:r>
          </w:p>
          <w:p w14:paraId="194D3558">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（2）热轧板及钢管生产工艺</w:t>
            </w:r>
            <w:r>
              <w:rPr>
                <w:rFonts w:hint="default" w:ascii="Times New Roman" w:hAnsi="Times New Roman" w:eastAsia="宋体" w:cs="Times New Roman"/>
                <w:bCs/>
                <w:color w:val="auto"/>
                <w:sz w:val="21"/>
                <w:szCs w:val="21"/>
                <w:highlight w:val="none"/>
              </w:rPr>
              <w:t>与产污环节</w:t>
            </w:r>
          </w:p>
          <w:p w14:paraId="3AFA4C09">
            <w:pPr>
              <w:pStyle w:val="28"/>
              <w:keepNext w:val="0"/>
              <w:keepLines w:val="0"/>
              <w:pageBreakBefore w:val="0"/>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drawing>
                <wp:inline distT="0" distB="0" distL="114300" distR="114300">
                  <wp:extent cx="4914900" cy="2390775"/>
                  <wp:effectExtent l="0" t="0" r="0" b="9525"/>
                  <wp:docPr id="17" name="图片 17" descr="4f14352598b69b099e4a3f0745eb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f14352598b69b099e4a3f0745eb445"/>
                          <pic:cNvPicPr>
                            <a:picLocks noChangeAspect="1"/>
                          </pic:cNvPicPr>
                        </pic:nvPicPr>
                        <pic:blipFill>
                          <a:blip r:embed="rId13"/>
                          <a:stretch>
                            <a:fillRect/>
                          </a:stretch>
                        </pic:blipFill>
                        <pic:spPr>
                          <a:xfrm>
                            <a:off x="0" y="0"/>
                            <a:ext cx="4914900" cy="2390775"/>
                          </a:xfrm>
                          <a:prstGeom prst="rect">
                            <a:avLst/>
                          </a:prstGeom>
                        </pic:spPr>
                      </pic:pic>
                    </a:graphicData>
                  </a:graphic>
                </wp:inline>
              </w:drawing>
            </w:r>
          </w:p>
          <w:p w14:paraId="4F6DC80B">
            <w:pPr>
              <w:pStyle w:val="28"/>
              <w:keepNext w:val="0"/>
              <w:keepLines w:val="0"/>
              <w:pageBreakBefore w:val="0"/>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图</w:t>
            </w:r>
            <w:r>
              <w:rPr>
                <w:rFonts w:hint="eastAsia" w:eastAsia="宋体" w:cs="Times New Roman"/>
                <w:b/>
                <w:bCs w:val="0"/>
                <w:color w:val="auto"/>
                <w:sz w:val="21"/>
                <w:szCs w:val="21"/>
                <w:highlight w:val="none"/>
                <w:lang w:val="en-US" w:eastAsia="zh-CN"/>
              </w:rPr>
              <w:t>2-5</w:t>
            </w:r>
            <w:r>
              <w:rPr>
                <w:rFonts w:hint="default" w:ascii="Times New Roman" w:hAnsi="Times New Roman" w:eastAsia="宋体" w:cs="Times New Roman"/>
                <w:b/>
                <w:bCs w:val="0"/>
                <w:color w:val="auto"/>
                <w:sz w:val="21"/>
                <w:szCs w:val="21"/>
                <w:highlight w:val="none"/>
                <w:lang w:val="en-US" w:eastAsia="zh-CN"/>
              </w:rPr>
              <w:t>热轧板及钢管生产工艺</w:t>
            </w:r>
          </w:p>
          <w:p w14:paraId="102999E6">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工艺流程说明：</w:t>
            </w:r>
          </w:p>
          <w:p w14:paraId="6C89D568">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①通过叉车将热轧钢坯原料运送至生产车间。</w:t>
            </w:r>
          </w:p>
          <w:p w14:paraId="4E68CB2B">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②在酸洗槽中泵入32%的盐酸，然后通入蒸汽，将槽液调整成为</w:t>
            </w:r>
            <w:r>
              <w:rPr>
                <w:rFonts w:hint="default" w:ascii="Times New Roman" w:hAnsi="Times New Roman" w:eastAsia="宋体" w:cs="Times New Roman"/>
                <w:bCs/>
                <w:color w:val="auto"/>
                <w:sz w:val="21"/>
                <w:szCs w:val="21"/>
                <w:highlight w:val="none"/>
                <w:lang w:val="en-US" w:eastAsia="zh-CN"/>
              </w:rPr>
              <w:t>70C</w:t>
            </w:r>
            <w:r>
              <w:rPr>
                <w:rFonts w:hint="default" w:ascii="Times New Roman" w:hAnsi="Times New Roman" w:eastAsia="宋体" w:cs="Times New Roman"/>
                <w:bCs/>
                <w:color w:val="auto"/>
                <w:sz w:val="21"/>
                <w:szCs w:val="21"/>
                <w:highlight w:val="none"/>
                <w:lang w:eastAsia="zh-CN"/>
              </w:rPr>
              <w:t>左右的25%的</w:t>
            </w:r>
            <w:r>
              <w:rPr>
                <w:rFonts w:hint="default" w:ascii="Times New Roman" w:hAnsi="Times New Roman" w:eastAsia="宋体" w:cs="Times New Roman"/>
                <w:bCs/>
                <w:color w:val="auto"/>
                <w:sz w:val="21"/>
                <w:szCs w:val="21"/>
                <w:highlight w:val="none"/>
                <w:lang w:val="en-US" w:eastAsia="zh-CN"/>
              </w:rPr>
              <w:t>酸</w:t>
            </w:r>
            <w:r>
              <w:rPr>
                <w:rFonts w:hint="default" w:ascii="Times New Roman" w:hAnsi="Times New Roman" w:eastAsia="宋体" w:cs="Times New Roman"/>
                <w:bCs/>
                <w:color w:val="auto"/>
                <w:sz w:val="21"/>
                <w:szCs w:val="21"/>
                <w:highlight w:val="none"/>
                <w:lang w:eastAsia="zh-CN"/>
              </w:rPr>
              <w:t>洗液，然后将钢坯置于酸洗槽中，目的是除去表面的铁锈。</w:t>
            </w:r>
          </w:p>
          <w:p w14:paraId="7E9D883E">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③经过酸洗的热轧钢坯用清水清洗，经清洗后的热轧钢坯进行烘干处理。烘干为风干过程，项目釆甬鼓风机对钢坯表面进行吹风处理。</w:t>
            </w:r>
          </w:p>
          <w:p w14:paraId="6DBB5F5F">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④根据产品的生产需求对烘干后的钢坯进行轧制，轧制过的钢坯进行退火处理，退火釆用电加热式退火炉，退火过程需要循环水流对退火炉进行冷却。</w:t>
            </w:r>
          </w:p>
          <w:p w14:paraId="7D0C7C48">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⑤退火后的钢坯进行平整、分剪、</w:t>
            </w:r>
            <w:r>
              <w:rPr>
                <w:rFonts w:hint="default" w:ascii="Times New Roman" w:hAnsi="Times New Roman" w:eastAsia="宋体" w:cs="Times New Roman"/>
                <w:bCs/>
                <w:color w:val="auto"/>
                <w:sz w:val="21"/>
                <w:szCs w:val="21"/>
                <w:highlight w:val="none"/>
                <w:lang w:val="en-US" w:eastAsia="zh-CN"/>
              </w:rPr>
              <w:t>制管</w:t>
            </w:r>
            <w:r>
              <w:rPr>
                <w:rFonts w:hint="default" w:ascii="Times New Roman" w:hAnsi="Times New Roman" w:eastAsia="宋体" w:cs="Times New Roman"/>
                <w:bCs/>
                <w:color w:val="auto"/>
                <w:sz w:val="21"/>
                <w:szCs w:val="21"/>
                <w:highlight w:val="none"/>
                <w:lang w:eastAsia="zh-CN"/>
              </w:rPr>
              <w:t>等机加工处理。平整过程主要是对钢坯进行冲压和拉伸以使表面更光滑平整。</w:t>
            </w:r>
          </w:p>
          <w:p w14:paraId="22953343">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⑥经过机加工后的成品进行检测，检测合格后包装出厂。</w:t>
            </w:r>
          </w:p>
          <w:p w14:paraId="5FCBF1F3">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lang w:eastAsia="zh-CN"/>
              </w:rPr>
              <w:t>）金属制品组装和表面处理</w:t>
            </w:r>
            <w:r>
              <w:rPr>
                <w:rFonts w:hint="default" w:ascii="Times New Roman" w:hAnsi="Times New Roman" w:eastAsia="宋体" w:cs="Times New Roman"/>
                <w:bCs/>
                <w:color w:val="auto"/>
                <w:sz w:val="21"/>
                <w:szCs w:val="21"/>
                <w:highlight w:val="none"/>
                <w:lang w:val="en-US" w:eastAsia="zh-CN"/>
              </w:rPr>
              <w:t>工艺</w:t>
            </w:r>
            <w:r>
              <w:rPr>
                <w:rFonts w:hint="default" w:ascii="Times New Roman" w:hAnsi="Times New Roman" w:eastAsia="宋体" w:cs="Times New Roman"/>
                <w:bCs/>
                <w:color w:val="auto"/>
                <w:sz w:val="21"/>
                <w:szCs w:val="21"/>
                <w:highlight w:val="none"/>
              </w:rPr>
              <w:t>流程与产污环节</w:t>
            </w:r>
          </w:p>
          <w:p w14:paraId="28CFFBDF">
            <w:pPr>
              <w:pStyle w:val="28"/>
              <w:keepNext w:val="0"/>
              <w:keepLines w:val="0"/>
              <w:pageBreakBefore w:val="0"/>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drawing>
                <wp:inline distT="0" distB="0" distL="114300" distR="114300">
                  <wp:extent cx="4700905" cy="6680200"/>
                  <wp:effectExtent l="0" t="0" r="4445" b="6350"/>
                  <wp:docPr id="18" name="图片 18" descr="c881034953884f5eee273ccd3604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881034953884f5eee273ccd36047ed"/>
                          <pic:cNvPicPr>
                            <a:picLocks noChangeAspect="1"/>
                          </pic:cNvPicPr>
                        </pic:nvPicPr>
                        <pic:blipFill>
                          <a:blip r:embed="rId14"/>
                          <a:srcRect l="4055" r="2438"/>
                          <a:stretch>
                            <a:fillRect/>
                          </a:stretch>
                        </pic:blipFill>
                        <pic:spPr>
                          <a:xfrm>
                            <a:off x="0" y="0"/>
                            <a:ext cx="4700905" cy="6680200"/>
                          </a:xfrm>
                          <a:prstGeom prst="rect">
                            <a:avLst/>
                          </a:prstGeom>
                        </pic:spPr>
                      </pic:pic>
                    </a:graphicData>
                  </a:graphic>
                </wp:inline>
              </w:drawing>
            </w:r>
          </w:p>
          <w:p w14:paraId="42C85471">
            <w:pPr>
              <w:pStyle w:val="28"/>
              <w:keepNext w:val="0"/>
              <w:keepLines w:val="0"/>
              <w:pageBreakBefore w:val="0"/>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图</w:t>
            </w:r>
            <w:r>
              <w:rPr>
                <w:rFonts w:hint="eastAsia" w:eastAsia="宋体" w:cs="Times New Roman"/>
                <w:b/>
                <w:bCs w:val="0"/>
                <w:color w:val="auto"/>
                <w:sz w:val="21"/>
                <w:szCs w:val="21"/>
                <w:highlight w:val="none"/>
                <w:lang w:val="en-US" w:eastAsia="zh-CN"/>
              </w:rPr>
              <w:t>2-6</w:t>
            </w:r>
            <w:r>
              <w:rPr>
                <w:rFonts w:hint="default" w:ascii="Times New Roman" w:hAnsi="Times New Roman" w:eastAsia="宋体" w:cs="Times New Roman"/>
                <w:b/>
                <w:bCs w:val="0"/>
                <w:color w:val="auto"/>
                <w:sz w:val="21"/>
                <w:szCs w:val="21"/>
                <w:highlight w:val="none"/>
              </w:rPr>
              <w:t xml:space="preserve">  金属制品组装和表面处理</w:t>
            </w:r>
            <w:r>
              <w:rPr>
                <w:rFonts w:hint="default" w:ascii="Times New Roman" w:hAnsi="Times New Roman" w:eastAsia="宋体" w:cs="Times New Roman"/>
                <w:b/>
                <w:bCs w:val="0"/>
                <w:color w:val="auto"/>
                <w:sz w:val="21"/>
                <w:szCs w:val="21"/>
                <w:highlight w:val="none"/>
                <w:lang w:val="en-US" w:eastAsia="zh-CN"/>
              </w:rPr>
              <w:t>工艺流程图</w:t>
            </w:r>
          </w:p>
          <w:p w14:paraId="4E8AEC99">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工艺流程说明：</w:t>
            </w:r>
          </w:p>
          <w:p w14:paraId="5A472425">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①折弯、焊接：根据需要，对产品部分工件进行折弯、焊接。焊接过程产生焊烟Gu1、下脚料S1</w:t>
            </w:r>
            <w:r>
              <w:rPr>
                <w:rFonts w:hint="default" w:ascii="Times New Roman" w:hAnsi="Times New Roman" w:eastAsia="宋体" w:cs="Times New Roman"/>
                <w:bCs/>
                <w:color w:val="auto"/>
                <w:sz w:val="21"/>
                <w:szCs w:val="21"/>
                <w:highlight w:val="none"/>
                <w:lang w:eastAsia="zh-CN"/>
              </w:rPr>
              <w:t>。</w:t>
            </w:r>
          </w:p>
          <w:p w14:paraId="5FE8B645">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涂装前须将工件表面所附着的金属屑、灰尘等污垢彻底除去，即进行脱脂，以保证涂层具有良好的附着力和防护性能。表面处理生产线由棚体、供液槽体、喷淋系统、槽液加热温控系统、水分烘干炉、排风系统等组成，为全封闭结构，所有清洗过程在封闭空间内一次完成。喷淋工位采用水流逆补技术，从而节省用水量，降低废水处理量，减少药品消耗，提高清洗质量。喷淋系统采用下行上送方式，保证清洗效果。</w:t>
            </w:r>
          </w:p>
          <w:p w14:paraId="58465129">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脱脂、预脱脂及皮膜的热水由电热棒加热水提供。水分烘干炉采用燃气加热强制热风循环烘道，由进出口桥段、室体、送回风管道、底框架、框架、燃气加热系统、废气排气装置及自动控温系统等组成。烘道加热主体段架空高于进出口，减少门洞漏热。炉体为单元化的迷宫式插板结构，有效减少热量损失。热风循环系统采用上送风、下回风的方式，充分利用热风的能量。</w:t>
            </w:r>
          </w:p>
          <w:p w14:paraId="73C6CC74">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②预脱脂：手工将需表面处理工件挂上表面处理生产线悬挂输送链，用浓度为4%的稀脱脂液（60℃）自动喷淋工件1min进行预脱脂，槽液体积5.5m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（长×宽×高=3.06m×1.2m×1.5m），喷淋流量20m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/h。定期补充蒸发损耗的水，定期补充脱脂粉，一年清理一次槽渣并不定期排放槽液S2，以满足处理要求。预脱脂工段所用热水由电热棒加热水供给。</w:t>
            </w:r>
          </w:p>
          <w:p w14:paraId="524FB498">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③脱脂：用浓度为8%的脱脂液（60℃）浸泡工件，进行全脱脂，时间1min，脱脂槽体积38m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（长×宽×高=17.88m×1.25m×1.7m），定期补充蒸发损耗的水，定期补充脱脂粉，一年清理一次槽渣并不定期排放槽液S3，以满足处理要求。脱脂工段所用热水由电热棒加热水供给。</w:t>
            </w:r>
          </w:p>
          <w:p w14:paraId="1DC7C7E7">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④第一次水洗：用自来水浸泡清洗工件上残留的脱脂液1min，槽液体积17m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（长×宽×高=9.44m×1.2m×1.5m），重复使用，定期补充蒸发损耗的水，清洗水三个月排放一次，产生水洗废水W1。</w:t>
            </w:r>
          </w:p>
          <w:p w14:paraId="7674E1AE">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⑤第二次水洗：再次用自来水喷淋清洗工件上残留的脱脂液。喷淋时间1min，喷淋流量20m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/h，槽液体积5.5m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（长×宽×高=3.06m×1.2m×1.5m），循环使用，定期补充蒸发损耗的水，清洗水一个月排放一次，产生水洗废水W2。</w:t>
            </w:r>
          </w:p>
          <w:p w14:paraId="590BD391">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⑥表调：用浓度为3.75%的表调液喷淋工件，进行表面调整处理，时间1min，喷淋流量20m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/h。槽液体积5.5m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（长×宽×高=3.06m×1.2m×1.5m），定期补充蒸发损耗的水，定期补充表调剂，一年清理一次槽渣并不定期排放槽液S4，以满足处理要求。</w:t>
            </w:r>
          </w:p>
          <w:p w14:paraId="532C0A22">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⑦皮膜：皮膜目的就是提高涂层与工件间的结合力。皮膜后工件表面会形成一层0.5~1.0μm的化学氧化膜，该膜层有许多细小的腐蚀孔，涂层材料渗入微孔中，经固化处理，喷涂材料将牢牢嵌入氧化层微孔中，使涂层与基体很难拔离，从而实现喷涂材料对工件的长期保护。用PH值为4.2的皮膜液浸泡工件，时间3min，槽液体积38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（长×宽×高=17.88m×1.25m×1.7m），定期补充蒸发损耗的水，定期补充皮膜液，一年清理一次槽渣并不定期排放槽液S5，以满足处理要求。皮膜工段所用热水由电热棒加热水供给。</w:t>
            </w:r>
          </w:p>
          <w:p w14:paraId="7D7244C5">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⑧第一次水洗：用自来水浸泡清洗工件上残留的皮膜液1min，槽液体积17m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（长×宽×高=9.44m×1.2m×1.5m），重复使用，定期补充蒸发损耗的水，清洗水三个月排放一次，产生水洗废水W3。</w:t>
            </w:r>
          </w:p>
          <w:p w14:paraId="75EADF46">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⑨第二次水洗：再次用自来水喷淋清洗工件上残留的脱脂液。喷淋时间1min，喷淋流量20m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/h，槽液体积5.5m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（长×宽×高=3.06m×1.2m×1.5m），循环使用，定期补充蒸发损耗的水，清洗水一个月排放一次，产生水洗废水W4。</w:t>
            </w:r>
          </w:p>
          <w:p w14:paraId="0EEAAEEF">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⑩滴水/吹水：人工用压缩空气将工件上的水分吹掉，水滴落下自然蒸发。</w:t>
            </w:r>
          </w:p>
          <w:p w14:paraId="2B8AE3DE">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⑪烘干：在燃气水分烘干炉中将工件上的水份烘干，温度为100~120℃，时间25min。</w:t>
            </w:r>
            <w:r>
              <w:rPr>
                <w:rFonts w:hint="default" w:ascii="Times New Roman" w:hAnsi="Times New Roman" w:eastAsia="宋体" w:cs="Times New Roman"/>
                <w:bCs/>
                <w:color w:val="auto"/>
                <w:sz w:val="21"/>
                <w:szCs w:val="21"/>
                <w:highlight w:val="none"/>
                <w:lang w:val="en-US" w:eastAsia="zh-CN"/>
              </w:rPr>
              <w:t>此工序会产生</w:t>
            </w:r>
            <w:r>
              <w:rPr>
                <w:rFonts w:hint="default" w:ascii="Times New Roman" w:hAnsi="Times New Roman" w:eastAsia="宋体" w:cs="Times New Roman"/>
                <w:bCs/>
                <w:color w:val="auto"/>
                <w:sz w:val="21"/>
                <w:szCs w:val="21"/>
                <w:highlight w:val="none"/>
              </w:rPr>
              <w:t>水分烘干炉燃天然气废气G1。</w:t>
            </w:r>
          </w:p>
          <w:p w14:paraId="13434232">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⑫静电喷粉：手工将工件挂上生产线悬挂输送链，在密闭的喷粉间内，环氧聚酯粉末在高压静电作用下，喷射吸附于金属工件表面上，静电喷粉过程会产生粉尘废气G2</w:t>
            </w:r>
            <w:r>
              <w:rPr>
                <w:rFonts w:hint="default" w:ascii="Times New Roman" w:hAnsi="Times New Roman" w:eastAsia="宋体" w:cs="Times New Roman"/>
                <w:bCs/>
                <w:color w:val="auto"/>
                <w:sz w:val="21"/>
                <w:szCs w:val="21"/>
                <w:highlight w:val="none"/>
                <w:lang w:eastAsia="zh-CN"/>
              </w:rPr>
              <w:t>。</w:t>
            </w:r>
          </w:p>
          <w:p w14:paraId="33FFC06E">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⑬粉末固化：在粉末固化炉的固化烘道内，经热风循环加热，于180~200℃下，对喷涂的塑粉进行固化烘烤，时间40min。固化烘道内塑粉固化烘烤产生有机废气VOCsG4，粉末固化炉燃天然气废气G3。</w:t>
            </w:r>
          </w:p>
          <w:p w14:paraId="24695772">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⑭组装、检验：人工将各工件及五金件按照要求进行试组装，并检验是否漏件、涂层是否均匀等，检验过程产生的不合格品返回相应工序重新加工。</w:t>
            </w:r>
          </w:p>
          <w:p w14:paraId="4154A673">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⑮包装入库：产品包装入库、待售。</w:t>
            </w:r>
          </w:p>
          <w:p w14:paraId="0CA209B9">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碳烤炉生产</w:t>
            </w:r>
            <w:r>
              <w:rPr>
                <w:rFonts w:hint="default" w:ascii="Times New Roman" w:hAnsi="Times New Roman" w:eastAsia="宋体" w:cs="Times New Roman"/>
                <w:bCs/>
                <w:color w:val="auto"/>
                <w:sz w:val="21"/>
                <w:szCs w:val="21"/>
                <w:highlight w:val="none"/>
                <w:lang w:val="en-US" w:eastAsia="zh-CN"/>
              </w:rPr>
              <w:t>工艺</w:t>
            </w:r>
            <w:r>
              <w:rPr>
                <w:rFonts w:hint="default" w:ascii="Times New Roman" w:hAnsi="Times New Roman" w:eastAsia="宋体" w:cs="Times New Roman"/>
                <w:bCs/>
                <w:color w:val="auto"/>
                <w:sz w:val="21"/>
                <w:szCs w:val="21"/>
                <w:highlight w:val="none"/>
              </w:rPr>
              <w:t>流程与产污环节</w:t>
            </w:r>
          </w:p>
          <w:p w14:paraId="03C7CE06">
            <w:pPr>
              <w:pStyle w:val="28"/>
              <w:keepNext w:val="0"/>
              <w:keepLines w:val="0"/>
              <w:pageBreakBefore w:val="0"/>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drawing>
                <wp:inline distT="0" distB="0" distL="114300" distR="114300">
                  <wp:extent cx="4933315" cy="7255510"/>
                  <wp:effectExtent l="0" t="0" r="635" b="2540"/>
                  <wp:docPr id="19" name="图片 19" descr="dd9ec236f62ed9bfc009e36fb88e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d9ec236f62ed9bfc009e36fb88e439"/>
                          <pic:cNvPicPr>
                            <a:picLocks noChangeAspect="1"/>
                          </pic:cNvPicPr>
                        </pic:nvPicPr>
                        <pic:blipFill>
                          <a:blip r:embed="rId15"/>
                          <a:srcRect l="5645" r="1376"/>
                          <a:stretch>
                            <a:fillRect/>
                          </a:stretch>
                        </pic:blipFill>
                        <pic:spPr>
                          <a:xfrm>
                            <a:off x="0" y="0"/>
                            <a:ext cx="4933315" cy="7255510"/>
                          </a:xfrm>
                          <a:prstGeom prst="rect">
                            <a:avLst/>
                          </a:prstGeom>
                        </pic:spPr>
                      </pic:pic>
                    </a:graphicData>
                  </a:graphic>
                </wp:inline>
              </w:drawing>
            </w:r>
          </w:p>
          <w:p w14:paraId="61F5BE70">
            <w:pPr>
              <w:pStyle w:val="28"/>
              <w:keepNext w:val="0"/>
              <w:keepLines w:val="0"/>
              <w:pageBreakBefore w:val="0"/>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图</w:t>
            </w:r>
            <w:r>
              <w:rPr>
                <w:rFonts w:hint="eastAsia" w:eastAsia="宋体" w:cs="Times New Roman"/>
                <w:b/>
                <w:bCs w:val="0"/>
                <w:color w:val="auto"/>
                <w:sz w:val="21"/>
                <w:szCs w:val="21"/>
                <w:highlight w:val="none"/>
                <w:lang w:val="en-US" w:eastAsia="zh-CN"/>
              </w:rPr>
              <w:t>2-7</w:t>
            </w:r>
            <w:r>
              <w:rPr>
                <w:rFonts w:hint="default" w:ascii="Times New Roman" w:hAnsi="Times New Roman" w:eastAsia="宋体" w:cs="Times New Roman"/>
                <w:b/>
                <w:bCs w:val="0"/>
                <w:color w:val="auto"/>
                <w:sz w:val="21"/>
                <w:szCs w:val="21"/>
                <w:highlight w:val="none"/>
              </w:rPr>
              <w:t xml:space="preserve">  </w:t>
            </w:r>
            <w:r>
              <w:rPr>
                <w:rFonts w:hint="eastAsia" w:eastAsia="宋体" w:cs="Times New Roman"/>
                <w:b/>
                <w:bCs w:val="0"/>
                <w:color w:val="auto"/>
                <w:sz w:val="21"/>
                <w:szCs w:val="21"/>
                <w:highlight w:val="none"/>
                <w:lang w:val="en-US" w:eastAsia="zh-CN"/>
              </w:rPr>
              <w:t>碳烤炉生产</w:t>
            </w:r>
            <w:r>
              <w:rPr>
                <w:rFonts w:hint="default" w:ascii="Times New Roman" w:hAnsi="Times New Roman" w:eastAsia="宋体" w:cs="Times New Roman"/>
                <w:b/>
                <w:bCs w:val="0"/>
                <w:color w:val="auto"/>
                <w:sz w:val="21"/>
                <w:szCs w:val="21"/>
                <w:highlight w:val="none"/>
                <w:lang w:val="en-US" w:eastAsia="zh-CN"/>
              </w:rPr>
              <w:t>工艺流程图</w:t>
            </w:r>
          </w:p>
          <w:p w14:paraId="485332DD">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工艺说明：</w:t>
            </w:r>
          </w:p>
          <w:p w14:paraId="2658E1F8">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①预脱脂：</w:t>
            </w:r>
            <w:r>
              <w:rPr>
                <w:rFonts w:hint="default" w:ascii="Times New Roman" w:hAnsi="Times New Roman" w:eastAsia="宋体" w:cs="Times New Roman"/>
                <w:bCs/>
                <w:color w:val="auto"/>
                <w:sz w:val="21"/>
                <w:szCs w:val="21"/>
                <w:highlight w:val="none"/>
              </w:rPr>
              <w:t>将需表面处理</w:t>
            </w:r>
            <w:r>
              <w:rPr>
                <w:rFonts w:hint="default" w:ascii="Times New Roman" w:hAnsi="Times New Roman" w:eastAsia="宋体" w:cs="Times New Roman"/>
                <w:bCs/>
                <w:color w:val="auto"/>
                <w:sz w:val="21"/>
                <w:szCs w:val="21"/>
                <w:highlight w:val="none"/>
                <w:lang w:val="en-US" w:eastAsia="zh-CN"/>
              </w:rPr>
              <w:t>烤炉冲压件</w:t>
            </w:r>
            <w:r>
              <w:rPr>
                <w:rFonts w:hint="default" w:ascii="Times New Roman" w:hAnsi="Times New Roman" w:eastAsia="宋体" w:cs="Times New Roman"/>
                <w:bCs/>
                <w:color w:val="auto"/>
                <w:sz w:val="21"/>
                <w:szCs w:val="21"/>
                <w:highlight w:val="none"/>
              </w:rPr>
              <w:t>挂上表面处理生产线悬挂输送链，</w:t>
            </w:r>
            <w:r>
              <w:rPr>
                <w:rFonts w:hint="default" w:ascii="Times New Roman" w:hAnsi="Times New Roman" w:eastAsia="宋体" w:cs="Times New Roman"/>
                <w:bCs/>
                <w:color w:val="auto"/>
                <w:sz w:val="21"/>
                <w:szCs w:val="21"/>
                <w:highlight w:val="none"/>
                <w:lang w:val="en-US" w:eastAsia="zh-CN"/>
              </w:rPr>
              <w:t>用调配好</w:t>
            </w:r>
            <w:r>
              <w:rPr>
                <w:rFonts w:hint="default" w:ascii="Times New Roman" w:hAnsi="Times New Roman" w:eastAsia="宋体" w:cs="Times New Roman"/>
                <w:bCs/>
                <w:color w:val="auto"/>
                <w:sz w:val="21"/>
                <w:szCs w:val="21"/>
                <w:highlight w:val="none"/>
              </w:rPr>
              <w:t>稀脱脂液</w:t>
            </w:r>
            <w:r>
              <w:rPr>
                <w:rFonts w:hint="default" w:ascii="Times New Roman" w:hAnsi="Times New Roman" w:eastAsia="宋体" w:cs="Times New Roman"/>
                <w:bCs/>
                <w:color w:val="auto"/>
                <w:sz w:val="21"/>
                <w:szCs w:val="21"/>
                <w:highlight w:val="none"/>
                <w:lang w:val="en-US" w:eastAsia="zh-CN"/>
              </w:rPr>
              <w:t>(3%~4%)</w:t>
            </w:r>
            <w:r>
              <w:rPr>
                <w:rFonts w:hint="default" w:ascii="Times New Roman" w:hAnsi="Times New Roman" w:eastAsia="宋体" w:cs="Times New Roman"/>
                <w:bCs/>
                <w:color w:val="auto"/>
                <w:sz w:val="21"/>
                <w:szCs w:val="21"/>
                <w:highlight w:val="none"/>
              </w:rPr>
              <w:t>自动喷淋工件1min进行预脱脂，槽液体积</w:t>
            </w:r>
            <w:r>
              <w:rPr>
                <w:rFonts w:hint="default"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m</w:t>
            </w:r>
            <w:r>
              <w:rPr>
                <w:rFonts w:hint="eastAsia"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rPr>
              <w:t>（长×宽×高=</w:t>
            </w:r>
            <w:r>
              <w:rPr>
                <w:rFonts w:hint="default" w:ascii="Times New Roman" w:hAnsi="Times New Roman" w:eastAsia="宋体"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m×1.2m×1.</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5m），喷淋流量20m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/h。定期补充蒸发损耗的水，定期补充脱脂粉</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137A</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及脱脂剂（113B）</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半</w:t>
            </w:r>
            <w:r>
              <w:rPr>
                <w:rFonts w:hint="default" w:ascii="Times New Roman" w:hAnsi="Times New Roman" w:eastAsia="宋体" w:cs="Times New Roman"/>
                <w:bCs/>
                <w:color w:val="auto"/>
                <w:sz w:val="21"/>
                <w:szCs w:val="21"/>
                <w:highlight w:val="none"/>
              </w:rPr>
              <w:t>年清理一次槽渣S</w:t>
            </w: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并不定期排放</w:t>
            </w:r>
            <w:r>
              <w:rPr>
                <w:rFonts w:hint="default" w:ascii="Times New Roman" w:hAnsi="Times New Roman" w:eastAsia="宋体" w:cs="Times New Roman"/>
                <w:bCs/>
                <w:color w:val="auto"/>
                <w:sz w:val="21"/>
                <w:szCs w:val="21"/>
                <w:highlight w:val="none"/>
                <w:lang w:val="en-US" w:eastAsia="zh-CN"/>
              </w:rPr>
              <w:t>预脱脂废水W1进入厂区污水处理站处理</w:t>
            </w:r>
            <w:r>
              <w:rPr>
                <w:rFonts w:hint="default" w:ascii="Times New Roman" w:hAnsi="Times New Roman" w:eastAsia="宋体" w:cs="Times New Roman"/>
                <w:bCs/>
                <w:color w:val="auto"/>
                <w:sz w:val="21"/>
                <w:szCs w:val="21"/>
                <w:highlight w:val="none"/>
              </w:rPr>
              <w:t>，以满足处理要求。</w:t>
            </w:r>
          </w:p>
          <w:p w14:paraId="28A55043">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②脱脂：</w:t>
            </w:r>
            <w:r>
              <w:rPr>
                <w:rFonts w:hint="default" w:ascii="Times New Roman" w:hAnsi="Times New Roman" w:eastAsia="宋体" w:cs="Times New Roman"/>
                <w:bCs/>
                <w:color w:val="auto"/>
                <w:sz w:val="21"/>
                <w:szCs w:val="21"/>
                <w:highlight w:val="none"/>
              </w:rPr>
              <w:t>用浓度</w:t>
            </w:r>
            <w:r>
              <w:rPr>
                <w:rFonts w:hint="default" w:ascii="Times New Roman" w:hAnsi="Times New Roman" w:eastAsia="宋体" w:cs="Times New Roman"/>
                <w:bCs/>
                <w:color w:val="auto"/>
                <w:sz w:val="21"/>
                <w:szCs w:val="21"/>
                <w:highlight w:val="none"/>
                <w:lang w:val="en-US" w:eastAsia="zh-CN"/>
              </w:rPr>
              <w:t>较高</w:t>
            </w:r>
            <w:r>
              <w:rPr>
                <w:rFonts w:hint="default" w:ascii="Times New Roman" w:hAnsi="Times New Roman" w:eastAsia="宋体" w:cs="Times New Roman"/>
                <w:bCs/>
                <w:color w:val="auto"/>
                <w:sz w:val="21"/>
                <w:szCs w:val="21"/>
                <w:highlight w:val="none"/>
              </w:rPr>
              <w:t>的脱脂液</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6%~8%</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浸泡工件，进行全脱脂，时间1min，脱脂槽体积</w:t>
            </w:r>
            <w:r>
              <w:rPr>
                <w:rFonts w:hint="default" w:ascii="Times New Roman" w:hAnsi="Times New Roman" w:eastAsia="宋体" w:cs="Times New Roman"/>
                <w:bCs/>
                <w:color w:val="auto"/>
                <w:sz w:val="21"/>
                <w:szCs w:val="21"/>
                <w:highlight w:val="none"/>
                <w:lang w:val="en-US" w:eastAsia="zh-CN"/>
              </w:rPr>
              <w:t>20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w:t>
            </w:r>
            <w:r>
              <w:rPr>
                <w:rFonts w:hint="default" w:ascii="Times New Roman" w:hAnsi="Times New Roman" w:eastAsia="宋体"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m×1.25m×1.</w:t>
            </w:r>
            <w:r>
              <w:rPr>
                <w:rFonts w:hint="default"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m），定期补充蒸发损耗的水，定期补充脱脂</w:t>
            </w:r>
            <w:r>
              <w:rPr>
                <w:rFonts w:hint="default" w:ascii="Times New Roman" w:hAnsi="Times New Roman" w:eastAsia="宋体" w:cs="Times New Roman"/>
                <w:bCs/>
                <w:color w:val="auto"/>
                <w:sz w:val="21"/>
                <w:szCs w:val="21"/>
                <w:highlight w:val="none"/>
                <w:lang w:val="en-US" w:eastAsia="zh-CN"/>
              </w:rPr>
              <w:t>剂（102A）</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半年</w:t>
            </w:r>
            <w:r>
              <w:rPr>
                <w:rFonts w:hint="default" w:ascii="Times New Roman" w:hAnsi="Times New Roman" w:eastAsia="宋体" w:cs="Times New Roman"/>
                <w:bCs/>
                <w:color w:val="auto"/>
                <w:sz w:val="21"/>
                <w:szCs w:val="21"/>
                <w:highlight w:val="none"/>
              </w:rPr>
              <w:t>清理一次槽渣并不定期排放</w:t>
            </w:r>
            <w:r>
              <w:rPr>
                <w:rFonts w:hint="default" w:ascii="Times New Roman" w:hAnsi="Times New Roman" w:eastAsia="宋体" w:cs="Times New Roman"/>
                <w:bCs/>
                <w:color w:val="auto"/>
                <w:sz w:val="21"/>
                <w:szCs w:val="21"/>
                <w:highlight w:val="none"/>
                <w:lang w:val="en-US" w:eastAsia="zh-CN"/>
              </w:rPr>
              <w:t>脱脂废水W2进入厂区污水处理站处理</w:t>
            </w:r>
            <w:r>
              <w:rPr>
                <w:rFonts w:hint="default" w:ascii="Times New Roman" w:hAnsi="Times New Roman" w:eastAsia="宋体" w:cs="Times New Roman"/>
                <w:bCs/>
                <w:color w:val="auto"/>
                <w:sz w:val="21"/>
                <w:szCs w:val="21"/>
                <w:highlight w:val="none"/>
              </w:rPr>
              <w:t>，以满足处理要求。</w:t>
            </w:r>
          </w:p>
          <w:p w14:paraId="69BAE267">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③</w:t>
            </w:r>
            <w:r>
              <w:rPr>
                <w:rFonts w:hint="default" w:ascii="Times New Roman" w:hAnsi="Times New Roman" w:eastAsia="宋体" w:cs="Times New Roman"/>
                <w:bCs/>
                <w:color w:val="auto"/>
                <w:sz w:val="21"/>
                <w:szCs w:val="21"/>
                <w:highlight w:val="none"/>
              </w:rPr>
              <w:t>第一次水洗：用自来水浸泡清洗工件上残留的脱脂液1min，槽液体积1</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w:t>
            </w:r>
            <w:r>
              <w:rPr>
                <w:rFonts w:hint="default"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m×1.2</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m×1.5m），重复使用，定期补充蒸发损耗的水，清洗水</w:t>
            </w:r>
            <w:r>
              <w:rPr>
                <w:rFonts w:hint="default" w:ascii="Times New Roman" w:hAnsi="Times New Roman" w:eastAsia="宋体" w:cs="Times New Roman"/>
                <w:bCs/>
                <w:color w:val="auto"/>
                <w:sz w:val="21"/>
                <w:szCs w:val="21"/>
                <w:highlight w:val="none"/>
                <w:lang w:val="en-US" w:eastAsia="zh-CN"/>
              </w:rPr>
              <w:t>一季度</w:t>
            </w:r>
            <w:r>
              <w:rPr>
                <w:rFonts w:hint="default" w:ascii="Times New Roman" w:hAnsi="Times New Roman" w:eastAsia="宋体" w:cs="Times New Roman"/>
                <w:bCs/>
                <w:color w:val="auto"/>
                <w:sz w:val="21"/>
                <w:szCs w:val="21"/>
                <w:highlight w:val="none"/>
              </w:rPr>
              <w:t>排放一次，产生水洗废水W</w:t>
            </w:r>
            <w:r>
              <w:rPr>
                <w:rFonts w:hint="default" w:ascii="Times New Roman" w:hAnsi="Times New Roman"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w:t>
            </w:r>
          </w:p>
          <w:p w14:paraId="07CC267A">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④</w:t>
            </w:r>
            <w:r>
              <w:rPr>
                <w:rFonts w:hint="default" w:ascii="Times New Roman" w:hAnsi="Times New Roman" w:eastAsia="宋体" w:cs="Times New Roman"/>
                <w:bCs/>
                <w:color w:val="auto"/>
                <w:sz w:val="21"/>
                <w:szCs w:val="21"/>
                <w:highlight w:val="none"/>
              </w:rPr>
              <w:t>第二次水洗：用自来水喷淋清洗工件上残留的脱脂液。喷淋时间1min，喷淋流量20m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/h，槽液体积5.5m</w:t>
            </w:r>
            <w:r>
              <w:rPr>
                <w:rFonts w:hint="eastAsia"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rPr>
              <w:t>（长×宽×高=3.06m×1.2m×1.5m），循环使用，定期补充蒸发损耗的水，清洗水一个月排放一次，产生水洗废水W</w:t>
            </w:r>
            <w:r>
              <w:rPr>
                <w:rFonts w:hint="default" w:ascii="Times New Roman" w:hAnsi="Times New Roman" w:eastAsia="宋体"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w:t>
            </w:r>
          </w:p>
          <w:p w14:paraId="732A0E63">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⑤</w:t>
            </w:r>
            <w:r>
              <w:rPr>
                <w:rFonts w:hint="default" w:ascii="Times New Roman" w:hAnsi="Times New Roman" w:eastAsia="宋体" w:cs="Times New Roman"/>
                <w:bCs/>
                <w:color w:val="auto"/>
                <w:sz w:val="21"/>
                <w:szCs w:val="21"/>
                <w:highlight w:val="none"/>
                <w:lang w:val="en-US" w:eastAsia="zh-CN"/>
              </w:rPr>
              <w:t>第三次水洗：再次</w:t>
            </w:r>
            <w:r>
              <w:rPr>
                <w:rFonts w:hint="default" w:ascii="Times New Roman" w:hAnsi="Times New Roman" w:eastAsia="宋体" w:cs="Times New Roman"/>
                <w:bCs/>
                <w:color w:val="auto"/>
                <w:sz w:val="21"/>
                <w:szCs w:val="21"/>
                <w:highlight w:val="none"/>
              </w:rPr>
              <w:t>用自来水喷淋清洗工件上残留的脱脂液。喷淋时间1min，喷淋流量20m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/h，槽液体积5.5m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（长×宽×高=3.06m×1.2m×1.5m），循环使用，定期补充蒸发损耗的水，清洗水一个月排放一次，产生水洗废水W</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w:t>
            </w:r>
          </w:p>
          <w:p w14:paraId="7A5247FE">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⑥</w:t>
            </w:r>
            <w:r>
              <w:rPr>
                <w:rFonts w:hint="default" w:ascii="Times New Roman" w:hAnsi="Times New Roman" w:eastAsia="宋体" w:cs="Times New Roman"/>
                <w:bCs/>
                <w:color w:val="auto"/>
                <w:sz w:val="21"/>
                <w:szCs w:val="21"/>
                <w:highlight w:val="none"/>
                <w:lang w:val="en-US" w:eastAsia="zh-CN"/>
              </w:rPr>
              <w:t>无磷转化：</w:t>
            </w:r>
            <w:r>
              <w:rPr>
                <w:rFonts w:hint="default" w:ascii="Times New Roman" w:hAnsi="Times New Roman" w:eastAsia="宋体" w:cs="Times New Roman"/>
                <w:bCs/>
                <w:color w:val="auto"/>
                <w:sz w:val="21"/>
                <w:szCs w:val="21"/>
                <w:highlight w:val="none"/>
              </w:rPr>
              <w:t>用</w:t>
            </w:r>
            <w:r>
              <w:rPr>
                <w:rFonts w:hint="default" w:ascii="Times New Roman" w:hAnsi="Times New Roman" w:eastAsia="宋体" w:cs="Times New Roman"/>
                <w:bCs/>
                <w:color w:val="auto"/>
                <w:sz w:val="21"/>
                <w:szCs w:val="21"/>
                <w:highlight w:val="none"/>
                <w:lang w:val="en-US" w:eastAsia="zh-CN"/>
              </w:rPr>
              <w:t>浓度为</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8%~10%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无磷转化液，</w:t>
            </w:r>
            <w:r>
              <w:rPr>
                <w:rFonts w:hint="default" w:ascii="Times New Roman" w:hAnsi="Times New Roman" w:eastAsia="宋体" w:cs="Times New Roman"/>
                <w:bCs/>
                <w:color w:val="auto"/>
                <w:sz w:val="21"/>
                <w:szCs w:val="21"/>
                <w:highlight w:val="none"/>
              </w:rPr>
              <w:t>浸泡工件，时间</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min，</w:t>
            </w:r>
            <w:r>
              <w:rPr>
                <w:rFonts w:hint="default" w:ascii="Times New Roman" w:hAnsi="Times New Roman" w:eastAsia="宋体" w:cs="Times New Roman"/>
                <w:bCs/>
                <w:color w:val="auto"/>
                <w:sz w:val="21"/>
                <w:szCs w:val="21"/>
                <w:highlight w:val="none"/>
                <w:lang w:val="en-US" w:eastAsia="zh-CN"/>
              </w:rPr>
              <w:t>无磷转化槽体积20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w:t>
            </w:r>
            <w:r>
              <w:rPr>
                <w:rFonts w:hint="default" w:ascii="Times New Roman" w:hAnsi="Times New Roman" w:eastAsia="宋体"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m×1.25m×1.</w:t>
            </w:r>
            <w:r>
              <w:rPr>
                <w:rFonts w:hint="default"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m），定期补充蒸发损耗的水，定期补充</w:t>
            </w:r>
            <w:r>
              <w:rPr>
                <w:rFonts w:hint="default" w:ascii="Times New Roman" w:hAnsi="Times New Roman" w:eastAsia="宋体" w:cs="Times New Roman"/>
                <w:bCs/>
                <w:color w:val="auto"/>
                <w:sz w:val="21"/>
                <w:szCs w:val="21"/>
                <w:highlight w:val="none"/>
                <w:lang w:val="en-US" w:eastAsia="zh-CN"/>
              </w:rPr>
              <w:t>无磷转化剂，半</w:t>
            </w:r>
            <w:r>
              <w:rPr>
                <w:rFonts w:hint="default" w:ascii="Times New Roman" w:hAnsi="Times New Roman" w:eastAsia="宋体" w:cs="Times New Roman"/>
                <w:bCs/>
                <w:color w:val="auto"/>
                <w:sz w:val="21"/>
                <w:szCs w:val="21"/>
                <w:highlight w:val="none"/>
              </w:rPr>
              <w:t>年清理一次槽渣并不定期排放</w:t>
            </w:r>
            <w:r>
              <w:rPr>
                <w:rFonts w:hint="default" w:ascii="Times New Roman" w:hAnsi="Times New Roman" w:eastAsia="宋体" w:cs="Times New Roman"/>
                <w:bCs/>
                <w:color w:val="auto"/>
                <w:sz w:val="21"/>
                <w:szCs w:val="21"/>
                <w:highlight w:val="none"/>
                <w:lang w:val="en-US" w:eastAsia="zh-CN"/>
              </w:rPr>
              <w:t>无磷转化废水W6进入厂区污水处理站处理</w:t>
            </w:r>
            <w:r>
              <w:rPr>
                <w:rFonts w:hint="default" w:ascii="Times New Roman" w:hAnsi="Times New Roman" w:eastAsia="宋体" w:cs="Times New Roman"/>
                <w:bCs/>
                <w:color w:val="auto"/>
                <w:sz w:val="21"/>
                <w:szCs w:val="21"/>
                <w:highlight w:val="none"/>
              </w:rPr>
              <w:t>，以满足处理要求。</w:t>
            </w:r>
          </w:p>
          <w:p w14:paraId="707B9782">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无磷转化原理：是以锆盐在酸性溶液中，反应生成惰性氧化锆或氢氧化锆，沉积在金属表面，进行缩合反应于金属表面形成晶粒尺寸为1到100纳米的金属氧化物膜层结构。</w:t>
            </w:r>
          </w:p>
          <w:p w14:paraId="7AFB0F96">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⑦第一次水洗：</w:t>
            </w:r>
            <w:r>
              <w:rPr>
                <w:rFonts w:hint="default" w:ascii="Times New Roman" w:hAnsi="Times New Roman" w:eastAsia="宋体" w:cs="Times New Roman"/>
                <w:bCs/>
                <w:color w:val="auto"/>
                <w:sz w:val="21"/>
                <w:szCs w:val="21"/>
                <w:highlight w:val="none"/>
              </w:rPr>
              <w:t>用自来水浸泡清洗工件上残留的</w:t>
            </w:r>
            <w:r>
              <w:rPr>
                <w:rFonts w:hint="default" w:ascii="Times New Roman" w:hAnsi="Times New Roman" w:eastAsia="宋体" w:cs="Times New Roman"/>
                <w:bCs/>
                <w:color w:val="auto"/>
                <w:sz w:val="21"/>
                <w:szCs w:val="21"/>
                <w:highlight w:val="none"/>
                <w:lang w:val="en-US" w:eastAsia="zh-CN"/>
              </w:rPr>
              <w:t>无磷转化液</w:t>
            </w:r>
            <w:r>
              <w:rPr>
                <w:rFonts w:hint="default" w:ascii="Times New Roman" w:hAnsi="Times New Roman" w:eastAsia="宋体" w:cs="Times New Roman"/>
                <w:bCs/>
                <w:color w:val="auto"/>
                <w:sz w:val="21"/>
                <w:szCs w:val="21"/>
                <w:highlight w:val="none"/>
              </w:rPr>
              <w:t>1min，槽液体积1</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w:t>
            </w:r>
            <w:r>
              <w:rPr>
                <w:rFonts w:hint="default"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m×1.2</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m×1.5m），重复使用，定期补充蒸发损耗的水，清洗水</w:t>
            </w:r>
            <w:r>
              <w:rPr>
                <w:rFonts w:hint="default" w:ascii="Times New Roman" w:hAnsi="Times New Roman" w:eastAsia="宋体" w:cs="Times New Roman"/>
                <w:bCs/>
                <w:color w:val="auto"/>
                <w:sz w:val="21"/>
                <w:szCs w:val="21"/>
                <w:highlight w:val="none"/>
                <w:lang w:val="en-US" w:eastAsia="zh-CN"/>
              </w:rPr>
              <w:t>一季度</w:t>
            </w:r>
            <w:r>
              <w:rPr>
                <w:rFonts w:hint="default" w:ascii="Times New Roman" w:hAnsi="Times New Roman" w:eastAsia="宋体" w:cs="Times New Roman"/>
                <w:bCs/>
                <w:color w:val="auto"/>
                <w:sz w:val="21"/>
                <w:szCs w:val="21"/>
                <w:highlight w:val="none"/>
              </w:rPr>
              <w:t>排放一次，产生水洗废水W</w:t>
            </w:r>
            <w:r>
              <w:rPr>
                <w:rFonts w:hint="default" w:ascii="Times New Roman" w:hAnsi="Times New Roman" w:eastAsia="宋体" w:cs="Times New Roman"/>
                <w:bCs/>
                <w:color w:val="auto"/>
                <w:sz w:val="21"/>
                <w:szCs w:val="21"/>
                <w:highlight w:val="none"/>
                <w:lang w:val="en-US" w:eastAsia="zh-CN"/>
              </w:rPr>
              <w:t>7</w:t>
            </w:r>
            <w:r>
              <w:rPr>
                <w:rFonts w:hint="default" w:ascii="Times New Roman" w:hAnsi="Times New Roman" w:eastAsia="宋体" w:cs="Times New Roman"/>
                <w:bCs/>
                <w:color w:val="auto"/>
                <w:sz w:val="21"/>
                <w:szCs w:val="21"/>
                <w:highlight w:val="none"/>
              </w:rPr>
              <w:t>。</w:t>
            </w:r>
          </w:p>
          <w:p w14:paraId="7CA2A857">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⑧第二次水洗：</w:t>
            </w:r>
            <w:r>
              <w:rPr>
                <w:rFonts w:hint="default" w:ascii="Times New Roman" w:hAnsi="Times New Roman" w:eastAsia="宋体" w:cs="Times New Roman"/>
                <w:bCs/>
                <w:color w:val="auto"/>
                <w:sz w:val="21"/>
                <w:szCs w:val="21"/>
                <w:highlight w:val="none"/>
              </w:rPr>
              <w:t>用自来水喷淋清洗工件上残留的</w:t>
            </w:r>
            <w:r>
              <w:rPr>
                <w:rFonts w:hint="default" w:ascii="Times New Roman" w:hAnsi="Times New Roman" w:eastAsia="宋体" w:cs="Times New Roman"/>
                <w:bCs/>
                <w:color w:val="auto"/>
                <w:sz w:val="21"/>
                <w:szCs w:val="21"/>
                <w:highlight w:val="none"/>
                <w:lang w:val="en-US" w:eastAsia="zh-CN"/>
              </w:rPr>
              <w:t>无磷转化液</w:t>
            </w:r>
            <w:r>
              <w:rPr>
                <w:rFonts w:hint="default" w:ascii="Times New Roman" w:hAnsi="Times New Roman" w:eastAsia="宋体" w:cs="Times New Roman"/>
                <w:bCs/>
                <w:color w:val="auto"/>
                <w:sz w:val="21"/>
                <w:szCs w:val="21"/>
                <w:highlight w:val="none"/>
              </w:rPr>
              <w:t>。喷淋时间1min，喷淋流量20m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/h，槽液体积5.5m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（长×宽×高=3.06m×1.2m×1.5m），循环使用，定期补充蒸发损耗的水，清洗水一个月排放一次，产生水洗废水W</w:t>
            </w:r>
            <w:r>
              <w:rPr>
                <w:rFonts w:hint="default"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w:t>
            </w:r>
          </w:p>
          <w:p w14:paraId="319B8A50">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⑨</w:t>
            </w:r>
            <w:r>
              <w:rPr>
                <w:rFonts w:hint="default" w:ascii="Times New Roman" w:hAnsi="Times New Roman" w:eastAsia="宋体" w:cs="Times New Roman"/>
                <w:bCs/>
                <w:color w:val="auto"/>
                <w:sz w:val="21"/>
                <w:szCs w:val="21"/>
                <w:highlight w:val="none"/>
              </w:rPr>
              <w:t>烘干：在燃气水分烘干炉中将工件上的水份烘干，温度为100~120℃，时间25min。</w:t>
            </w:r>
            <w:r>
              <w:rPr>
                <w:rFonts w:hint="default" w:ascii="Times New Roman" w:hAnsi="Times New Roman" w:eastAsia="宋体" w:cs="Times New Roman"/>
                <w:bCs/>
                <w:color w:val="auto"/>
                <w:sz w:val="21"/>
                <w:szCs w:val="21"/>
                <w:highlight w:val="none"/>
                <w:lang w:val="en-US" w:eastAsia="zh-CN"/>
              </w:rPr>
              <w:t>此工序会产生</w:t>
            </w:r>
            <w:r>
              <w:rPr>
                <w:rFonts w:hint="default" w:ascii="Times New Roman" w:hAnsi="Times New Roman" w:eastAsia="宋体" w:cs="Times New Roman"/>
                <w:bCs/>
                <w:color w:val="auto"/>
                <w:sz w:val="21"/>
                <w:szCs w:val="21"/>
                <w:highlight w:val="none"/>
              </w:rPr>
              <w:t>水分烘干炉燃天然气废气G1。</w:t>
            </w:r>
          </w:p>
          <w:p w14:paraId="13C101DF">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⑩</w:t>
            </w:r>
            <w:r>
              <w:rPr>
                <w:rFonts w:hint="default" w:ascii="Times New Roman" w:hAnsi="Times New Roman" w:eastAsia="宋体" w:cs="Times New Roman"/>
                <w:bCs/>
                <w:color w:val="auto"/>
                <w:sz w:val="21"/>
                <w:szCs w:val="21"/>
                <w:highlight w:val="none"/>
              </w:rPr>
              <w:t>静电喷粉：手工将</w:t>
            </w:r>
            <w:r>
              <w:rPr>
                <w:rFonts w:hint="default" w:ascii="Times New Roman" w:hAnsi="Times New Roman" w:eastAsia="宋体" w:cs="Times New Roman"/>
                <w:bCs/>
                <w:color w:val="auto"/>
                <w:sz w:val="21"/>
                <w:szCs w:val="21"/>
                <w:highlight w:val="none"/>
                <w:lang w:val="en-US" w:eastAsia="zh-CN"/>
              </w:rPr>
              <w:t>烤炉冲压件</w:t>
            </w:r>
            <w:r>
              <w:rPr>
                <w:rFonts w:hint="default" w:ascii="Times New Roman" w:hAnsi="Times New Roman" w:eastAsia="宋体" w:cs="Times New Roman"/>
                <w:bCs/>
                <w:color w:val="auto"/>
                <w:sz w:val="21"/>
                <w:szCs w:val="21"/>
                <w:highlight w:val="none"/>
              </w:rPr>
              <w:t>挂上生产线悬挂输送链，在密闭的喷粉间内，环氧聚酯粉末在高压静电作用下，喷射吸附于金属工件表面上，静电喷粉过程会产生粉尘废气G2。</w:t>
            </w:r>
          </w:p>
          <w:p w14:paraId="290BDF58">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⑪</w:t>
            </w:r>
            <w:r>
              <w:rPr>
                <w:rFonts w:hint="default" w:ascii="Times New Roman" w:hAnsi="Times New Roman" w:eastAsia="宋体" w:cs="Times New Roman"/>
                <w:bCs/>
                <w:color w:val="auto"/>
                <w:sz w:val="21"/>
                <w:szCs w:val="21"/>
                <w:highlight w:val="none"/>
              </w:rPr>
              <w:t>粉末固化：在粉末固化炉的固化烘道内，经热风循环加热，于180~200℃下，对喷涂的塑粉进行固化烘烤，时间40min。固化烘道内塑粉固化烘烤产生有机废气VOCsG4。</w:t>
            </w:r>
          </w:p>
          <w:p w14:paraId="709AE7B7">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⑫组装、检验：</w:t>
            </w:r>
            <w:r>
              <w:rPr>
                <w:rFonts w:hint="default" w:ascii="Times New Roman" w:hAnsi="Times New Roman" w:eastAsia="宋体" w:cs="Times New Roman"/>
                <w:bCs/>
                <w:color w:val="auto"/>
                <w:sz w:val="21"/>
                <w:szCs w:val="21"/>
                <w:highlight w:val="none"/>
                <w:lang w:val="en-US" w:eastAsia="zh-CN"/>
              </w:rPr>
              <w:t>将烤炉冲压件按</w:t>
            </w:r>
            <w:r>
              <w:rPr>
                <w:rFonts w:hint="default" w:ascii="Times New Roman" w:hAnsi="Times New Roman" w:eastAsia="宋体" w:cs="Times New Roman"/>
                <w:bCs/>
                <w:color w:val="auto"/>
                <w:sz w:val="21"/>
                <w:szCs w:val="21"/>
                <w:highlight w:val="none"/>
              </w:rPr>
              <w:t>要求进行试组装，并检验是否漏件、涂层是否均匀等，检验过程产生的不合格品返回相应工序重新加工。</w:t>
            </w:r>
          </w:p>
          <w:p w14:paraId="08C15830">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⑬包装入库：产品包装入库、待售。</w:t>
            </w:r>
          </w:p>
          <w:p w14:paraId="7690BB9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3、现有项目主要污染物及防治措施</w:t>
            </w:r>
          </w:p>
          <w:p w14:paraId="1376E241">
            <w:pPr>
              <w:pStyle w:val="29"/>
              <w:spacing w:after="0" w:line="360" w:lineRule="auto"/>
              <w:ind w:left="0" w:left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现有污染物排放及防治措施见下表。</w:t>
            </w:r>
          </w:p>
          <w:p w14:paraId="258C23A0">
            <w:pPr>
              <w:pStyle w:val="29"/>
              <w:keepNext w:val="0"/>
              <w:keepLines w:val="0"/>
              <w:pageBreakBefore w:val="0"/>
              <w:widowControl w:val="0"/>
              <w:kinsoku/>
              <w:wordWrap/>
              <w:overflowPunct/>
              <w:topLinePunct w:val="0"/>
              <w:autoSpaceDE/>
              <w:autoSpaceDN/>
              <w:bidi w:val="0"/>
              <w:adjustRightInd/>
              <w:snapToGrid/>
              <w:spacing w:before="157" w:beforeLines="50" w:after="0" w:line="240" w:lineRule="auto"/>
              <w:ind w:left="0" w:leftChars="0" w:firstLine="422"/>
              <w:jc w:val="center"/>
              <w:textAlignment w:val="auto"/>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表2-</w:t>
            </w:r>
            <w:r>
              <w:rPr>
                <w:rFonts w:hint="eastAsia" w:cs="Times New Roman"/>
                <w:b/>
                <w:bCs/>
                <w:color w:val="auto"/>
                <w:szCs w:val="21"/>
                <w:highlight w:val="none"/>
                <w:lang w:val="en-US" w:eastAsia="zh-CN"/>
              </w:rPr>
              <w:t xml:space="preserve">11 </w:t>
            </w:r>
            <w:r>
              <w:rPr>
                <w:rFonts w:hint="default" w:ascii="Times New Roman" w:hAnsi="Times New Roman" w:cs="Times New Roman"/>
                <w:b/>
                <w:bCs/>
                <w:color w:val="auto"/>
                <w:szCs w:val="21"/>
                <w:highlight w:val="none"/>
                <w:lang w:val="en-US" w:eastAsia="zh-CN"/>
              </w:rPr>
              <w:t>现有项目</w:t>
            </w:r>
            <w:r>
              <w:rPr>
                <w:rFonts w:hint="eastAsia" w:cs="Times New Roman"/>
                <w:b/>
                <w:bCs/>
                <w:color w:val="auto"/>
                <w:szCs w:val="21"/>
                <w:highlight w:val="none"/>
                <w:lang w:val="en-US" w:eastAsia="zh-CN"/>
              </w:rPr>
              <w:t>“</w:t>
            </w:r>
            <w:r>
              <w:rPr>
                <w:rFonts w:hint="default" w:ascii="Times New Roman" w:hAnsi="Times New Roman" w:cs="Times New Roman"/>
                <w:b/>
                <w:bCs/>
                <w:color w:val="auto"/>
                <w:szCs w:val="21"/>
                <w:highlight w:val="none"/>
                <w:lang w:val="en-US" w:eastAsia="zh-CN"/>
              </w:rPr>
              <w:t>三废</w:t>
            </w:r>
            <w:r>
              <w:rPr>
                <w:rFonts w:hint="eastAsia" w:cs="Times New Roman"/>
                <w:b/>
                <w:bCs/>
                <w:color w:val="auto"/>
                <w:szCs w:val="21"/>
                <w:highlight w:val="none"/>
                <w:lang w:val="en-US" w:eastAsia="zh-CN"/>
              </w:rPr>
              <w:t>”</w:t>
            </w:r>
            <w:r>
              <w:rPr>
                <w:rFonts w:hint="default" w:ascii="Times New Roman" w:hAnsi="Times New Roman" w:cs="Times New Roman"/>
                <w:b/>
                <w:bCs/>
                <w:color w:val="auto"/>
                <w:szCs w:val="21"/>
                <w:highlight w:val="none"/>
                <w:lang w:val="en-US" w:eastAsia="zh-CN"/>
              </w:rPr>
              <w:t>排放总量及污控措施一览表</w:t>
            </w:r>
          </w:p>
          <w:tbl>
            <w:tblPr>
              <w:tblStyle w:val="30"/>
              <w:tblW w:w="7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7"/>
              <w:gridCol w:w="498"/>
              <w:gridCol w:w="858"/>
              <w:gridCol w:w="792"/>
              <w:gridCol w:w="767"/>
              <w:gridCol w:w="3632"/>
              <w:gridCol w:w="804"/>
            </w:tblGrid>
            <w:tr w14:paraId="0EAD0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1923" w:type="dxa"/>
                  <w:gridSpan w:val="3"/>
                  <w:noWrap w:val="0"/>
                  <w:vAlign w:val="center"/>
                </w:tcPr>
                <w:p w14:paraId="593C10CF">
                  <w:pPr>
                    <w:pStyle w:val="29"/>
                    <w:spacing w:after="0"/>
                    <w:ind w:left="0" w:leftChars="0" w:firstLine="0" w:firstLineChars="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污染物名称</w:t>
                  </w:r>
                </w:p>
              </w:tc>
              <w:tc>
                <w:tcPr>
                  <w:tcW w:w="792" w:type="dxa"/>
                  <w:noWrap w:val="0"/>
                  <w:vAlign w:val="center"/>
                </w:tcPr>
                <w:p w14:paraId="3FE540A2">
                  <w:pPr>
                    <w:pStyle w:val="29"/>
                    <w:spacing w:after="0"/>
                    <w:ind w:left="0" w:leftChars="0" w:firstLine="0" w:firstLineChars="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环评批复</w:t>
                  </w:r>
                  <w:r>
                    <w:rPr>
                      <w:rFonts w:hint="eastAsia" w:cs="Times New Roman"/>
                      <w:b/>
                      <w:bCs/>
                      <w:color w:val="auto"/>
                      <w:szCs w:val="21"/>
                      <w:highlight w:val="none"/>
                      <w:lang w:val="en-US" w:eastAsia="zh-CN"/>
                    </w:rPr>
                    <w:t>总</w:t>
                  </w:r>
                  <w:r>
                    <w:rPr>
                      <w:rFonts w:hint="default" w:ascii="Times New Roman" w:hAnsi="Times New Roman" w:cs="Times New Roman"/>
                      <w:b/>
                      <w:bCs/>
                      <w:color w:val="auto"/>
                      <w:szCs w:val="21"/>
                      <w:highlight w:val="none"/>
                      <w:lang w:val="en-US" w:eastAsia="zh-CN"/>
                    </w:rPr>
                    <w:t>量t/a</w:t>
                  </w:r>
                </w:p>
              </w:tc>
              <w:tc>
                <w:tcPr>
                  <w:tcW w:w="767" w:type="dxa"/>
                  <w:noWrap w:val="0"/>
                  <w:vAlign w:val="center"/>
                </w:tcPr>
                <w:p w14:paraId="6231E109">
                  <w:pPr>
                    <w:pStyle w:val="29"/>
                    <w:spacing w:after="0"/>
                    <w:ind w:left="0" w:leftChars="0" w:firstLine="0" w:firstLineChars="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实际排放量t/a</w:t>
                  </w:r>
                  <w:r>
                    <w:rPr>
                      <w:rFonts w:hint="eastAsia" w:cs="Times New Roman"/>
                      <w:color w:val="auto"/>
                      <w:szCs w:val="21"/>
                      <w:highlight w:val="none"/>
                      <w:lang w:val="en-US" w:eastAsia="zh-CN"/>
                    </w:rPr>
                    <w:t>*</w:t>
                  </w:r>
                </w:p>
              </w:tc>
              <w:tc>
                <w:tcPr>
                  <w:tcW w:w="3632" w:type="dxa"/>
                  <w:noWrap w:val="0"/>
                  <w:vAlign w:val="center"/>
                </w:tcPr>
                <w:p w14:paraId="1C72D9CF">
                  <w:pPr>
                    <w:pStyle w:val="29"/>
                    <w:spacing w:after="0"/>
                    <w:ind w:left="0" w:leftChars="0" w:firstLine="0" w:firstLineChars="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现有污染防治措施</w:t>
                  </w:r>
                </w:p>
              </w:tc>
              <w:tc>
                <w:tcPr>
                  <w:tcW w:w="804" w:type="dxa"/>
                  <w:noWrap w:val="0"/>
                  <w:vAlign w:val="center"/>
                </w:tcPr>
                <w:p w14:paraId="30B6E6E8">
                  <w:pPr>
                    <w:pStyle w:val="29"/>
                    <w:spacing w:after="0"/>
                    <w:ind w:left="0" w:leftChars="0" w:firstLine="0" w:firstLineChars="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治理效果</w:t>
                  </w:r>
                </w:p>
              </w:tc>
            </w:tr>
            <w:tr w14:paraId="5F36E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restart"/>
                  <w:noWrap w:val="0"/>
                  <w:vAlign w:val="center"/>
                </w:tcPr>
                <w:p w14:paraId="06F84C88">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废气污染物</w:t>
                  </w:r>
                </w:p>
              </w:tc>
              <w:tc>
                <w:tcPr>
                  <w:tcW w:w="1356" w:type="dxa"/>
                  <w:gridSpan w:val="2"/>
                  <w:noWrap w:val="0"/>
                  <w:vAlign w:val="center"/>
                </w:tcPr>
                <w:p w14:paraId="5C11E5F7">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颗粒物</w:t>
                  </w:r>
                </w:p>
              </w:tc>
              <w:tc>
                <w:tcPr>
                  <w:tcW w:w="792" w:type="dxa"/>
                  <w:noWrap w:val="0"/>
                  <w:vAlign w:val="center"/>
                </w:tcPr>
                <w:p w14:paraId="1D919EC2">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1.0761</w:t>
                  </w:r>
                </w:p>
              </w:tc>
              <w:tc>
                <w:tcPr>
                  <w:tcW w:w="767" w:type="dxa"/>
                  <w:noWrap w:val="0"/>
                  <w:vAlign w:val="center"/>
                </w:tcPr>
                <w:p w14:paraId="30DCD728">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0.1128</w:t>
                  </w:r>
                </w:p>
              </w:tc>
              <w:tc>
                <w:tcPr>
                  <w:tcW w:w="3632" w:type="dxa"/>
                  <w:vMerge w:val="restart"/>
                  <w:noWrap w:val="0"/>
                  <w:vAlign w:val="center"/>
                </w:tcPr>
                <w:p w14:paraId="13FCCA32">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焊接烟尘通过布袋除尘器处理后经1根（</w:t>
                  </w:r>
                  <w:r>
                    <w:rPr>
                      <w:rFonts w:hint="eastAsia"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lang w:val="en-US" w:eastAsia="zh-CN"/>
                    </w:rPr>
                    <w:t>）15米高排气筒高空排放；</w:t>
                  </w:r>
                  <w:r>
                    <w:rPr>
                      <w:rFonts w:hint="default" w:ascii="Times New Roman" w:hAnsi="Times New Roman" w:eastAsia="宋体" w:cs="Times New Roman"/>
                      <w:color w:val="auto"/>
                      <w:sz w:val="21"/>
                      <w:szCs w:val="21"/>
                      <w:highlight w:val="none"/>
                    </w:rPr>
                    <w:t>酸洗区HCl废气分别经酸洗槽两端设置的2台酸雾塔（内设碱液喷淋装置）处理后分别经</w:t>
                  </w:r>
                  <w:r>
                    <w:rPr>
                      <w:rFonts w:hint="default" w:ascii="Times New Roman" w:hAnsi="Times New Roman" w:eastAsia="宋体" w:cs="Times New Roman"/>
                      <w:color w:val="auto"/>
                      <w:sz w:val="21"/>
                      <w:szCs w:val="21"/>
                      <w:highlight w:val="none"/>
                      <w:lang w:val="en-US" w:eastAsia="zh-CN"/>
                    </w:rPr>
                    <w:t>2根</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DA004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15</w:t>
                  </w:r>
                  <w:r>
                    <w:rPr>
                      <w:rFonts w:hint="default" w:ascii="Times New Roman" w:hAnsi="Times New Roman" w:eastAsia="宋体" w:cs="Times New Roman"/>
                      <w:color w:val="auto"/>
                      <w:sz w:val="21"/>
                      <w:szCs w:val="21"/>
                      <w:highlight w:val="none"/>
                      <w:lang w:val="en-US" w:eastAsia="zh-CN"/>
                    </w:rPr>
                    <w:t>米</w:t>
                  </w:r>
                  <w:r>
                    <w:rPr>
                      <w:rFonts w:hint="default" w:ascii="Times New Roman" w:hAnsi="Times New Roman" w:eastAsia="宋体" w:cs="Times New Roman"/>
                      <w:color w:val="auto"/>
                      <w:sz w:val="21"/>
                      <w:szCs w:val="21"/>
                      <w:highlight w:val="none"/>
                    </w:rPr>
                    <w:t>高排气筒排出；</w:t>
                  </w:r>
                  <w:r>
                    <w:rPr>
                      <w:rFonts w:hint="default" w:ascii="Times New Roman" w:hAnsi="Times New Roman" w:eastAsia="宋体" w:cs="Times New Roman"/>
                      <w:color w:val="auto"/>
                      <w:sz w:val="21"/>
                      <w:szCs w:val="21"/>
                      <w:highlight w:val="none"/>
                      <w:lang w:val="en-US" w:eastAsia="zh-CN"/>
                    </w:rPr>
                    <w:t>喷塑粉尘</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塑粉回收装置</w:t>
                  </w:r>
                  <w:r>
                    <w:rPr>
                      <w:rFonts w:hint="eastAsia" w:ascii="Times New Roman" w:hAnsi="Times New Roman" w:eastAsia="宋体" w:cs="Times New Roman"/>
                      <w:color w:val="auto"/>
                      <w:sz w:val="21"/>
                      <w:szCs w:val="21"/>
                      <w:highlight w:val="none"/>
                      <w:lang w:val="en-US" w:eastAsia="zh-CN"/>
                    </w:rPr>
                    <w:t>（旋风+布袋）</w:t>
                  </w:r>
                  <w:r>
                    <w:rPr>
                      <w:rFonts w:hint="default" w:ascii="Times New Roman" w:hAnsi="Times New Roman" w:eastAsia="宋体" w:cs="Times New Roman"/>
                      <w:color w:val="auto"/>
                      <w:sz w:val="21"/>
                      <w:szCs w:val="21"/>
                      <w:highlight w:val="none"/>
                      <w:lang w:val="en-US" w:eastAsia="zh-CN"/>
                    </w:rPr>
                    <w:t>收集</w:t>
                  </w:r>
                  <w:r>
                    <w:rPr>
                      <w:rFonts w:hint="eastAsia"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lang w:val="en-US" w:eastAsia="zh-CN"/>
                    </w:rPr>
                    <w:t>后</w:t>
                  </w:r>
                  <w:r>
                    <w:rPr>
                      <w:rFonts w:hint="eastAsia" w:cs="Times New Roman"/>
                      <w:color w:val="auto"/>
                      <w:sz w:val="21"/>
                      <w:szCs w:val="21"/>
                      <w:highlight w:val="none"/>
                      <w:lang w:val="en-US" w:eastAsia="zh-CN"/>
                    </w:rPr>
                    <w:t>与经</w:t>
                  </w:r>
                  <w:r>
                    <w:rPr>
                      <w:rFonts w:hint="default" w:ascii="Times New Roman" w:hAnsi="Times New Roman" w:eastAsia="宋体" w:cs="Times New Roman"/>
                      <w:color w:val="auto"/>
                      <w:sz w:val="21"/>
                      <w:szCs w:val="21"/>
                      <w:highlight w:val="none"/>
                      <w:lang w:val="en-US" w:eastAsia="zh-CN"/>
                    </w:rPr>
                    <w:t>UV光催化氧化</w:t>
                  </w:r>
                  <w:r>
                    <w:rPr>
                      <w:rFonts w:hint="eastAsia" w:ascii="Times New Roman" w:hAnsi="Times New Roman" w:eastAsia="宋体" w:cs="Times New Roman"/>
                      <w:color w:val="auto"/>
                      <w:sz w:val="21"/>
                      <w:szCs w:val="21"/>
                      <w:highlight w:val="none"/>
                      <w:lang w:val="en-US" w:eastAsia="zh-CN"/>
                    </w:rPr>
                    <w:t>+二级活性炭吸附</w:t>
                  </w:r>
                  <w:r>
                    <w:rPr>
                      <w:rFonts w:hint="default" w:ascii="Times New Roman" w:hAnsi="Times New Roman" w:eastAsia="宋体" w:cs="Times New Roman"/>
                      <w:color w:val="auto"/>
                      <w:sz w:val="21"/>
                      <w:szCs w:val="21"/>
                      <w:highlight w:val="none"/>
                      <w:lang w:val="en-US" w:eastAsia="zh-CN"/>
                    </w:rPr>
                    <w:t>装置处理后粉末固化废气</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水分烘干炉、粉末固化炉天然气</w:t>
                  </w:r>
                  <w:r>
                    <w:rPr>
                      <w:rFonts w:hint="default" w:ascii="Times New Roman" w:hAnsi="Times New Roman" w:eastAsia="宋体" w:cs="Times New Roman"/>
                      <w:color w:val="auto"/>
                      <w:sz w:val="21"/>
                      <w:szCs w:val="21"/>
                      <w:highlight w:val="none"/>
                      <w:lang w:val="en-US" w:eastAsia="zh-CN"/>
                    </w:rPr>
                    <w:t>燃烧废气</w:t>
                  </w:r>
                  <w:r>
                    <w:rPr>
                      <w:rFonts w:hint="eastAsia" w:ascii="Times New Roman" w:hAnsi="Times New Roman" w:cs="Times New Roman"/>
                      <w:color w:val="auto"/>
                      <w:sz w:val="21"/>
                      <w:szCs w:val="21"/>
                      <w:highlight w:val="none"/>
                      <w:lang w:val="en-US" w:eastAsia="zh-CN"/>
                    </w:rPr>
                    <w:t>一起</w:t>
                  </w:r>
                  <w:r>
                    <w:rPr>
                      <w:rFonts w:hint="default" w:ascii="Times New Roman" w:hAnsi="Times New Roman" w:eastAsia="宋体" w:cs="Times New Roman"/>
                      <w:color w:val="auto"/>
                      <w:sz w:val="21"/>
                      <w:szCs w:val="21"/>
                      <w:highlight w:val="none"/>
                      <w:lang w:val="en-US" w:eastAsia="zh-CN"/>
                    </w:rPr>
                    <w:t>通过1根（</w:t>
                  </w:r>
                  <w:r>
                    <w:rPr>
                      <w:rFonts w:hint="eastAsia"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val="en-US" w:eastAsia="zh-CN"/>
                    </w:rPr>
                    <w:t>）15米高排气筒</w:t>
                  </w:r>
                  <w:r>
                    <w:rPr>
                      <w:rFonts w:hint="eastAsia" w:ascii="Times New Roman" w:hAnsi="Times New Roman" w:eastAsia="宋体" w:cs="Times New Roman"/>
                      <w:color w:val="auto"/>
                      <w:sz w:val="21"/>
                      <w:szCs w:val="21"/>
                      <w:highlight w:val="none"/>
                      <w:lang w:val="en-US" w:eastAsia="zh-CN"/>
                    </w:rPr>
                    <w:t>高空排放</w:t>
                  </w:r>
                  <w:r>
                    <w:rPr>
                      <w:rFonts w:hint="eastAsia" w:cs="Times New Roman"/>
                      <w:color w:val="auto"/>
                      <w:sz w:val="21"/>
                      <w:szCs w:val="21"/>
                      <w:highlight w:val="none"/>
                      <w:lang w:val="en-US" w:eastAsia="zh-CN"/>
                    </w:rPr>
                    <w:t>，锅炉燃烧废气经15m高（DA005）排气筒排放</w:t>
                  </w:r>
                  <w:r>
                    <w:rPr>
                      <w:rFonts w:hint="default" w:ascii="Times New Roman" w:hAnsi="Times New Roman" w:eastAsia="宋体" w:cs="Times New Roman"/>
                      <w:color w:val="auto"/>
                      <w:sz w:val="21"/>
                      <w:szCs w:val="21"/>
                      <w:highlight w:val="none"/>
                      <w:lang w:val="en-US" w:eastAsia="zh-CN"/>
                    </w:rPr>
                    <w:t>。</w:t>
                  </w:r>
                </w:p>
              </w:tc>
              <w:tc>
                <w:tcPr>
                  <w:tcW w:w="804" w:type="dxa"/>
                  <w:vMerge w:val="restart"/>
                  <w:noWrap w:val="0"/>
                  <w:vAlign w:val="center"/>
                </w:tcPr>
                <w:p w14:paraId="17A7F121">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达标排放</w:t>
                  </w:r>
                </w:p>
              </w:tc>
            </w:tr>
            <w:tr w14:paraId="563B9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381E89F0">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79DA3C81">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792" w:type="dxa"/>
                  <w:noWrap w:val="0"/>
                  <w:vAlign w:val="center"/>
                </w:tcPr>
                <w:p w14:paraId="504903C7">
                  <w:pPr>
                    <w:pStyle w:val="29"/>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0.216</w:t>
                  </w:r>
                </w:p>
              </w:tc>
              <w:tc>
                <w:tcPr>
                  <w:tcW w:w="767" w:type="dxa"/>
                  <w:noWrap w:val="0"/>
                  <w:vAlign w:val="center"/>
                </w:tcPr>
                <w:p w14:paraId="36DF4AF6">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0.036</w:t>
                  </w:r>
                </w:p>
              </w:tc>
              <w:tc>
                <w:tcPr>
                  <w:tcW w:w="3632" w:type="dxa"/>
                  <w:vMerge w:val="continue"/>
                  <w:noWrap w:val="0"/>
                  <w:vAlign w:val="center"/>
                </w:tcPr>
                <w:p w14:paraId="4D6C29A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47F6281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20B67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533BA110">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231959EB">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792" w:type="dxa"/>
                  <w:noWrap w:val="0"/>
                  <w:vAlign w:val="center"/>
                </w:tcPr>
                <w:p w14:paraId="1429BA42">
                  <w:pPr>
                    <w:pStyle w:val="29"/>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0.6577</w:t>
                  </w:r>
                </w:p>
              </w:tc>
              <w:tc>
                <w:tcPr>
                  <w:tcW w:w="767" w:type="dxa"/>
                  <w:noWrap w:val="0"/>
                  <w:vAlign w:val="center"/>
                </w:tcPr>
                <w:p w14:paraId="68C3390C">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0.0754</w:t>
                  </w:r>
                </w:p>
              </w:tc>
              <w:tc>
                <w:tcPr>
                  <w:tcW w:w="3632" w:type="dxa"/>
                  <w:vMerge w:val="continue"/>
                  <w:noWrap w:val="0"/>
                  <w:vAlign w:val="center"/>
                </w:tcPr>
                <w:p w14:paraId="032DA7FE">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4C02CB6A">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54D44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5A8272D7">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68C12A08">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Style w:val="129"/>
                      <w:color w:val="auto"/>
                      <w:highlight w:val="none"/>
                      <w:lang w:val="en-US" w:eastAsia="zh-CN" w:bidi="ar"/>
                    </w:rPr>
                    <w:t>氯化氢</w:t>
                  </w:r>
                </w:p>
              </w:tc>
              <w:tc>
                <w:tcPr>
                  <w:tcW w:w="792" w:type="dxa"/>
                  <w:noWrap w:val="0"/>
                  <w:vAlign w:val="center"/>
                </w:tcPr>
                <w:p w14:paraId="630BD79E">
                  <w:pPr>
                    <w:pStyle w:val="29"/>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0.53</w:t>
                  </w:r>
                </w:p>
              </w:tc>
              <w:tc>
                <w:tcPr>
                  <w:tcW w:w="767" w:type="dxa"/>
                  <w:noWrap w:val="0"/>
                  <w:vAlign w:val="center"/>
                </w:tcPr>
                <w:p w14:paraId="674D3226">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0.0562</w:t>
                  </w:r>
                </w:p>
              </w:tc>
              <w:tc>
                <w:tcPr>
                  <w:tcW w:w="3632" w:type="dxa"/>
                  <w:vMerge w:val="continue"/>
                  <w:noWrap w:val="0"/>
                  <w:vAlign w:val="center"/>
                </w:tcPr>
                <w:p w14:paraId="4C49D08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19AA3CB4">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7555B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3CE1FEAB">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0DC4F14C">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VOCs</w:t>
                  </w:r>
                </w:p>
              </w:tc>
              <w:tc>
                <w:tcPr>
                  <w:tcW w:w="792" w:type="dxa"/>
                  <w:noWrap w:val="0"/>
                  <w:vAlign w:val="center"/>
                </w:tcPr>
                <w:p w14:paraId="6E92CC98">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0.04018</w:t>
                  </w:r>
                </w:p>
              </w:tc>
              <w:tc>
                <w:tcPr>
                  <w:tcW w:w="767" w:type="dxa"/>
                  <w:noWrap w:val="0"/>
                  <w:vAlign w:val="center"/>
                </w:tcPr>
                <w:p w14:paraId="114E32D8">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0.0223</w:t>
                  </w:r>
                </w:p>
              </w:tc>
              <w:tc>
                <w:tcPr>
                  <w:tcW w:w="3632" w:type="dxa"/>
                  <w:vMerge w:val="continue"/>
                  <w:noWrap w:val="0"/>
                  <w:vAlign w:val="center"/>
                </w:tcPr>
                <w:p w14:paraId="2508784F">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0FD831F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50C06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restart"/>
                  <w:noWrap w:val="0"/>
                  <w:vAlign w:val="center"/>
                </w:tcPr>
                <w:p w14:paraId="1E5CCFF0">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水污染物</w:t>
                  </w:r>
                </w:p>
              </w:tc>
              <w:tc>
                <w:tcPr>
                  <w:tcW w:w="1356" w:type="dxa"/>
                  <w:gridSpan w:val="2"/>
                  <w:noWrap w:val="0"/>
                  <w:vAlign w:val="center"/>
                </w:tcPr>
                <w:p w14:paraId="0B48FF1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废水量m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/a</w:t>
                  </w:r>
                </w:p>
              </w:tc>
              <w:tc>
                <w:tcPr>
                  <w:tcW w:w="792" w:type="dxa"/>
                  <w:noWrap w:val="0"/>
                  <w:vAlign w:val="center"/>
                </w:tcPr>
                <w:p w14:paraId="5BB135F1">
                  <w:pPr>
                    <w:pStyle w:val="63"/>
                    <w:widowControl/>
                    <w:jc w:val="center"/>
                    <w:rPr>
                      <w:rFonts w:hint="default" w:ascii="Times New Roman" w:hAnsi="Times New Roman" w:eastAsia="宋体" w:cs="Times New Roman"/>
                      <w:color w:val="auto"/>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7266</w:t>
                  </w:r>
                </w:p>
              </w:tc>
              <w:tc>
                <w:tcPr>
                  <w:tcW w:w="767" w:type="dxa"/>
                  <w:noWrap w:val="0"/>
                  <w:vAlign w:val="center"/>
                </w:tcPr>
                <w:p w14:paraId="51CFF0EC">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7266</w:t>
                  </w:r>
                </w:p>
              </w:tc>
              <w:tc>
                <w:tcPr>
                  <w:tcW w:w="3632" w:type="dxa"/>
                  <w:vMerge w:val="restart"/>
                  <w:noWrap w:val="0"/>
                  <w:vAlign w:val="center"/>
                </w:tcPr>
                <w:p w14:paraId="509D1485">
                  <w:pPr>
                    <w:pStyle w:val="63"/>
                    <w:widowControl/>
                    <w:tabs>
                      <w:tab w:val="left" w:pos="785"/>
                    </w:tabs>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项目生活废水经化粪池处理后</w:t>
                  </w:r>
                  <w:r>
                    <w:rPr>
                      <w:rFonts w:hint="eastAsia" w:ascii="Times New Roman" w:hAnsi="Times New Roman" w:eastAsia="宋体" w:cs="Times New Roman"/>
                      <w:color w:val="auto"/>
                      <w:szCs w:val="21"/>
                      <w:highlight w:val="none"/>
                      <w:lang w:val="en-US" w:eastAsia="zh-CN"/>
                    </w:rPr>
                    <w:t>与预处理工业废水一起</w:t>
                  </w:r>
                  <w:r>
                    <w:rPr>
                      <w:rFonts w:hint="default" w:ascii="Times New Roman" w:hAnsi="Times New Roman" w:eastAsia="宋体" w:cs="Times New Roman"/>
                      <w:color w:val="auto"/>
                      <w:szCs w:val="21"/>
                      <w:highlight w:val="none"/>
                      <w:lang w:val="en-US" w:eastAsia="zh-CN"/>
                    </w:rPr>
                    <w:t>接管到</w:t>
                  </w:r>
                  <w:r>
                    <w:rPr>
                      <w:rFonts w:hint="default" w:ascii="Times New Roman" w:hAnsi="Times New Roman" w:eastAsia="宋体" w:cs="Times New Roman"/>
                      <w:color w:val="auto"/>
                      <w:sz w:val="21"/>
                      <w:szCs w:val="21"/>
                      <w:highlight w:val="none"/>
                    </w:rPr>
                    <w:t>李口镇污水处理厂</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工业废水分为酸洗废水和喷塑前处理废水，酸洗废水经污水处理站TW001（</w:t>
                  </w:r>
                  <w:r>
                    <w:rPr>
                      <w:rFonts w:hint="default" w:ascii="Times New Roman" w:hAnsi="Times New Roman" w:eastAsia="宋体" w:cs="Times New Roman"/>
                      <w:color w:val="auto"/>
                      <w:sz w:val="21"/>
                      <w:szCs w:val="21"/>
                      <w:highlight w:val="none"/>
                    </w:rPr>
                    <w:t>隔油+中和+絮凝+斜管沉淀+</w:t>
                  </w:r>
                  <w:r>
                    <w:rPr>
                      <w:rFonts w:hint="eastAsia" w:ascii="Times New Roman" w:hAnsi="Times New Roman" w:eastAsia="宋体" w:cs="Times New Roman"/>
                      <w:color w:val="auto"/>
                      <w:sz w:val="21"/>
                      <w:szCs w:val="21"/>
                      <w:highlight w:val="none"/>
                      <w:lang w:eastAsia="zh-CN"/>
                    </w:rPr>
                    <w:t>过滤器</w:t>
                  </w:r>
                  <w:r>
                    <w:rPr>
                      <w:rFonts w:hint="eastAsia" w:ascii="Times New Roman" w:hAnsi="Times New Roman" w:eastAsia="宋体" w:cs="Times New Roman"/>
                      <w:color w:val="auto"/>
                      <w:sz w:val="21"/>
                      <w:szCs w:val="21"/>
                      <w:highlight w:val="none"/>
                      <w:lang w:val="en-US" w:eastAsia="zh-CN"/>
                    </w:rPr>
                    <w:t>处理工艺）处理；喷塑前处理废水经污水处理站TW002（</w:t>
                  </w:r>
                  <w:r>
                    <w:rPr>
                      <w:rFonts w:hint="default" w:ascii="Times New Roman" w:hAnsi="Times New Roman" w:eastAsia="宋体" w:cs="Times New Roman"/>
                      <w:color w:val="auto"/>
                      <w:sz w:val="21"/>
                      <w:szCs w:val="21"/>
                      <w:highlight w:val="none"/>
                    </w:rPr>
                    <w:t>隔油+中和+絮凝+斜管沉淀+</w:t>
                  </w:r>
                  <w:r>
                    <w:rPr>
                      <w:rFonts w:hint="eastAsia" w:ascii="Times New Roman" w:hAnsi="Times New Roman" w:eastAsia="宋体" w:cs="Times New Roman"/>
                      <w:color w:val="auto"/>
                      <w:sz w:val="21"/>
                      <w:szCs w:val="21"/>
                      <w:highlight w:val="none"/>
                      <w:lang w:eastAsia="zh-CN"/>
                    </w:rPr>
                    <w:t>过滤器</w:t>
                  </w:r>
                  <w:r>
                    <w:rPr>
                      <w:rFonts w:hint="eastAsia" w:ascii="Times New Roman" w:hAnsi="Times New Roman" w:eastAsia="宋体" w:cs="Times New Roman"/>
                      <w:color w:val="auto"/>
                      <w:sz w:val="21"/>
                      <w:szCs w:val="21"/>
                      <w:highlight w:val="none"/>
                      <w:lang w:val="en-US" w:eastAsia="zh-CN"/>
                    </w:rPr>
                    <w:t>处理工艺）处理</w:t>
                  </w:r>
                  <w:r>
                    <w:rPr>
                      <w:rFonts w:hint="default" w:ascii="Times New Roman" w:hAnsi="Times New Roman" w:eastAsia="宋体" w:cs="Times New Roman"/>
                      <w:color w:val="auto"/>
                      <w:szCs w:val="21"/>
                      <w:highlight w:val="none"/>
                      <w:lang w:val="en-US" w:eastAsia="zh-CN"/>
                    </w:rPr>
                    <w:t>。生产废水</w:t>
                  </w:r>
                  <w:r>
                    <w:rPr>
                      <w:rFonts w:hint="eastAsia" w:ascii="Times New Roman" w:hAnsi="Times New Roman" w:eastAsia="宋体" w:cs="Times New Roman"/>
                      <w:color w:val="auto"/>
                      <w:szCs w:val="21"/>
                      <w:highlight w:val="none"/>
                      <w:lang w:val="en-US" w:eastAsia="zh-CN"/>
                    </w:rPr>
                    <w:t>预处理后达</w:t>
                  </w:r>
                  <w:r>
                    <w:rPr>
                      <w:rFonts w:hint="default" w:ascii="Times New Roman" w:hAnsi="Times New Roman" w:eastAsia="宋体" w:cs="Times New Roman"/>
                      <w:color w:val="auto"/>
                      <w:sz w:val="21"/>
                      <w:szCs w:val="21"/>
                      <w:highlight w:val="none"/>
                    </w:rPr>
                    <w:t>李口镇污水处理厂</w:t>
                  </w:r>
                  <w:r>
                    <w:rPr>
                      <w:rFonts w:hint="eastAsia" w:ascii="Times New Roman" w:hAnsi="Times New Roman" w:eastAsia="宋体" w:cs="Times New Roman"/>
                      <w:color w:val="auto"/>
                      <w:sz w:val="21"/>
                      <w:szCs w:val="21"/>
                      <w:highlight w:val="none"/>
                      <w:lang w:val="en-US" w:eastAsia="zh-CN"/>
                    </w:rPr>
                    <w:t>接管标准与经化粪池处理后的生活污水一起接管</w:t>
                  </w:r>
                  <w:r>
                    <w:rPr>
                      <w:rFonts w:hint="default" w:ascii="Times New Roman" w:hAnsi="Times New Roman" w:eastAsia="宋体" w:cs="Times New Roman"/>
                      <w:color w:val="auto"/>
                      <w:sz w:val="21"/>
                      <w:szCs w:val="21"/>
                      <w:highlight w:val="none"/>
                    </w:rPr>
                    <w:t>李口镇污水处理厂</w:t>
                  </w:r>
                  <w:r>
                    <w:rPr>
                      <w:rFonts w:hint="eastAsia" w:ascii="Times New Roman" w:hAnsi="Times New Roman" w:eastAsia="宋体" w:cs="Times New Roman"/>
                      <w:color w:val="auto"/>
                      <w:szCs w:val="21"/>
                      <w:highlight w:val="none"/>
                      <w:lang w:val="en-US" w:eastAsia="zh-CN"/>
                    </w:rPr>
                    <w:t>。</w:t>
                  </w:r>
                </w:p>
              </w:tc>
              <w:tc>
                <w:tcPr>
                  <w:tcW w:w="804" w:type="dxa"/>
                  <w:vMerge w:val="restart"/>
                  <w:noWrap w:val="0"/>
                  <w:vAlign w:val="center"/>
                </w:tcPr>
                <w:p w14:paraId="61CEF444">
                  <w:pPr>
                    <w:pStyle w:val="29"/>
                    <w:tabs>
                      <w:tab w:val="left" w:pos="465"/>
                      <w:tab w:val="clear" w:pos="0"/>
                    </w:tabs>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达标排放</w:t>
                  </w:r>
                </w:p>
              </w:tc>
            </w:tr>
            <w:tr w14:paraId="6818D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1A8CB851">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30D3A8CA">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COD</w:t>
                  </w:r>
                </w:p>
              </w:tc>
              <w:tc>
                <w:tcPr>
                  <w:tcW w:w="792" w:type="dxa"/>
                  <w:noWrap w:val="0"/>
                  <w:vAlign w:val="center"/>
                </w:tcPr>
                <w:p w14:paraId="7CBAB3FE">
                  <w:pPr>
                    <w:pStyle w:val="63"/>
                    <w:widowControl/>
                    <w:jc w:val="center"/>
                    <w:rPr>
                      <w:rFonts w:hint="default" w:ascii="Times New Roman" w:hAnsi="Times New Roman" w:eastAsia="宋体" w:cs="Times New Roman"/>
                      <w:color w:val="auto"/>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1.9506</w:t>
                  </w:r>
                </w:p>
              </w:tc>
              <w:tc>
                <w:tcPr>
                  <w:tcW w:w="767" w:type="dxa"/>
                  <w:noWrap w:val="0"/>
                  <w:vAlign w:val="center"/>
                </w:tcPr>
                <w:p w14:paraId="59F7A1D9">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0.3143</w:t>
                  </w:r>
                </w:p>
              </w:tc>
              <w:tc>
                <w:tcPr>
                  <w:tcW w:w="3632" w:type="dxa"/>
                  <w:vMerge w:val="continue"/>
                  <w:noWrap w:val="0"/>
                  <w:vAlign w:val="center"/>
                </w:tcPr>
                <w:p w14:paraId="675038CA">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58B46601">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5F827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4CEADDBF">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6FBF29E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BOD</w:t>
                  </w:r>
                  <w:r>
                    <w:rPr>
                      <w:rFonts w:hint="eastAsia" w:cs="Times New Roman"/>
                      <w:color w:val="auto"/>
                      <w:szCs w:val="21"/>
                      <w:highlight w:val="none"/>
                      <w:vertAlign w:val="subscript"/>
                      <w:lang w:val="en-US" w:eastAsia="zh-CN"/>
                    </w:rPr>
                    <w:t>5</w:t>
                  </w:r>
                </w:p>
              </w:tc>
              <w:tc>
                <w:tcPr>
                  <w:tcW w:w="792" w:type="dxa"/>
                  <w:noWrap w:val="0"/>
                  <w:vAlign w:val="center"/>
                </w:tcPr>
                <w:p w14:paraId="286E4BDC">
                  <w:pPr>
                    <w:pStyle w:val="63"/>
                    <w:widowControl/>
                    <w:jc w:val="center"/>
                    <w:rPr>
                      <w:rFonts w:hint="default" w:ascii="Times New Roman" w:hAnsi="Times New Roman" w:eastAsia="宋体" w:cs="Times New Roman"/>
                      <w:color w:val="auto"/>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2.1798</w:t>
                  </w:r>
                </w:p>
              </w:tc>
              <w:tc>
                <w:tcPr>
                  <w:tcW w:w="767" w:type="dxa"/>
                  <w:noWrap w:val="0"/>
                  <w:vAlign w:val="center"/>
                </w:tcPr>
                <w:p w14:paraId="60412AF8">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0.0817</w:t>
                  </w:r>
                </w:p>
              </w:tc>
              <w:tc>
                <w:tcPr>
                  <w:tcW w:w="3632" w:type="dxa"/>
                  <w:vMerge w:val="continue"/>
                  <w:noWrap w:val="0"/>
                  <w:vAlign w:val="center"/>
                </w:tcPr>
                <w:p w14:paraId="5B384C0F">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24E2BD97">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30FF2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2BE1FF5A">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531C96C6">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SS</w:t>
                  </w:r>
                </w:p>
              </w:tc>
              <w:tc>
                <w:tcPr>
                  <w:tcW w:w="792" w:type="dxa"/>
                  <w:noWrap w:val="0"/>
                  <w:vAlign w:val="center"/>
                </w:tcPr>
                <w:p w14:paraId="164B5572">
                  <w:pPr>
                    <w:pStyle w:val="63"/>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1.198</w:t>
                  </w:r>
                </w:p>
              </w:tc>
              <w:tc>
                <w:tcPr>
                  <w:tcW w:w="767" w:type="dxa"/>
                  <w:noWrap w:val="0"/>
                  <w:vAlign w:val="center"/>
                </w:tcPr>
                <w:p w14:paraId="7E904008">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0.2561</w:t>
                  </w:r>
                </w:p>
              </w:tc>
              <w:tc>
                <w:tcPr>
                  <w:tcW w:w="3632" w:type="dxa"/>
                  <w:vMerge w:val="continue"/>
                  <w:noWrap w:val="0"/>
                  <w:vAlign w:val="center"/>
                </w:tcPr>
                <w:p w14:paraId="1AB2D774">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12FD809B">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3A79B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5483E52E">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46DB88EC">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NH</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lang w:val="en-US" w:eastAsia="zh-CN"/>
                    </w:rPr>
                    <w:t>-N</w:t>
                  </w:r>
                </w:p>
              </w:tc>
              <w:tc>
                <w:tcPr>
                  <w:tcW w:w="792" w:type="dxa"/>
                  <w:noWrap w:val="0"/>
                  <w:vAlign w:val="center"/>
                </w:tcPr>
                <w:p w14:paraId="4B29D4E7">
                  <w:pPr>
                    <w:pStyle w:val="63"/>
                    <w:widowControl/>
                    <w:jc w:val="center"/>
                    <w:rPr>
                      <w:rFonts w:hint="default" w:ascii="Times New Roman" w:hAnsi="Times New Roman" w:eastAsia="宋体" w:cs="Times New Roman"/>
                      <w:color w:val="auto"/>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0.1308</w:t>
                  </w:r>
                </w:p>
              </w:tc>
              <w:tc>
                <w:tcPr>
                  <w:tcW w:w="767" w:type="dxa"/>
                  <w:noWrap w:val="0"/>
                  <w:vAlign w:val="center"/>
                </w:tcPr>
                <w:p w14:paraId="6E219B6A">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0.0079</w:t>
                  </w:r>
                </w:p>
              </w:tc>
              <w:tc>
                <w:tcPr>
                  <w:tcW w:w="3632" w:type="dxa"/>
                  <w:vMerge w:val="continue"/>
                  <w:noWrap w:val="0"/>
                  <w:vAlign w:val="center"/>
                </w:tcPr>
                <w:p w14:paraId="5FA191BF">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2BEE9E06">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717E6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301F5CD0">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34E179FA">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TN</w:t>
                  </w:r>
                </w:p>
              </w:tc>
              <w:tc>
                <w:tcPr>
                  <w:tcW w:w="792" w:type="dxa"/>
                  <w:noWrap w:val="0"/>
                  <w:vAlign w:val="center"/>
                </w:tcPr>
                <w:p w14:paraId="062712E9">
                  <w:pPr>
                    <w:pStyle w:val="63"/>
                    <w:widowControl/>
                    <w:jc w:val="center"/>
                    <w:rPr>
                      <w:rFonts w:hint="default" w:ascii="Times New Roman" w:hAnsi="Times New Roman" w:eastAsia="宋体" w:cs="Times New Roman"/>
                      <w:color w:val="auto"/>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0.5086</w:t>
                  </w:r>
                </w:p>
              </w:tc>
              <w:tc>
                <w:tcPr>
                  <w:tcW w:w="767" w:type="dxa"/>
                  <w:noWrap w:val="0"/>
                  <w:vAlign w:val="center"/>
                </w:tcPr>
                <w:p w14:paraId="487C1F65">
                  <w:pPr>
                    <w:pStyle w:val="63"/>
                    <w:widowControl/>
                    <w:jc w:val="center"/>
                    <w:rPr>
                      <w:rFonts w:hint="default" w:ascii="Times New Roman" w:hAnsi="Times New Roman" w:eastAsia="宋体" w:cs="Times New Roman"/>
                      <w:color w:val="auto"/>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0.0243</w:t>
                  </w:r>
                </w:p>
              </w:tc>
              <w:tc>
                <w:tcPr>
                  <w:tcW w:w="3632" w:type="dxa"/>
                  <w:vMerge w:val="continue"/>
                  <w:noWrap w:val="0"/>
                  <w:vAlign w:val="center"/>
                </w:tcPr>
                <w:p w14:paraId="55E3A46A">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50A5C70D">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69233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1F5C7D50">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5CAD7F54">
                  <w:pPr>
                    <w:pStyle w:val="29"/>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总磷</w:t>
                  </w:r>
                </w:p>
              </w:tc>
              <w:tc>
                <w:tcPr>
                  <w:tcW w:w="792" w:type="dxa"/>
                  <w:noWrap w:val="0"/>
                  <w:vAlign w:val="center"/>
                </w:tcPr>
                <w:p w14:paraId="6DDBAD6A">
                  <w:pPr>
                    <w:pStyle w:val="29"/>
                    <w:widowControl/>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0.01354</w:t>
                  </w:r>
                </w:p>
              </w:tc>
              <w:tc>
                <w:tcPr>
                  <w:tcW w:w="767" w:type="dxa"/>
                  <w:noWrap w:val="0"/>
                  <w:vAlign w:val="center"/>
                </w:tcPr>
                <w:p w14:paraId="60D0D75C">
                  <w:pPr>
                    <w:pStyle w:val="29"/>
                    <w:widowControl/>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0.0015</w:t>
                  </w:r>
                </w:p>
              </w:tc>
              <w:tc>
                <w:tcPr>
                  <w:tcW w:w="3632" w:type="dxa"/>
                  <w:vMerge w:val="continue"/>
                  <w:noWrap w:val="0"/>
                  <w:vAlign w:val="center"/>
                </w:tcPr>
                <w:p w14:paraId="72658910">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6A49F8A4">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54773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7C731A5B">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053EAFAC">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石油类</w:t>
                  </w:r>
                </w:p>
              </w:tc>
              <w:tc>
                <w:tcPr>
                  <w:tcW w:w="792" w:type="dxa"/>
                  <w:noWrap w:val="0"/>
                  <w:vAlign w:val="center"/>
                </w:tcPr>
                <w:p w14:paraId="7B6DA100">
                  <w:pPr>
                    <w:pStyle w:val="29"/>
                    <w:widowControl/>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0.02566</w:t>
                  </w:r>
                </w:p>
              </w:tc>
              <w:tc>
                <w:tcPr>
                  <w:tcW w:w="767" w:type="dxa"/>
                  <w:noWrap w:val="0"/>
                  <w:vAlign w:val="center"/>
                </w:tcPr>
                <w:p w14:paraId="18B41FE4">
                  <w:pPr>
                    <w:pStyle w:val="29"/>
                    <w:widowControl/>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0.0019</w:t>
                  </w:r>
                </w:p>
              </w:tc>
              <w:tc>
                <w:tcPr>
                  <w:tcW w:w="3632" w:type="dxa"/>
                  <w:vMerge w:val="continue"/>
                  <w:noWrap w:val="0"/>
                  <w:vAlign w:val="center"/>
                </w:tcPr>
                <w:p w14:paraId="0BFDE440">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6BD8A3C2">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0CCA7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3BB64D44">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0A135D1F">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盐分</w:t>
                  </w:r>
                  <w:bookmarkStart w:id="20" w:name="OLE_LINK2"/>
                  <w:r>
                    <w:rPr>
                      <w:rFonts w:hint="eastAsia" w:cs="Times New Roman"/>
                      <w:color w:val="auto"/>
                      <w:szCs w:val="21"/>
                      <w:highlight w:val="none"/>
                      <w:lang w:val="en-US" w:eastAsia="zh-CN"/>
                    </w:rPr>
                    <w:t>*</w:t>
                  </w:r>
                  <w:bookmarkEnd w:id="20"/>
                </w:p>
              </w:tc>
              <w:tc>
                <w:tcPr>
                  <w:tcW w:w="792" w:type="dxa"/>
                  <w:noWrap w:val="0"/>
                  <w:vAlign w:val="center"/>
                </w:tcPr>
                <w:p w14:paraId="026491D8">
                  <w:pPr>
                    <w:pStyle w:val="29"/>
                    <w:widowControl/>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3.2</w:t>
                  </w:r>
                </w:p>
              </w:tc>
              <w:tc>
                <w:tcPr>
                  <w:tcW w:w="767" w:type="dxa"/>
                  <w:noWrap w:val="0"/>
                  <w:vAlign w:val="center"/>
                </w:tcPr>
                <w:p w14:paraId="6A8E134A">
                  <w:pPr>
                    <w:pStyle w:val="29"/>
                    <w:widowControl/>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2.9035</w:t>
                  </w:r>
                </w:p>
              </w:tc>
              <w:tc>
                <w:tcPr>
                  <w:tcW w:w="3632" w:type="dxa"/>
                  <w:vMerge w:val="continue"/>
                  <w:noWrap w:val="0"/>
                  <w:vAlign w:val="center"/>
                </w:tcPr>
                <w:p w14:paraId="27482A9E">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3BB89199">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059CB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64251331">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789EB64C">
                  <w:pPr>
                    <w:pStyle w:val="29"/>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总锌*</w:t>
                  </w:r>
                </w:p>
              </w:tc>
              <w:tc>
                <w:tcPr>
                  <w:tcW w:w="792" w:type="dxa"/>
                  <w:noWrap w:val="0"/>
                  <w:vAlign w:val="center"/>
                </w:tcPr>
                <w:p w14:paraId="036098DE">
                  <w:pPr>
                    <w:pStyle w:val="29"/>
                    <w:widowControl/>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767" w:type="dxa"/>
                  <w:noWrap w:val="0"/>
                  <w:vAlign w:val="center"/>
                </w:tcPr>
                <w:p w14:paraId="3A4E072B">
                  <w:pPr>
                    <w:pStyle w:val="29"/>
                    <w:widowControl/>
                    <w:spacing w:after="0"/>
                    <w:ind w:left="0" w:leftChars="0"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0.00004</w:t>
                  </w:r>
                </w:p>
              </w:tc>
              <w:tc>
                <w:tcPr>
                  <w:tcW w:w="3632" w:type="dxa"/>
                  <w:vMerge w:val="continue"/>
                  <w:noWrap w:val="0"/>
                  <w:vAlign w:val="center"/>
                </w:tcPr>
                <w:p w14:paraId="03266E86">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2C27A422">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6ABC6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680CF37D">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1356" w:type="dxa"/>
                  <w:gridSpan w:val="2"/>
                  <w:noWrap w:val="0"/>
                  <w:vAlign w:val="center"/>
                </w:tcPr>
                <w:p w14:paraId="277567DB">
                  <w:pPr>
                    <w:pStyle w:val="29"/>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氟化物*</w:t>
                  </w:r>
                </w:p>
              </w:tc>
              <w:tc>
                <w:tcPr>
                  <w:tcW w:w="792" w:type="dxa"/>
                  <w:noWrap w:val="0"/>
                  <w:vAlign w:val="center"/>
                </w:tcPr>
                <w:p w14:paraId="65303AC9">
                  <w:pPr>
                    <w:pStyle w:val="29"/>
                    <w:widowControl/>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767" w:type="dxa"/>
                  <w:noWrap w:val="0"/>
                  <w:vAlign w:val="center"/>
                </w:tcPr>
                <w:p w14:paraId="066EB53B">
                  <w:pPr>
                    <w:pStyle w:val="29"/>
                    <w:widowControl/>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0.00026</w:t>
                  </w:r>
                </w:p>
              </w:tc>
              <w:tc>
                <w:tcPr>
                  <w:tcW w:w="3632" w:type="dxa"/>
                  <w:vMerge w:val="continue"/>
                  <w:noWrap w:val="0"/>
                  <w:vAlign w:val="center"/>
                </w:tcPr>
                <w:p w14:paraId="1EF2397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4E6F7C6D">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7D3B5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restart"/>
                  <w:noWrap w:val="0"/>
                  <w:vAlign w:val="center"/>
                </w:tcPr>
                <w:p w14:paraId="04564099">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固废</w:t>
                  </w:r>
                  <w:r>
                    <w:rPr>
                      <w:rFonts w:hint="eastAsia" w:hAnsi="Times New Roman" w:cs="Times New Roman"/>
                      <w:color w:val="auto"/>
                      <w:szCs w:val="21"/>
                      <w:highlight w:val="none"/>
                      <w:lang w:val="en-US" w:eastAsia="zh-CN"/>
                    </w:rPr>
                    <w:t>（产生量）</w:t>
                  </w:r>
                </w:p>
              </w:tc>
              <w:tc>
                <w:tcPr>
                  <w:tcW w:w="1356" w:type="dxa"/>
                  <w:gridSpan w:val="2"/>
                  <w:noWrap w:val="0"/>
                  <w:vAlign w:val="center"/>
                </w:tcPr>
                <w:p w14:paraId="6F64A0E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生活垃圾</w:t>
                  </w:r>
                </w:p>
              </w:tc>
              <w:tc>
                <w:tcPr>
                  <w:tcW w:w="792" w:type="dxa"/>
                  <w:noWrap w:val="0"/>
                  <w:vAlign w:val="center"/>
                </w:tcPr>
                <w:p w14:paraId="6D06B930">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767" w:type="dxa"/>
                  <w:noWrap w:val="0"/>
                  <w:vAlign w:val="center"/>
                </w:tcPr>
                <w:p w14:paraId="6EBD7410">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18.6</w:t>
                  </w:r>
                </w:p>
              </w:tc>
              <w:tc>
                <w:tcPr>
                  <w:tcW w:w="3632" w:type="dxa"/>
                  <w:noWrap w:val="0"/>
                  <w:vAlign w:val="center"/>
                </w:tcPr>
                <w:p w14:paraId="5DC6F2CF">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环卫清运</w:t>
                  </w:r>
                </w:p>
              </w:tc>
              <w:tc>
                <w:tcPr>
                  <w:tcW w:w="804" w:type="dxa"/>
                  <w:vMerge w:val="restart"/>
                  <w:noWrap w:val="0"/>
                  <w:vAlign w:val="center"/>
                </w:tcPr>
                <w:p w14:paraId="47E8DBD8">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固废零排放</w:t>
                  </w:r>
                </w:p>
              </w:tc>
            </w:tr>
            <w:tr w14:paraId="10514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67" w:type="dxa"/>
                  <w:vMerge w:val="continue"/>
                  <w:noWrap w:val="0"/>
                  <w:vAlign w:val="center"/>
                </w:tcPr>
                <w:p w14:paraId="531ED8D2">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498" w:type="dxa"/>
                  <w:noWrap w:val="0"/>
                  <w:vAlign w:val="center"/>
                </w:tcPr>
                <w:p w14:paraId="376BD37E">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一般工业固废</w:t>
                  </w:r>
                </w:p>
              </w:tc>
              <w:tc>
                <w:tcPr>
                  <w:tcW w:w="858" w:type="dxa"/>
                  <w:shd w:val="clear" w:color="auto" w:fill="auto"/>
                  <w:noWrap w:val="0"/>
                  <w:vAlign w:val="center"/>
                </w:tcPr>
                <w:p w14:paraId="54D9609A">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下脚料</w:t>
                  </w:r>
                </w:p>
              </w:tc>
              <w:tc>
                <w:tcPr>
                  <w:tcW w:w="792" w:type="dxa"/>
                  <w:shd w:val="clear" w:color="auto" w:fill="auto"/>
                  <w:noWrap w:val="0"/>
                  <w:vAlign w:val="center"/>
                </w:tcPr>
                <w:p w14:paraId="388D5935">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767" w:type="dxa"/>
                  <w:shd w:val="clear" w:color="auto" w:fill="auto"/>
                  <w:noWrap w:val="0"/>
                  <w:vAlign w:val="center"/>
                </w:tcPr>
                <w:p w14:paraId="3EFEE98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c>
                <w:tcPr>
                  <w:tcW w:w="3632" w:type="dxa"/>
                  <w:shd w:val="clear" w:color="auto" w:fill="auto"/>
                  <w:noWrap w:val="0"/>
                  <w:vAlign w:val="center"/>
                </w:tcPr>
                <w:p w14:paraId="246BD53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外售</w:t>
                  </w:r>
                </w:p>
              </w:tc>
              <w:tc>
                <w:tcPr>
                  <w:tcW w:w="804" w:type="dxa"/>
                  <w:vMerge w:val="continue"/>
                  <w:noWrap w:val="0"/>
                  <w:vAlign w:val="center"/>
                </w:tcPr>
                <w:p w14:paraId="2648D88D">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6F9D4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718E49A2">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498" w:type="dxa"/>
                  <w:vMerge w:val="restart"/>
                  <w:noWrap w:val="0"/>
                  <w:vAlign w:val="center"/>
                </w:tcPr>
                <w:p w14:paraId="20A00BA7">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危险废物</w:t>
                  </w:r>
                </w:p>
              </w:tc>
              <w:tc>
                <w:tcPr>
                  <w:tcW w:w="858" w:type="dxa"/>
                  <w:noWrap w:val="0"/>
                  <w:vAlign w:val="center"/>
                </w:tcPr>
                <w:p w14:paraId="5CD26DE7">
                  <w:pPr>
                    <w:adjustRightInd w:val="0"/>
                    <w:snapToGrid w:val="0"/>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槽渣</w:t>
                  </w:r>
                </w:p>
              </w:tc>
              <w:tc>
                <w:tcPr>
                  <w:tcW w:w="792" w:type="dxa"/>
                  <w:noWrap w:val="0"/>
                  <w:vAlign w:val="center"/>
                </w:tcPr>
                <w:p w14:paraId="392E8236">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767" w:type="dxa"/>
                  <w:noWrap w:val="0"/>
                  <w:vAlign w:val="center"/>
                </w:tcPr>
                <w:p w14:paraId="011188BE">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50</w:t>
                  </w:r>
                </w:p>
              </w:tc>
              <w:tc>
                <w:tcPr>
                  <w:tcW w:w="3632" w:type="dxa"/>
                  <w:vMerge w:val="restart"/>
                  <w:noWrap w:val="0"/>
                  <w:vAlign w:val="center"/>
                </w:tcPr>
                <w:p w14:paraId="0E3472D9">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宿迁宇新固体废物处置有限公司</w:t>
                  </w:r>
                </w:p>
              </w:tc>
              <w:tc>
                <w:tcPr>
                  <w:tcW w:w="804" w:type="dxa"/>
                  <w:vMerge w:val="continue"/>
                  <w:noWrap w:val="0"/>
                  <w:vAlign w:val="center"/>
                </w:tcPr>
                <w:p w14:paraId="30A218BB">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32613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500E158B">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498" w:type="dxa"/>
                  <w:vMerge w:val="continue"/>
                  <w:noWrap w:val="0"/>
                  <w:vAlign w:val="center"/>
                </w:tcPr>
                <w:p w14:paraId="108008E6">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58" w:type="dxa"/>
                  <w:noWrap w:val="0"/>
                  <w:vAlign w:val="center"/>
                </w:tcPr>
                <w:p w14:paraId="57F1EB7C">
                  <w:pPr>
                    <w:adjustRightInd w:val="0"/>
                    <w:snapToGrid w:val="0"/>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废活性炭</w:t>
                  </w:r>
                </w:p>
              </w:tc>
              <w:tc>
                <w:tcPr>
                  <w:tcW w:w="792" w:type="dxa"/>
                  <w:noWrap w:val="0"/>
                  <w:vAlign w:val="center"/>
                </w:tcPr>
                <w:p w14:paraId="5C8A766D">
                  <w:pPr>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767" w:type="dxa"/>
                  <w:noWrap w:val="0"/>
                  <w:vAlign w:val="center"/>
                </w:tcPr>
                <w:p w14:paraId="7026D67B">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w:t>
                  </w:r>
                </w:p>
              </w:tc>
              <w:tc>
                <w:tcPr>
                  <w:tcW w:w="3632" w:type="dxa"/>
                  <w:vMerge w:val="continue"/>
                  <w:noWrap w:val="0"/>
                  <w:vAlign w:val="center"/>
                </w:tcPr>
                <w:p w14:paraId="29891016">
                  <w:pPr>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0783C76E">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2654E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79619E47">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498" w:type="dxa"/>
                  <w:vMerge w:val="continue"/>
                  <w:noWrap w:val="0"/>
                  <w:vAlign w:val="center"/>
                </w:tcPr>
                <w:p w14:paraId="04C917C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58" w:type="dxa"/>
                  <w:noWrap w:val="0"/>
                  <w:vAlign w:val="center"/>
                </w:tcPr>
                <w:p w14:paraId="74665AAD">
                  <w:pPr>
                    <w:adjustRightInd w:val="0"/>
                    <w:snapToGrid w:val="0"/>
                    <w:jc w:val="center"/>
                    <w:rPr>
                      <w:rFonts w:hint="default" w:ascii="Times New Roman" w:hAnsiTheme="minorHAnsi" w:eastAsiaTheme="minorEastAsia" w:cstheme="minorBidi"/>
                      <w:color w:val="auto"/>
                      <w:kern w:val="2"/>
                      <w:sz w:val="21"/>
                      <w:szCs w:val="21"/>
                      <w:highlight w:val="none"/>
                      <w:lang w:val="en-US" w:eastAsia="zh-CN" w:bidi="ar-SA"/>
                    </w:rPr>
                  </w:pPr>
                  <w:r>
                    <w:rPr>
                      <w:rFonts w:hint="eastAsia" w:hAnsiTheme="minorHAnsi" w:eastAsiaTheme="minorEastAsia" w:cstheme="minorBidi"/>
                      <w:color w:val="auto"/>
                      <w:kern w:val="2"/>
                      <w:sz w:val="21"/>
                      <w:szCs w:val="21"/>
                      <w:highlight w:val="none"/>
                      <w:lang w:val="en-US" w:eastAsia="zh-CN" w:bidi="ar-SA"/>
                    </w:rPr>
                    <w:t>污泥</w:t>
                  </w:r>
                </w:p>
              </w:tc>
              <w:tc>
                <w:tcPr>
                  <w:tcW w:w="792" w:type="dxa"/>
                  <w:noWrap w:val="0"/>
                  <w:vAlign w:val="center"/>
                </w:tcPr>
                <w:p w14:paraId="0554B785">
                  <w:pPr>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767" w:type="dxa"/>
                  <w:noWrap w:val="0"/>
                  <w:vAlign w:val="center"/>
                </w:tcPr>
                <w:p w14:paraId="17CF7CF7">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50</w:t>
                  </w:r>
                </w:p>
              </w:tc>
              <w:tc>
                <w:tcPr>
                  <w:tcW w:w="3632" w:type="dxa"/>
                  <w:vMerge w:val="continue"/>
                  <w:noWrap w:val="0"/>
                  <w:vAlign w:val="center"/>
                </w:tcPr>
                <w:p w14:paraId="45591FB6">
                  <w:pPr>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5F3BA228">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0A906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31089C4A">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498" w:type="dxa"/>
                  <w:vMerge w:val="continue"/>
                  <w:noWrap w:val="0"/>
                  <w:vAlign w:val="center"/>
                </w:tcPr>
                <w:p w14:paraId="0C2B309F">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58" w:type="dxa"/>
                  <w:noWrap w:val="0"/>
                  <w:vAlign w:val="center"/>
                </w:tcPr>
                <w:p w14:paraId="7EDF3265">
                  <w:pPr>
                    <w:adjustRightInd w:val="0"/>
                    <w:snapToGrid w:val="0"/>
                    <w:jc w:val="center"/>
                    <w:rPr>
                      <w:rFonts w:hint="default" w:ascii="Times New Roman" w:hAnsiTheme="minorHAnsi" w:eastAsiaTheme="minorEastAsia" w:cstheme="minorBidi"/>
                      <w:color w:val="auto"/>
                      <w:kern w:val="2"/>
                      <w:sz w:val="21"/>
                      <w:szCs w:val="21"/>
                      <w:highlight w:val="none"/>
                      <w:lang w:val="en-US" w:eastAsia="zh-CN" w:bidi="ar-SA"/>
                    </w:rPr>
                  </w:pPr>
                  <w:r>
                    <w:rPr>
                      <w:rFonts w:hint="eastAsia" w:hAnsiTheme="minorHAnsi" w:eastAsiaTheme="minorEastAsia" w:cstheme="minorBidi"/>
                      <w:color w:val="auto"/>
                      <w:kern w:val="2"/>
                      <w:sz w:val="21"/>
                      <w:szCs w:val="21"/>
                      <w:highlight w:val="none"/>
                      <w:lang w:val="en-US" w:eastAsia="zh-CN" w:bidi="ar-SA"/>
                    </w:rPr>
                    <w:t>废机油</w:t>
                  </w:r>
                </w:p>
              </w:tc>
              <w:tc>
                <w:tcPr>
                  <w:tcW w:w="792" w:type="dxa"/>
                  <w:noWrap w:val="0"/>
                  <w:vAlign w:val="center"/>
                </w:tcPr>
                <w:p w14:paraId="147E8751">
                  <w:pPr>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767" w:type="dxa"/>
                  <w:noWrap w:val="0"/>
                  <w:vAlign w:val="center"/>
                </w:tcPr>
                <w:p w14:paraId="35F1807D">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3632" w:type="dxa"/>
                  <w:vMerge w:val="continue"/>
                  <w:noWrap w:val="0"/>
                  <w:vAlign w:val="center"/>
                </w:tcPr>
                <w:p w14:paraId="02F19EE4">
                  <w:pPr>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0101E094">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46AB3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74CDBB29">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498" w:type="dxa"/>
                  <w:vMerge w:val="continue"/>
                  <w:noWrap w:val="0"/>
                  <w:vAlign w:val="center"/>
                </w:tcPr>
                <w:p w14:paraId="5C9DAC7D">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58" w:type="dxa"/>
                  <w:noWrap w:val="0"/>
                  <w:vAlign w:val="center"/>
                </w:tcPr>
                <w:p w14:paraId="1334F10C">
                  <w:pPr>
                    <w:adjustRightInd w:val="0"/>
                    <w:snapToGrid w:val="0"/>
                    <w:jc w:val="center"/>
                    <w:rPr>
                      <w:rFonts w:hint="eastAsia" w:hAnsiTheme="minorHAnsi" w:eastAsiaTheme="minorEastAsia" w:cstheme="minorBidi"/>
                      <w:color w:val="auto"/>
                      <w:kern w:val="2"/>
                      <w:sz w:val="21"/>
                      <w:szCs w:val="21"/>
                      <w:highlight w:val="none"/>
                      <w:lang w:val="en-US" w:eastAsia="zh-CN" w:bidi="ar-SA"/>
                    </w:rPr>
                  </w:pPr>
                  <w:r>
                    <w:rPr>
                      <w:rFonts w:hint="eastAsia" w:hAnsiTheme="minorHAnsi" w:eastAsiaTheme="minorEastAsia" w:cstheme="minorBidi"/>
                      <w:color w:val="auto"/>
                      <w:kern w:val="2"/>
                      <w:sz w:val="21"/>
                      <w:szCs w:val="21"/>
                      <w:highlight w:val="none"/>
                      <w:lang w:val="en-US" w:eastAsia="zh-CN" w:bidi="ar-SA"/>
                    </w:rPr>
                    <w:t>废乳化液</w:t>
                  </w:r>
                </w:p>
              </w:tc>
              <w:tc>
                <w:tcPr>
                  <w:tcW w:w="792" w:type="dxa"/>
                  <w:noWrap w:val="0"/>
                  <w:vAlign w:val="center"/>
                </w:tcPr>
                <w:p w14:paraId="33D45DA1">
                  <w:pPr>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767" w:type="dxa"/>
                  <w:noWrap w:val="0"/>
                  <w:vAlign w:val="center"/>
                </w:tcPr>
                <w:p w14:paraId="4128C2D8">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60</w:t>
                  </w:r>
                </w:p>
              </w:tc>
              <w:tc>
                <w:tcPr>
                  <w:tcW w:w="3632" w:type="dxa"/>
                  <w:vMerge w:val="continue"/>
                  <w:noWrap w:val="0"/>
                  <w:vAlign w:val="center"/>
                </w:tcPr>
                <w:p w14:paraId="2D97C66C">
                  <w:pPr>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04" w:type="dxa"/>
                  <w:vMerge w:val="continue"/>
                  <w:noWrap w:val="0"/>
                  <w:vAlign w:val="center"/>
                </w:tcPr>
                <w:p w14:paraId="1562EEC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4E8AB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vMerge w:val="continue"/>
                  <w:noWrap w:val="0"/>
                  <w:vAlign w:val="center"/>
                </w:tcPr>
                <w:p w14:paraId="02D0706A">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498" w:type="dxa"/>
                  <w:vMerge w:val="continue"/>
                  <w:noWrap w:val="0"/>
                  <w:vAlign w:val="center"/>
                </w:tcPr>
                <w:p w14:paraId="12ABDE33">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c>
                <w:tcPr>
                  <w:tcW w:w="858" w:type="dxa"/>
                  <w:noWrap w:val="0"/>
                  <w:vAlign w:val="center"/>
                </w:tcPr>
                <w:p w14:paraId="1D232607">
                  <w:pPr>
                    <w:adjustRightInd w:val="0"/>
                    <w:snapToGrid w:val="0"/>
                    <w:jc w:val="center"/>
                    <w:rPr>
                      <w:rFonts w:hint="default" w:hAnsiTheme="minorHAnsi" w:eastAsiaTheme="minorEastAsia" w:cstheme="minorBidi"/>
                      <w:color w:val="auto"/>
                      <w:kern w:val="2"/>
                      <w:sz w:val="21"/>
                      <w:szCs w:val="21"/>
                      <w:highlight w:val="none"/>
                      <w:lang w:val="en-US" w:eastAsia="zh-CN" w:bidi="ar-SA"/>
                    </w:rPr>
                  </w:pPr>
                  <w:r>
                    <w:rPr>
                      <w:rFonts w:hint="eastAsia" w:hAnsiTheme="minorHAnsi" w:eastAsiaTheme="minorEastAsia" w:cstheme="minorBidi"/>
                      <w:color w:val="auto"/>
                      <w:kern w:val="2"/>
                      <w:sz w:val="21"/>
                      <w:szCs w:val="21"/>
                      <w:highlight w:val="none"/>
                      <w:lang w:val="en-US" w:eastAsia="zh-CN" w:bidi="ar-SA"/>
                    </w:rPr>
                    <w:t>废酸液</w:t>
                  </w:r>
                </w:p>
              </w:tc>
              <w:tc>
                <w:tcPr>
                  <w:tcW w:w="792" w:type="dxa"/>
                  <w:noWrap w:val="0"/>
                  <w:vAlign w:val="center"/>
                </w:tcPr>
                <w:p w14:paraId="636F5DB5">
                  <w:pPr>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767" w:type="dxa"/>
                  <w:noWrap w:val="0"/>
                  <w:vAlign w:val="center"/>
                </w:tcPr>
                <w:p w14:paraId="3183426C">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500</w:t>
                  </w:r>
                </w:p>
              </w:tc>
              <w:tc>
                <w:tcPr>
                  <w:tcW w:w="3632" w:type="dxa"/>
                  <w:noWrap w:val="0"/>
                  <w:vAlign w:val="center"/>
                </w:tcPr>
                <w:p w14:paraId="0317359D">
                  <w:pPr>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江苏永葆环保科技有限公司</w:t>
                  </w:r>
                </w:p>
              </w:tc>
              <w:tc>
                <w:tcPr>
                  <w:tcW w:w="804" w:type="dxa"/>
                  <w:vMerge w:val="continue"/>
                  <w:noWrap w:val="0"/>
                  <w:vAlign w:val="center"/>
                </w:tcPr>
                <w:p w14:paraId="72BAF0D7">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p>
              </w:tc>
            </w:tr>
            <w:tr w14:paraId="367FD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7" w:type="dxa"/>
                  <w:noWrap w:val="0"/>
                  <w:vAlign w:val="center"/>
                </w:tcPr>
                <w:p w14:paraId="66F347DB">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噪声</w:t>
                  </w:r>
                </w:p>
              </w:tc>
              <w:tc>
                <w:tcPr>
                  <w:tcW w:w="1356" w:type="dxa"/>
                  <w:gridSpan w:val="2"/>
                  <w:noWrap w:val="0"/>
                  <w:vAlign w:val="center"/>
                </w:tcPr>
                <w:p w14:paraId="21479FFE">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792" w:type="dxa"/>
                  <w:noWrap w:val="0"/>
                  <w:vAlign w:val="center"/>
                </w:tcPr>
                <w:p w14:paraId="0CE46A19">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767" w:type="dxa"/>
                  <w:noWrap w:val="0"/>
                  <w:vAlign w:val="center"/>
                </w:tcPr>
                <w:p w14:paraId="5C07E29B">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3632" w:type="dxa"/>
                  <w:noWrap w:val="0"/>
                  <w:vAlign w:val="center"/>
                </w:tcPr>
                <w:p w14:paraId="6D390759">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合理安排布局，利用厂房隔声，加强厂界绿化</w:t>
                  </w:r>
                </w:p>
              </w:tc>
              <w:tc>
                <w:tcPr>
                  <w:tcW w:w="804" w:type="dxa"/>
                  <w:noWrap w:val="0"/>
                  <w:vAlign w:val="center"/>
                </w:tcPr>
                <w:p w14:paraId="0E7FBF1A">
                  <w:pPr>
                    <w:pStyle w:val="29"/>
                    <w:spacing w:after="0"/>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达标排放</w:t>
                  </w:r>
                </w:p>
              </w:tc>
            </w:tr>
            <w:tr w14:paraId="23863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7918" w:type="dxa"/>
                  <w:gridSpan w:val="7"/>
                  <w:noWrap w:val="0"/>
                  <w:vAlign w:val="center"/>
                </w:tcPr>
                <w:p w14:paraId="22EEBD29">
                  <w:pPr>
                    <w:pStyle w:val="29"/>
                    <w:spacing w:after="0"/>
                    <w:ind w:left="0" w:leftChars="0" w:firstLine="0" w:firstLineChars="0"/>
                    <w:jc w:val="left"/>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*注：现有项目污染物实际排放量根据自行监测报告数据进行核算，盐分引用验收监测数据；废水污染物总锌、氟化物根据喷塑前处理废水排放量及补充监测数据浓度进行核算。</w:t>
                  </w:r>
                </w:p>
              </w:tc>
            </w:tr>
          </w:tbl>
          <w:p w14:paraId="121B5D7B">
            <w:pPr>
              <w:pStyle w:val="10"/>
              <w:keepNext w:val="0"/>
              <w:keepLines w:val="0"/>
              <w:pageBreakBefore w:val="0"/>
              <w:widowControl w:val="0"/>
              <w:kinsoku/>
              <w:wordWrap/>
              <w:overflowPunct/>
              <w:topLinePunct w:val="0"/>
              <w:autoSpaceDE/>
              <w:autoSpaceDN/>
              <w:bidi w:val="0"/>
              <w:adjustRightInd/>
              <w:snapToGrid/>
              <w:spacing w:before="157" w:beforeLines="50" w:after="0" w:line="360" w:lineRule="auto"/>
              <w:ind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4、现有项目污染物排放达标情况</w:t>
            </w:r>
          </w:p>
          <w:p w14:paraId="116A5174">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1</w:t>
            </w: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废气污染物排放达标情况</w:t>
            </w:r>
          </w:p>
          <w:p w14:paraId="72D1FAC7">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根据委托检测告（报告编号：HW202302008N03），现有项目废气污染物排放达标情况如下：</w:t>
            </w:r>
          </w:p>
          <w:p w14:paraId="24CC0477">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宋体" w:hAnsi="宋体" w:eastAsiaTheme="minorEastAsia"/>
                <w:color w:val="auto"/>
                <w:sz w:val="21"/>
                <w:szCs w:val="21"/>
                <w:highlight w:val="none"/>
                <w:lang w:val="en-US" w:eastAsia="zh-CN"/>
              </w:rPr>
            </w:pPr>
            <w:r>
              <w:rPr>
                <w:rFonts w:hint="eastAsia"/>
                <w:b/>
                <w:bCs/>
                <w:color w:val="auto"/>
                <w:sz w:val="21"/>
                <w:szCs w:val="21"/>
                <w:highlight w:val="none"/>
                <w:lang w:val="en-US" w:eastAsia="zh-CN"/>
              </w:rPr>
              <w:t>表</w:t>
            </w:r>
            <w:r>
              <w:rPr>
                <w:rFonts w:hint="eastAsia" w:cs="Times New Roman"/>
                <w:b/>
                <w:bCs/>
                <w:color w:val="auto"/>
                <w:sz w:val="21"/>
                <w:szCs w:val="21"/>
                <w:highlight w:val="none"/>
                <w:lang w:val="en-US" w:eastAsia="zh-CN"/>
              </w:rPr>
              <w:t>2-12</w:t>
            </w:r>
            <w:r>
              <w:rPr>
                <w:rFonts w:hint="eastAsia"/>
                <w:b/>
                <w:bCs/>
                <w:color w:val="auto"/>
                <w:sz w:val="21"/>
                <w:szCs w:val="21"/>
                <w:highlight w:val="none"/>
                <w:lang w:val="en-US" w:eastAsia="zh-CN"/>
              </w:rPr>
              <w:t xml:space="preserve"> 现有项目有组织废气</w:t>
            </w:r>
            <w:r>
              <w:rPr>
                <w:rFonts w:hint="eastAsia"/>
                <w:b/>
                <w:color w:val="auto"/>
                <w:sz w:val="21"/>
                <w:szCs w:val="21"/>
                <w:highlight w:val="none"/>
                <w:lang w:eastAsia="zh-CN"/>
              </w:rPr>
              <w:t>监</w:t>
            </w:r>
            <w:r>
              <w:rPr>
                <w:b/>
                <w:color w:val="auto"/>
                <w:sz w:val="21"/>
                <w:szCs w:val="21"/>
                <w:highlight w:val="none"/>
              </w:rPr>
              <w:t>测</w:t>
            </w:r>
            <w:r>
              <w:rPr>
                <w:rFonts w:hint="eastAsia"/>
                <w:b/>
                <w:color w:val="auto"/>
                <w:sz w:val="21"/>
                <w:szCs w:val="21"/>
                <w:highlight w:val="none"/>
                <w:lang w:val="en-US" w:eastAsia="zh-CN"/>
              </w:rPr>
              <w:t>结果及评价</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11"/>
              <w:gridCol w:w="831"/>
              <w:gridCol w:w="1497"/>
              <w:gridCol w:w="1156"/>
              <w:gridCol w:w="990"/>
              <w:gridCol w:w="2037"/>
            </w:tblGrid>
            <w:tr w14:paraId="019F0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restart"/>
                  <w:tcBorders>
                    <w:tl2br w:val="nil"/>
                    <w:tr2bl w:val="nil"/>
                  </w:tcBorders>
                  <w:vAlign w:val="center"/>
                </w:tcPr>
                <w:p w14:paraId="4FA2EA89">
                  <w:pPr>
                    <w:jc w:val="center"/>
                    <w:rPr>
                      <w:rFonts w:hint="default" w:ascii="Times New Roman" w:hAnsi="Times New Roman"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检测</w:t>
                  </w:r>
                  <w:r>
                    <w:rPr>
                      <w:rFonts w:hint="default" w:ascii="Times New Roman" w:hAnsi="Times New Roman" w:cs="Times New Roman"/>
                      <w:b w:val="0"/>
                      <w:bCs/>
                      <w:color w:val="auto"/>
                      <w:sz w:val="21"/>
                      <w:szCs w:val="21"/>
                      <w:highlight w:val="none"/>
                    </w:rPr>
                    <w:t>点位</w:t>
                  </w:r>
                </w:p>
              </w:tc>
              <w:tc>
                <w:tcPr>
                  <w:tcW w:w="831" w:type="dxa"/>
                  <w:vMerge w:val="restart"/>
                  <w:tcBorders>
                    <w:tl2br w:val="nil"/>
                    <w:tr2bl w:val="nil"/>
                  </w:tcBorders>
                  <w:vAlign w:val="center"/>
                </w:tcPr>
                <w:p w14:paraId="7E5D2F48">
                  <w:pPr>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检测</w:t>
                  </w:r>
                  <w:r>
                    <w:rPr>
                      <w:rFonts w:hint="default" w:ascii="Times New Roman" w:hAnsi="Times New Roman" w:cs="Times New Roman"/>
                      <w:b w:val="0"/>
                      <w:bCs/>
                      <w:color w:val="auto"/>
                      <w:sz w:val="21"/>
                      <w:szCs w:val="21"/>
                      <w:highlight w:val="none"/>
                    </w:rPr>
                    <w:t>项目</w:t>
                  </w:r>
                </w:p>
              </w:tc>
              <w:tc>
                <w:tcPr>
                  <w:tcW w:w="1497" w:type="dxa"/>
                  <w:vMerge w:val="restart"/>
                  <w:tcBorders>
                    <w:tl2br w:val="nil"/>
                    <w:tr2bl w:val="nil"/>
                  </w:tcBorders>
                  <w:vAlign w:val="center"/>
                </w:tcPr>
                <w:p w14:paraId="57E76C5C">
                  <w:pPr>
                    <w:jc w:val="center"/>
                    <w:rPr>
                      <w:rFonts w:hint="default" w:ascii="Times New Roman" w:hAnsi="Times New Roman"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检测</w:t>
                  </w:r>
                  <w:r>
                    <w:rPr>
                      <w:rFonts w:hint="default" w:ascii="Times New Roman" w:hAnsi="Times New Roman" w:cs="Times New Roman"/>
                      <w:b w:val="0"/>
                      <w:bCs/>
                      <w:color w:val="auto"/>
                      <w:sz w:val="21"/>
                      <w:szCs w:val="21"/>
                      <w:highlight w:val="none"/>
                    </w:rPr>
                    <w:t>频次</w:t>
                  </w:r>
                </w:p>
              </w:tc>
              <w:tc>
                <w:tcPr>
                  <w:tcW w:w="4183" w:type="dxa"/>
                  <w:gridSpan w:val="3"/>
                  <w:tcBorders>
                    <w:tl2br w:val="nil"/>
                    <w:tr2bl w:val="nil"/>
                  </w:tcBorders>
                  <w:vAlign w:val="center"/>
                </w:tcPr>
                <w:p w14:paraId="57E6B7B3">
                  <w:pPr>
                    <w:jc w:val="center"/>
                    <w:rPr>
                      <w:rFonts w:hint="default" w:ascii="Times New Roman" w:hAnsi="Times New Roman"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监</w:t>
                  </w:r>
                  <w:r>
                    <w:rPr>
                      <w:rFonts w:hint="default" w:ascii="Times New Roman" w:hAnsi="Times New Roman" w:eastAsia="宋体" w:cs="Times New Roman"/>
                      <w:b w:val="0"/>
                      <w:bCs/>
                      <w:color w:val="auto"/>
                      <w:sz w:val="21"/>
                      <w:szCs w:val="21"/>
                      <w:highlight w:val="none"/>
                      <w:lang w:val="en-US" w:eastAsia="zh-CN"/>
                    </w:rPr>
                    <w:t>测结果</w:t>
                  </w:r>
                </w:p>
              </w:tc>
            </w:tr>
            <w:tr w14:paraId="761E7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0040C123">
                  <w:pPr>
                    <w:jc w:val="center"/>
                    <w:rPr>
                      <w:rFonts w:hint="default" w:ascii="Times New Roman" w:hAnsi="Times New Roman" w:cs="Times New Roman"/>
                      <w:b w:val="0"/>
                      <w:bCs/>
                      <w:color w:val="auto"/>
                      <w:sz w:val="21"/>
                      <w:szCs w:val="21"/>
                      <w:highlight w:val="none"/>
                    </w:rPr>
                  </w:pPr>
                </w:p>
              </w:tc>
              <w:tc>
                <w:tcPr>
                  <w:tcW w:w="831" w:type="dxa"/>
                  <w:vMerge w:val="continue"/>
                  <w:tcBorders>
                    <w:tl2br w:val="nil"/>
                    <w:tr2bl w:val="nil"/>
                  </w:tcBorders>
                  <w:vAlign w:val="center"/>
                </w:tcPr>
                <w:p w14:paraId="4D9D67E2">
                  <w:pPr>
                    <w:jc w:val="center"/>
                    <w:rPr>
                      <w:rFonts w:hint="default" w:ascii="Times New Roman" w:hAnsi="Times New Roman" w:cs="Times New Roman"/>
                      <w:b w:val="0"/>
                      <w:bCs/>
                      <w:color w:val="auto"/>
                      <w:sz w:val="21"/>
                      <w:szCs w:val="21"/>
                      <w:highlight w:val="none"/>
                    </w:rPr>
                  </w:pPr>
                </w:p>
              </w:tc>
              <w:tc>
                <w:tcPr>
                  <w:tcW w:w="1497" w:type="dxa"/>
                  <w:vMerge w:val="continue"/>
                  <w:tcBorders>
                    <w:tl2br w:val="nil"/>
                    <w:tr2bl w:val="nil"/>
                  </w:tcBorders>
                  <w:vAlign w:val="center"/>
                </w:tcPr>
                <w:p w14:paraId="4A19BB3C">
                  <w:pPr>
                    <w:jc w:val="center"/>
                    <w:rPr>
                      <w:rFonts w:hint="default" w:ascii="Times New Roman" w:hAnsi="Times New Roman" w:cs="Times New Roman"/>
                      <w:b w:val="0"/>
                      <w:bCs/>
                      <w:color w:val="auto"/>
                      <w:sz w:val="21"/>
                      <w:szCs w:val="21"/>
                      <w:highlight w:val="none"/>
                    </w:rPr>
                  </w:pPr>
                </w:p>
              </w:tc>
              <w:tc>
                <w:tcPr>
                  <w:tcW w:w="4183" w:type="dxa"/>
                  <w:gridSpan w:val="3"/>
                  <w:tcBorders>
                    <w:tl2br w:val="nil"/>
                    <w:tr2bl w:val="nil"/>
                  </w:tcBorders>
                  <w:vAlign w:val="center"/>
                </w:tcPr>
                <w:p w14:paraId="084EB27E">
                  <w:pPr>
                    <w:jc w:val="center"/>
                    <w:rPr>
                      <w:rFonts w:hint="default" w:ascii="Times New Roman" w:hAnsi="Times New Roman" w:cs="Times New Roman"/>
                      <w:b w:val="0"/>
                      <w:bCs/>
                      <w:color w:val="auto"/>
                      <w:sz w:val="21"/>
                      <w:szCs w:val="21"/>
                      <w:highlight w:val="none"/>
                      <w:lang w:val="en-US"/>
                    </w:rPr>
                  </w:pPr>
                  <w:r>
                    <w:rPr>
                      <w:rFonts w:hint="eastAsia" w:ascii="Times New Roman" w:hAnsi="Times New Roman" w:cs="Times New Roman"/>
                      <w:b w:val="0"/>
                      <w:bCs/>
                      <w:color w:val="auto"/>
                      <w:sz w:val="21"/>
                      <w:szCs w:val="21"/>
                      <w:highlight w:val="none"/>
                      <w:lang w:val="en-US" w:eastAsia="zh-CN"/>
                    </w:rPr>
                    <w:t>202</w:t>
                  </w:r>
                  <w:r>
                    <w:rPr>
                      <w:rFonts w:hint="eastAsia" w:cs="Times New Roman"/>
                      <w:b w:val="0"/>
                      <w:bCs/>
                      <w:color w:val="auto"/>
                      <w:sz w:val="21"/>
                      <w:szCs w:val="21"/>
                      <w:highlight w:val="none"/>
                      <w:lang w:val="en-US" w:eastAsia="zh-CN"/>
                    </w:rPr>
                    <w:t>3.4.14</w:t>
                  </w:r>
                </w:p>
              </w:tc>
            </w:tr>
            <w:tr w14:paraId="6BD82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2A2DAF85">
                  <w:pPr>
                    <w:jc w:val="center"/>
                    <w:rPr>
                      <w:rFonts w:hint="default" w:ascii="Times New Roman" w:hAnsi="Times New Roman" w:cs="Times New Roman"/>
                      <w:b w:val="0"/>
                      <w:bCs/>
                      <w:color w:val="auto"/>
                      <w:sz w:val="21"/>
                      <w:szCs w:val="21"/>
                      <w:highlight w:val="none"/>
                    </w:rPr>
                  </w:pPr>
                </w:p>
              </w:tc>
              <w:tc>
                <w:tcPr>
                  <w:tcW w:w="831" w:type="dxa"/>
                  <w:vMerge w:val="continue"/>
                  <w:tcBorders>
                    <w:tl2br w:val="nil"/>
                    <w:tr2bl w:val="nil"/>
                  </w:tcBorders>
                  <w:vAlign w:val="center"/>
                </w:tcPr>
                <w:p w14:paraId="641EE8CD">
                  <w:pPr>
                    <w:jc w:val="center"/>
                    <w:rPr>
                      <w:rFonts w:hint="default" w:ascii="Times New Roman" w:hAnsi="Times New Roman" w:cs="Times New Roman"/>
                      <w:b w:val="0"/>
                      <w:bCs/>
                      <w:color w:val="auto"/>
                      <w:sz w:val="21"/>
                      <w:szCs w:val="21"/>
                      <w:highlight w:val="none"/>
                    </w:rPr>
                  </w:pPr>
                </w:p>
              </w:tc>
              <w:tc>
                <w:tcPr>
                  <w:tcW w:w="1497" w:type="dxa"/>
                  <w:vMerge w:val="continue"/>
                  <w:tcBorders>
                    <w:tl2br w:val="nil"/>
                    <w:tr2bl w:val="nil"/>
                  </w:tcBorders>
                  <w:vAlign w:val="center"/>
                </w:tcPr>
                <w:p w14:paraId="37792FF8">
                  <w:pPr>
                    <w:jc w:val="center"/>
                    <w:rPr>
                      <w:rFonts w:hint="default" w:ascii="Times New Roman" w:hAnsi="Times New Roman" w:cs="Times New Roman"/>
                      <w:b w:val="0"/>
                      <w:bCs/>
                      <w:color w:val="auto"/>
                      <w:sz w:val="21"/>
                      <w:szCs w:val="21"/>
                      <w:highlight w:val="none"/>
                    </w:rPr>
                  </w:pPr>
                </w:p>
              </w:tc>
              <w:tc>
                <w:tcPr>
                  <w:tcW w:w="2146" w:type="dxa"/>
                  <w:gridSpan w:val="2"/>
                  <w:tcBorders>
                    <w:tl2br w:val="nil"/>
                    <w:tr2bl w:val="nil"/>
                  </w:tcBorders>
                  <w:vAlign w:val="center"/>
                </w:tcPr>
                <w:p w14:paraId="13B6D400">
                  <w:pPr>
                    <w:spacing w:line="280" w:lineRule="exact"/>
                    <w:jc w:val="center"/>
                    <w:rPr>
                      <w:rFonts w:hint="default" w:ascii="Times New Roman" w:hAnsi="Times New Roman" w:cs="Times New Roman"/>
                      <w:b w:val="0"/>
                      <w:bCs/>
                      <w:color w:val="auto"/>
                      <w:spacing w:val="-20"/>
                      <w:sz w:val="21"/>
                      <w:szCs w:val="21"/>
                      <w:highlight w:val="none"/>
                    </w:rPr>
                  </w:pPr>
                  <w:r>
                    <w:rPr>
                      <w:rFonts w:hint="default" w:ascii="Times New Roman" w:hAnsi="Times New Roman" w:eastAsia="宋体" w:cs="Times New Roman"/>
                      <w:b w:val="0"/>
                      <w:bCs/>
                      <w:color w:val="auto"/>
                      <w:sz w:val="21"/>
                      <w:szCs w:val="21"/>
                      <w:highlight w:val="none"/>
                      <w:lang w:val="en-US" w:eastAsia="zh-CN"/>
                    </w:rPr>
                    <w:t>排放浓度</w:t>
                  </w:r>
                  <w:r>
                    <w:rPr>
                      <w:rFonts w:hint="default" w:ascii="Times New Roman" w:hAnsi="Times New Roman" w:cs="Times New Roman"/>
                      <w:b w:val="0"/>
                      <w:bCs/>
                      <w:color w:val="auto"/>
                      <w:spacing w:val="-20"/>
                      <w:sz w:val="21"/>
                      <w:szCs w:val="21"/>
                      <w:highlight w:val="none"/>
                    </w:rPr>
                    <w:t>（mg/</w:t>
                  </w:r>
                  <w:r>
                    <w:rPr>
                      <w:rFonts w:hint="default" w:ascii="Times New Roman" w:hAnsi="Times New Roman" w:cs="Times New Roman"/>
                      <w:b w:val="0"/>
                      <w:bCs/>
                      <w:color w:val="auto"/>
                      <w:sz w:val="21"/>
                      <w:szCs w:val="21"/>
                      <w:highlight w:val="none"/>
                    </w:rPr>
                    <w:t>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pacing w:val="-20"/>
                      <w:sz w:val="21"/>
                      <w:szCs w:val="21"/>
                      <w:highlight w:val="none"/>
                    </w:rPr>
                    <w:t>）</w:t>
                  </w:r>
                </w:p>
              </w:tc>
              <w:tc>
                <w:tcPr>
                  <w:tcW w:w="2037" w:type="dxa"/>
                  <w:tcBorders>
                    <w:tl2br w:val="nil"/>
                    <w:tr2bl w:val="nil"/>
                  </w:tcBorders>
                  <w:vAlign w:val="center"/>
                </w:tcPr>
                <w:p w14:paraId="66238D2B">
                  <w:pPr>
                    <w:spacing w:line="280" w:lineRule="exact"/>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排放速率</w:t>
                  </w:r>
                  <w:r>
                    <w:rPr>
                      <w:rFonts w:hint="default" w:ascii="Times New Roman" w:hAnsi="Times New Roman" w:cs="Times New Roman"/>
                      <w:b w:val="0"/>
                      <w:bCs/>
                      <w:color w:val="auto"/>
                      <w:spacing w:val="-20"/>
                      <w:sz w:val="21"/>
                      <w:szCs w:val="21"/>
                      <w:highlight w:val="none"/>
                    </w:rPr>
                    <w:t>（kg/h）</w:t>
                  </w:r>
                </w:p>
              </w:tc>
            </w:tr>
            <w:tr w14:paraId="28DF1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restart"/>
                  <w:tcBorders>
                    <w:tl2br w:val="nil"/>
                    <w:tr2bl w:val="nil"/>
                  </w:tcBorders>
                  <w:vAlign w:val="center"/>
                </w:tcPr>
                <w:p w14:paraId="4C42413D">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DA001（15m）</w:t>
                  </w:r>
                </w:p>
              </w:tc>
              <w:tc>
                <w:tcPr>
                  <w:tcW w:w="831" w:type="dxa"/>
                  <w:vMerge w:val="restart"/>
                  <w:tcBorders>
                    <w:tl2br w:val="nil"/>
                    <w:tr2bl w:val="nil"/>
                  </w:tcBorders>
                  <w:vAlign w:val="center"/>
                </w:tcPr>
                <w:p w14:paraId="4F5E0A81">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颗粒物</w:t>
                  </w:r>
                </w:p>
              </w:tc>
              <w:tc>
                <w:tcPr>
                  <w:tcW w:w="1497" w:type="dxa"/>
                  <w:tcBorders>
                    <w:tl2br w:val="nil"/>
                    <w:tr2bl w:val="nil"/>
                  </w:tcBorders>
                  <w:vAlign w:val="center"/>
                </w:tcPr>
                <w:p w14:paraId="3B64385B">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第一次</w:t>
                  </w:r>
                </w:p>
              </w:tc>
              <w:tc>
                <w:tcPr>
                  <w:tcW w:w="2146" w:type="dxa"/>
                  <w:gridSpan w:val="2"/>
                  <w:tcBorders>
                    <w:tl2br w:val="nil"/>
                    <w:tr2bl w:val="nil"/>
                  </w:tcBorders>
                  <w:vAlign w:val="center"/>
                </w:tcPr>
                <w:p w14:paraId="7D9E5DC9">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3.6</w:t>
                  </w:r>
                </w:p>
              </w:tc>
              <w:tc>
                <w:tcPr>
                  <w:tcW w:w="2037" w:type="dxa"/>
                  <w:tcBorders>
                    <w:tl2br w:val="nil"/>
                    <w:tr2bl w:val="nil"/>
                  </w:tcBorders>
                  <w:vAlign w:val="center"/>
                </w:tcPr>
                <w:p w14:paraId="1F82D6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3.75×10</w:t>
                  </w:r>
                  <w:r>
                    <w:rPr>
                      <w:rFonts w:hint="eastAsia" w:cs="Times New Roman"/>
                      <w:color w:val="auto"/>
                      <w:sz w:val="21"/>
                      <w:szCs w:val="21"/>
                      <w:highlight w:val="none"/>
                      <w:vertAlign w:val="superscript"/>
                      <w:lang w:val="en-US" w:eastAsia="zh-CN"/>
                    </w:rPr>
                    <w:t>-2</w:t>
                  </w:r>
                </w:p>
              </w:tc>
            </w:tr>
            <w:tr w14:paraId="0AB37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74E204AF">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3A252B83">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0E0F7323">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第二次</w:t>
                  </w:r>
                </w:p>
              </w:tc>
              <w:tc>
                <w:tcPr>
                  <w:tcW w:w="2146" w:type="dxa"/>
                  <w:gridSpan w:val="2"/>
                  <w:tcBorders>
                    <w:tl2br w:val="nil"/>
                    <w:tr2bl w:val="nil"/>
                  </w:tcBorders>
                  <w:vAlign w:val="center"/>
                </w:tcPr>
                <w:p w14:paraId="33022705">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2.9</w:t>
                  </w:r>
                </w:p>
              </w:tc>
              <w:tc>
                <w:tcPr>
                  <w:tcW w:w="2037" w:type="dxa"/>
                  <w:tcBorders>
                    <w:tl2br w:val="nil"/>
                    <w:tr2bl w:val="nil"/>
                  </w:tcBorders>
                  <w:vAlign w:val="center"/>
                </w:tcPr>
                <w:p w14:paraId="4A5681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2.99×10</w:t>
                  </w:r>
                  <w:r>
                    <w:rPr>
                      <w:rFonts w:hint="eastAsia" w:cs="Times New Roman"/>
                      <w:color w:val="auto"/>
                      <w:sz w:val="21"/>
                      <w:szCs w:val="21"/>
                      <w:highlight w:val="none"/>
                      <w:vertAlign w:val="superscript"/>
                      <w:lang w:val="en-US" w:eastAsia="zh-CN"/>
                    </w:rPr>
                    <w:t>-2</w:t>
                  </w:r>
                </w:p>
              </w:tc>
            </w:tr>
            <w:tr w14:paraId="243DA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4E6B0C02">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5BB28C86">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35B1B14C">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第三次</w:t>
                  </w:r>
                </w:p>
              </w:tc>
              <w:tc>
                <w:tcPr>
                  <w:tcW w:w="2146" w:type="dxa"/>
                  <w:gridSpan w:val="2"/>
                  <w:tcBorders>
                    <w:tl2br w:val="nil"/>
                    <w:tr2bl w:val="nil"/>
                  </w:tcBorders>
                  <w:vAlign w:val="center"/>
                </w:tcPr>
                <w:p w14:paraId="0F290416">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3.1</w:t>
                  </w:r>
                </w:p>
              </w:tc>
              <w:tc>
                <w:tcPr>
                  <w:tcW w:w="2037" w:type="dxa"/>
                  <w:tcBorders>
                    <w:tl2br w:val="nil"/>
                    <w:tr2bl w:val="nil"/>
                  </w:tcBorders>
                  <w:vAlign w:val="center"/>
                </w:tcPr>
                <w:p w14:paraId="70E3C8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3.05×10</w:t>
                  </w:r>
                  <w:r>
                    <w:rPr>
                      <w:rFonts w:hint="eastAsia" w:cs="Times New Roman"/>
                      <w:color w:val="auto"/>
                      <w:sz w:val="21"/>
                      <w:szCs w:val="21"/>
                      <w:highlight w:val="none"/>
                      <w:vertAlign w:val="superscript"/>
                      <w:lang w:val="en-US" w:eastAsia="zh-CN"/>
                    </w:rPr>
                    <w:t>-2</w:t>
                  </w:r>
                </w:p>
              </w:tc>
            </w:tr>
            <w:tr w14:paraId="4EEC4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11" w:type="dxa"/>
                  <w:vMerge w:val="continue"/>
                  <w:tcBorders>
                    <w:tl2br w:val="nil"/>
                    <w:tr2bl w:val="nil"/>
                  </w:tcBorders>
                  <w:vAlign w:val="center"/>
                </w:tcPr>
                <w:p w14:paraId="519A427D">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609692D7">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6FAC42D7">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均值</w:t>
                  </w:r>
                </w:p>
              </w:tc>
              <w:tc>
                <w:tcPr>
                  <w:tcW w:w="2146" w:type="dxa"/>
                  <w:gridSpan w:val="2"/>
                  <w:tcBorders>
                    <w:tl2br w:val="nil"/>
                    <w:tr2bl w:val="nil"/>
                  </w:tcBorders>
                  <w:vAlign w:val="center"/>
                </w:tcPr>
                <w:p w14:paraId="07636389">
                  <w:pPr>
                    <w:widowControl/>
                    <w:snapToGrid w:val="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3.2</w:t>
                  </w:r>
                </w:p>
              </w:tc>
              <w:tc>
                <w:tcPr>
                  <w:tcW w:w="2037" w:type="dxa"/>
                  <w:tcBorders>
                    <w:tl2br w:val="nil"/>
                    <w:tr2bl w:val="nil"/>
                  </w:tcBorders>
                  <w:vAlign w:val="center"/>
                </w:tcPr>
                <w:p w14:paraId="07BC5518">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3.26×10</w:t>
                  </w:r>
                  <w:r>
                    <w:rPr>
                      <w:rFonts w:hint="eastAsia" w:cs="Times New Roman"/>
                      <w:color w:val="auto"/>
                      <w:sz w:val="21"/>
                      <w:szCs w:val="21"/>
                      <w:highlight w:val="none"/>
                      <w:vertAlign w:val="superscript"/>
                      <w:lang w:val="en-US" w:eastAsia="zh-CN"/>
                    </w:rPr>
                    <w:t>-2</w:t>
                  </w:r>
                </w:p>
              </w:tc>
            </w:tr>
            <w:tr w14:paraId="55244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2413E64E">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75894A55">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4188C74B">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标准限值</w:t>
                  </w:r>
                </w:p>
              </w:tc>
              <w:tc>
                <w:tcPr>
                  <w:tcW w:w="2146" w:type="dxa"/>
                  <w:gridSpan w:val="2"/>
                  <w:tcBorders>
                    <w:tl2br w:val="nil"/>
                    <w:tr2bl w:val="nil"/>
                  </w:tcBorders>
                  <w:vAlign w:val="center"/>
                </w:tcPr>
                <w:p w14:paraId="536BD237">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2</w:t>
                  </w:r>
                  <w:r>
                    <w:rPr>
                      <w:rFonts w:hint="eastAsia" w:ascii="Times New Roman" w:hAnsi="Times New Roman" w:eastAsia="宋体" w:cs="Times New Roman"/>
                      <w:b w:val="0"/>
                      <w:bCs/>
                      <w:color w:val="auto"/>
                      <w:sz w:val="21"/>
                      <w:szCs w:val="21"/>
                      <w:highlight w:val="none"/>
                      <w:lang w:val="en-US" w:eastAsia="zh-CN"/>
                    </w:rPr>
                    <w:t>0</w:t>
                  </w:r>
                </w:p>
              </w:tc>
              <w:tc>
                <w:tcPr>
                  <w:tcW w:w="2037" w:type="dxa"/>
                  <w:tcBorders>
                    <w:tl2br w:val="nil"/>
                    <w:tr2bl w:val="nil"/>
                  </w:tcBorders>
                  <w:vAlign w:val="center"/>
                </w:tcPr>
                <w:p w14:paraId="631FD78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1</w:t>
                  </w:r>
                </w:p>
              </w:tc>
            </w:tr>
            <w:tr w14:paraId="7E279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483B6279">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0C9BCDD8">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36C94F0F">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2146" w:type="dxa"/>
                  <w:gridSpan w:val="2"/>
                  <w:tcBorders>
                    <w:tl2br w:val="nil"/>
                    <w:tr2bl w:val="nil"/>
                  </w:tcBorders>
                  <w:vAlign w:val="center"/>
                </w:tcPr>
                <w:p w14:paraId="4965D211">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c>
                <w:tcPr>
                  <w:tcW w:w="2037" w:type="dxa"/>
                  <w:tcBorders>
                    <w:tl2br w:val="nil"/>
                    <w:tr2bl w:val="nil"/>
                  </w:tcBorders>
                  <w:vAlign w:val="center"/>
                </w:tcPr>
                <w:p w14:paraId="59A8F44F">
                  <w:pPr>
                    <w:keepNext w:val="0"/>
                    <w:keepLines w:val="0"/>
                    <w:widowControl/>
                    <w:suppressLineNumbers w:val="0"/>
                    <w:jc w:val="center"/>
                    <w:textAlignment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0BF5F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restart"/>
                  <w:tcBorders>
                    <w:tl2br w:val="nil"/>
                    <w:tr2bl w:val="nil"/>
                  </w:tcBorders>
                  <w:vAlign w:val="center"/>
                </w:tcPr>
                <w:p w14:paraId="14A82CE9">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DA003（15m）</w:t>
                  </w:r>
                </w:p>
              </w:tc>
              <w:tc>
                <w:tcPr>
                  <w:tcW w:w="831" w:type="dxa"/>
                  <w:vMerge w:val="restart"/>
                  <w:tcBorders>
                    <w:tl2br w:val="nil"/>
                    <w:tr2bl w:val="nil"/>
                  </w:tcBorders>
                  <w:vAlign w:val="center"/>
                </w:tcPr>
                <w:p w14:paraId="513FB78E">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氯化氢</w:t>
                  </w:r>
                </w:p>
              </w:tc>
              <w:tc>
                <w:tcPr>
                  <w:tcW w:w="1497" w:type="dxa"/>
                  <w:tcBorders>
                    <w:tl2br w:val="nil"/>
                    <w:tr2bl w:val="nil"/>
                  </w:tcBorders>
                  <w:vAlign w:val="center"/>
                </w:tcPr>
                <w:p w14:paraId="3A7E6C7D">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第一次</w:t>
                  </w:r>
                </w:p>
              </w:tc>
              <w:tc>
                <w:tcPr>
                  <w:tcW w:w="2146" w:type="dxa"/>
                  <w:gridSpan w:val="2"/>
                  <w:tcBorders>
                    <w:tl2br w:val="nil"/>
                    <w:tr2bl w:val="nil"/>
                  </w:tcBorders>
                  <w:vAlign w:val="center"/>
                </w:tcPr>
                <w:p w14:paraId="108ECFAF">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4.16</w:t>
                  </w:r>
                </w:p>
              </w:tc>
              <w:tc>
                <w:tcPr>
                  <w:tcW w:w="2037" w:type="dxa"/>
                  <w:tcBorders>
                    <w:tl2br w:val="nil"/>
                    <w:tr2bl w:val="nil"/>
                  </w:tcBorders>
                  <w:vAlign w:val="center"/>
                </w:tcPr>
                <w:p w14:paraId="69BE68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1.05×10</w:t>
                  </w:r>
                  <w:r>
                    <w:rPr>
                      <w:rFonts w:hint="eastAsia" w:cs="Times New Roman"/>
                      <w:color w:val="auto"/>
                      <w:sz w:val="21"/>
                      <w:szCs w:val="21"/>
                      <w:highlight w:val="none"/>
                      <w:vertAlign w:val="superscript"/>
                      <w:lang w:val="en-US" w:eastAsia="zh-CN"/>
                    </w:rPr>
                    <w:t>-2</w:t>
                  </w:r>
                </w:p>
              </w:tc>
            </w:tr>
            <w:tr w14:paraId="41B15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ADDF02C">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73419D4D">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535DAD6C">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第二次</w:t>
                  </w:r>
                </w:p>
              </w:tc>
              <w:tc>
                <w:tcPr>
                  <w:tcW w:w="2146" w:type="dxa"/>
                  <w:gridSpan w:val="2"/>
                  <w:tcBorders>
                    <w:tl2br w:val="nil"/>
                    <w:tr2bl w:val="nil"/>
                  </w:tcBorders>
                  <w:vAlign w:val="center"/>
                </w:tcPr>
                <w:p w14:paraId="2B556CAF">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5.79</w:t>
                  </w:r>
                </w:p>
              </w:tc>
              <w:tc>
                <w:tcPr>
                  <w:tcW w:w="2037" w:type="dxa"/>
                  <w:tcBorders>
                    <w:tl2br w:val="nil"/>
                    <w:tr2bl w:val="nil"/>
                  </w:tcBorders>
                  <w:vAlign w:val="center"/>
                </w:tcPr>
                <w:p w14:paraId="03A32F2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1.55×10</w:t>
                  </w:r>
                  <w:r>
                    <w:rPr>
                      <w:rFonts w:hint="eastAsia" w:cs="Times New Roman"/>
                      <w:color w:val="auto"/>
                      <w:sz w:val="21"/>
                      <w:szCs w:val="21"/>
                      <w:highlight w:val="none"/>
                      <w:vertAlign w:val="superscript"/>
                      <w:lang w:val="en-US" w:eastAsia="zh-CN"/>
                    </w:rPr>
                    <w:t>-2</w:t>
                  </w:r>
                </w:p>
              </w:tc>
            </w:tr>
            <w:tr w14:paraId="16C07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10EF0566">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2D8D40DD">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6B9B9581">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第三次</w:t>
                  </w:r>
                </w:p>
              </w:tc>
              <w:tc>
                <w:tcPr>
                  <w:tcW w:w="2146" w:type="dxa"/>
                  <w:gridSpan w:val="2"/>
                  <w:tcBorders>
                    <w:tl2br w:val="nil"/>
                    <w:tr2bl w:val="nil"/>
                  </w:tcBorders>
                  <w:vAlign w:val="center"/>
                </w:tcPr>
                <w:p w14:paraId="7375DA1D">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3.13</w:t>
                  </w:r>
                </w:p>
              </w:tc>
              <w:tc>
                <w:tcPr>
                  <w:tcW w:w="2037" w:type="dxa"/>
                  <w:tcBorders>
                    <w:tl2br w:val="nil"/>
                    <w:tr2bl w:val="nil"/>
                  </w:tcBorders>
                  <w:vAlign w:val="center"/>
                </w:tcPr>
                <w:p w14:paraId="3EC54C4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8.61×10</w:t>
                  </w:r>
                  <w:r>
                    <w:rPr>
                      <w:rFonts w:hint="eastAsia" w:cs="Times New Roman"/>
                      <w:color w:val="auto"/>
                      <w:sz w:val="21"/>
                      <w:szCs w:val="21"/>
                      <w:highlight w:val="none"/>
                      <w:vertAlign w:val="superscript"/>
                      <w:lang w:val="en-US" w:eastAsia="zh-CN"/>
                    </w:rPr>
                    <w:t>-3</w:t>
                  </w:r>
                </w:p>
              </w:tc>
            </w:tr>
            <w:tr w14:paraId="33956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77EFB969">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2D6C2165">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6E692A9D">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均值</w:t>
                  </w:r>
                </w:p>
              </w:tc>
              <w:tc>
                <w:tcPr>
                  <w:tcW w:w="2146" w:type="dxa"/>
                  <w:gridSpan w:val="2"/>
                  <w:tcBorders>
                    <w:tl2br w:val="nil"/>
                    <w:tr2bl w:val="nil"/>
                  </w:tcBorders>
                  <w:vAlign w:val="center"/>
                </w:tcPr>
                <w:p w14:paraId="163B0797">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4.36</w:t>
                  </w:r>
                </w:p>
              </w:tc>
              <w:tc>
                <w:tcPr>
                  <w:tcW w:w="2037" w:type="dxa"/>
                  <w:tcBorders>
                    <w:tl2br w:val="nil"/>
                    <w:tr2bl w:val="nil"/>
                  </w:tcBorders>
                  <w:vAlign w:val="center"/>
                </w:tcPr>
                <w:p w14:paraId="0AB1570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1.15×10</w:t>
                  </w:r>
                  <w:r>
                    <w:rPr>
                      <w:rFonts w:hint="eastAsia" w:cs="Times New Roman"/>
                      <w:color w:val="auto"/>
                      <w:sz w:val="21"/>
                      <w:szCs w:val="21"/>
                      <w:highlight w:val="none"/>
                      <w:vertAlign w:val="superscript"/>
                      <w:lang w:val="en-US" w:eastAsia="zh-CN"/>
                    </w:rPr>
                    <w:t>-2</w:t>
                  </w:r>
                </w:p>
              </w:tc>
            </w:tr>
            <w:tr w14:paraId="50D3F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01C7FD8B">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3CD54E3B">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4AA0605E">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标准限值</w:t>
                  </w:r>
                </w:p>
              </w:tc>
              <w:tc>
                <w:tcPr>
                  <w:tcW w:w="2146" w:type="dxa"/>
                  <w:gridSpan w:val="2"/>
                  <w:tcBorders>
                    <w:tl2br w:val="nil"/>
                    <w:tr2bl w:val="nil"/>
                  </w:tcBorders>
                  <w:vAlign w:val="center"/>
                </w:tcPr>
                <w:p w14:paraId="1A3CFD04">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1</w:t>
                  </w:r>
                  <w:r>
                    <w:rPr>
                      <w:rFonts w:hint="eastAsia" w:ascii="Times New Roman" w:hAnsi="Times New Roman" w:eastAsia="宋体" w:cs="Times New Roman"/>
                      <w:b w:val="0"/>
                      <w:bCs/>
                      <w:color w:val="auto"/>
                      <w:sz w:val="21"/>
                      <w:szCs w:val="21"/>
                      <w:highlight w:val="none"/>
                      <w:lang w:val="en-US" w:eastAsia="zh-CN"/>
                    </w:rPr>
                    <w:t>0</w:t>
                  </w:r>
                </w:p>
              </w:tc>
              <w:tc>
                <w:tcPr>
                  <w:tcW w:w="2037" w:type="dxa"/>
                  <w:tcBorders>
                    <w:tl2br w:val="nil"/>
                    <w:tr2bl w:val="nil"/>
                  </w:tcBorders>
                  <w:vAlign w:val="center"/>
                </w:tcPr>
                <w:p w14:paraId="7CA249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0.18</w:t>
                  </w:r>
                </w:p>
              </w:tc>
            </w:tr>
            <w:tr w14:paraId="21F76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1A88F2DE">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2A78F8FD">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7F4FEB78">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2146" w:type="dxa"/>
                  <w:gridSpan w:val="2"/>
                  <w:tcBorders>
                    <w:tl2br w:val="nil"/>
                    <w:tr2bl w:val="nil"/>
                  </w:tcBorders>
                  <w:vAlign w:val="center"/>
                </w:tcPr>
                <w:p w14:paraId="2BBEA67C">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c>
                <w:tcPr>
                  <w:tcW w:w="2037" w:type="dxa"/>
                  <w:tcBorders>
                    <w:tl2br w:val="nil"/>
                    <w:tr2bl w:val="nil"/>
                  </w:tcBorders>
                  <w:vAlign w:val="center"/>
                </w:tcPr>
                <w:p w14:paraId="1C27CDFC">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5825F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restart"/>
                  <w:tcBorders>
                    <w:tl2br w:val="nil"/>
                    <w:tr2bl w:val="nil"/>
                  </w:tcBorders>
                  <w:vAlign w:val="center"/>
                </w:tcPr>
                <w:p w14:paraId="1B1366D1">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DA004（15m）</w:t>
                  </w:r>
                </w:p>
              </w:tc>
              <w:tc>
                <w:tcPr>
                  <w:tcW w:w="831" w:type="dxa"/>
                  <w:vMerge w:val="restart"/>
                  <w:tcBorders>
                    <w:tl2br w:val="nil"/>
                    <w:tr2bl w:val="nil"/>
                  </w:tcBorders>
                  <w:vAlign w:val="center"/>
                </w:tcPr>
                <w:p w14:paraId="3C0C11A5">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氯化氢</w:t>
                  </w:r>
                </w:p>
              </w:tc>
              <w:tc>
                <w:tcPr>
                  <w:tcW w:w="1497" w:type="dxa"/>
                  <w:tcBorders>
                    <w:tl2br w:val="nil"/>
                    <w:tr2bl w:val="nil"/>
                  </w:tcBorders>
                  <w:vAlign w:val="center"/>
                </w:tcPr>
                <w:p w14:paraId="5ED2FA08">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第一次</w:t>
                  </w:r>
                </w:p>
              </w:tc>
              <w:tc>
                <w:tcPr>
                  <w:tcW w:w="2146" w:type="dxa"/>
                  <w:gridSpan w:val="2"/>
                  <w:tcBorders>
                    <w:tl2br w:val="nil"/>
                    <w:tr2bl w:val="nil"/>
                  </w:tcBorders>
                  <w:vAlign w:val="center"/>
                </w:tcPr>
                <w:p w14:paraId="7B08E884">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4.01</w:t>
                  </w:r>
                </w:p>
              </w:tc>
              <w:tc>
                <w:tcPr>
                  <w:tcW w:w="2037" w:type="dxa"/>
                  <w:tcBorders>
                    <w:tl2br w:val="nil"/>
                    <w:tr2bl w:val="nil"/>
                  </w:tcBorders>
                  <w:vAlign w:val="center"/>
                </w:tcPr>
                <w:p w14:paraId="190A508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9.76×10</w:t>
                  </w:r>
                  <w:r>
                    <w:rPr>
                      <w:rFonts w:hint="eastAsia" w:cs="Times New Roman"/>
                      <w:color w:val="auto"/>
                      <w:sz w:val="21"/>
                      <w:szCs w:val="21"/>
                      <w:highlight w:val="none"/>
                      <w:vertAlign w:val="superscript"/>
                      <w:lang w:val="en-US" w:eastAsia="zh-CN"/>
                    </w:rPr>
                    <w:t>-3</w:t>
                  </w:r>
                </w:p>
              </w:tc>
            </w:tr>
            <w:tr w14:paraId="55BB7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1EFF1C3E">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41168341">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1E43C7A0">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第二次</w:t>
                  </w:r>
                </w:p>
              </w:tc>
              <w:tc>
                <w:tcPr>
                  <w:tcW w:w="2146" w:type="dxa"/>
                  <w:gridSpan w:val="2"/>
                  <w:tcBorders>
                    <w:tl2br w:val="nil"/>
                    <w:tr2bl w:val="nil"/>
                  </w:tcBorders>
                  <w:vAlign w:val="center"/>
                </w:tcPr>
                <w:p w14:paraId="483E1B21">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4.89</w:t>
                  </w:r>
                </w:p>
              </w:tc>
              <w:tc>
                <w:tcPr>
                  <w:tcW w:w="2037" w:type="dxa"/>
                  <w:tcBorders>
                    <w:tl2br w:val="nil"/>
                    <w:tr2bl w:val="nil"/>
                  </w:tcBorders>
                  <w:vAlign w:val="center"/>
                </w:tcPr>
                <w:p w14:paraId="12A8DA7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1.34×10</w:t>
                  </w:r>
                  <w:r>
                    <w:rPr>
                      <w:rFonts w:hint="eastAsia" w:cs="Times New Roman"/>
                      <w:color w:val="auto"/>
                      <w:sz w:val="21"/>
                      <w:szCs w:val="21"/>
                      <w:highlight w:val="none"/>
                      <w:vertAlign w:val="superscript"/>
                      <w:lang w:val="en-US" w:eastAsia="zh-CN"/>
                    </w:rPr>
                    <w:t>-2</w:t>
                  </w:r>
                </w:p>
              </w:tc>
            </w:tr>
            <w:tr w14:paraId="03923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6AEFE1B3">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20BDDAA4">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0D34BAFF">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第三次</w:t>
                  </w:r>
                </w:p>
              </w:tc>
              <w:tc>
                <w:tcPr>
                  <w:tcW w:w="2146" w:type="dxa"/>
                  <w:gridSpan w:val="2"/>
                  <w:tcBorders>
                    <w:tl2br w:val="nil"/>
                    <w:tr2bl w:val="nil"/>
                  </w:tcBorders>
                  <w:vAlign w:val="center"/>
                </w:tcPr>
                <w:p w14:paraId="3E2258F7">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4.59</w:t>
                  </w:r>
                </w:p>
              </w:tc>
              <w:tc>
                <w:tcPr>
                  <w:tcW w:w="2037" w:type="dxa"/>
                  <w:tcBorders>
                    <w:tl2br w:val="nil"/>
                    <w:tr2bl w:val="nil"/>
                  </w:tcBorders>
                  <w:vAlign w:val="center"/>
                </w:tcPr>
                <w:p w14:paraId="445C443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1.24×10</w:t>
                  </w:r>
                  <w:r>
                    <w:rPr>
                      <w:rFonts w:hint="eastAsia" w:cs="Times New Roman"/>
                      <w:color w:val="auto"/>
                      <w:sz w:val="21"/>
                      <w:szCs w:val="21"/>
                      <w:highlight w:val="none"/>
                      <w:vertAlign w:val="superscript"/>
                      <w:lang w:val="en-US" w:eastAsia="zh-CN"/>
                    </w:rPr>
                    <w:t>-2</w:t>
                  </w:r>
                </w:p>
              </w:tc>
            </w:tr>
            <w:tr w14:paraId="1FCCA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71957B54">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171E0358">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76614518">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均值</w:t>
                  </w:r>
                </w:p>
              </w:tc>
              <w:tc>
                <w:tcPr>
                  <w:tcW w:w="2146" w:type="dxa"/>
                  <w:gridSpan w:val="2"/>
                  <w:tcBorders>
                    <w:tl2br w:val="nil"/>
                    <w:tr2bl w:val="nil"/>
                  </w:tcBorders>
                  <w:vAlign w:val="center"/>
                </w:tcPr>
                <w:p w14:paraId="4B8CFB87">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4.50</w:t>
                  </w:r>
                </w:p>
              </w:tc>
              <w:tc>
                <w:tcPr>
                  <w:tcW w:w="2037" w:type="dxa"/>
                  <w:tcBorders>
                    <w:tl2br w:val="nil"/>
                    <w:tr2bl w:val="nil"/>
                  </w:tcBorders>
                  <w:vAlign w:val="center"/>
                </w:tcPr>
                <w:p w14:paraId="698FF8F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1.19×10</w:t>
                  </w:r>
                  <w:r>
                    <w:rPr>
                      <w:rFonts w:hint="eastAsia" w:cs="Times New Roman"/>
                      <w:color w:val="auto"/>
                      <w:sz w:val="21"/>
                      <w:szCs w:val="21"/>
                      <w:highlight w:val="none"/>
                      <w:vertAlign w:val="superscript"/>
                      <w:lang w:val="en-US" w:eastAsia="zh-CN"/>
                    </w:rPr>
                    <w:t>-2</w:t>
                  </w:r>
                </w:p>
              </w:tc>
            </w:tr>
            <w:tr w14:paraId="09D17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55CD9EEF">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6F28D942">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0A63EB89">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标准限值</w:t>
                  </w:r>
                </w:p>
              </w:tc>
              <w:tc>
                <w:tcPr>
                  <w:tcW w:w="2146" w:type="dxa"/>
                  <w:gridSpan w:val="2"/>
                  <w:tcBorders>
                    <w:tl2br w:val="nil"/>
                    <w:tr2bl w:val="nil"/>
                  </w:tcBorders>
                  <w:vAlign w:val="center"/>
                </w:tcPr>
                <w:p w14:paraId="3A68216D">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1</w:t>
                  </w:r>
                  <w:r>
                    <w:rPr>
                      <w:rFonts w:hint="eastAsia" w:ascii="Times New Roman" w:hAnsi="Times New Roman" w:eastAsia="宋体" w:cs="Times New Roman"/>
                      <w:b w:val="0"/>
                      <w:bCs/>
                      <w:color w:val="auto"/>
                      <w:sz w:val="21"/>
                      <w:szCs w:val="21"/>
                      <w:highlight w:val="none"/>
                      <w:lang w:val="en-US" w:eastAsia="zh-CN"/>
                    </w:rPr>
                    <w:t>0</w:t>
                  </w:r>
                </w:p>
              </w:tc>
              <w:tc>
                <w:tcPr>
                  <w:tcW w:w="2037" w:type="dxa"/>
                  <w:tcBorders>
                    <w:tl2br w:val="nil"/>
                    <w:tr2bl w:val="nil"/>
                  </w:tcBorders>
                  <w:vAlign w:val="center"/>
                </w:tcPr>
                <w:p w14:paraId="05BF030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0.18</w:t>
                  </w:r>
                </w:p>
              </w:tc>
            </w:tr>
            <w:tr w14:paraId="0F79C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5A621D60">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5E79F14A">
                  <w:pPr>
                    <w:jc w:val="center"/>
                    <w:rPr>
                      <w:rFonts w:hint="default" w:ascii="Times New Roman" w:hAnsi="Times New Roman" w:eastAsia="宋体" w:cs="Times New Roman"/>
                      <w:b w:val="0"/>
                      <w:bCs/>
                      <w:color w:val="auto"/>
                      <w:sz w:val="21"/>
                      <w:szCs w:val="21"/>
                      <w:highlight w:val="none"/>
                      <w:lang w:val="en-US" w:eastAsia="zh-CN"/>
                    </w:rPr>
                  </w:pPr>
                </w:p>
              </w:tc>
              <w:tc>
                <w:tcPr>
                  <w:tcW w:w="1497" w:type="dxa"/>
                  <w:tcBorders>
                    <w:tl2br w:val="nil"/>
                    <w:tr2bl w:val="nil"/>
                  </w:tcBorders>
                  <w:vAlign w:val="center"/>
                </w:tcPr>
                <w:p w14:paraId="3D2F366E">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2146" w:type="dxa"/>
                  <w:gridSpan w:val="2"/>
                  <w:tcBorders>
                    <w:tl2br w:val="nil"/>
                    <w:tr2bl w:val="nil"/>
                  </w:tcBorders>
                  <w:vAlign w:val="center"/>
                </w:tcPr>
                <w:p w14:paraId="2BC1ED3D">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c>
                <w:tcPr>
                  <w:tcW w:w="2037" w:type="dxa"/>
                  <w:tcBorders>
                    <w:tl2br w:val="nil"/>
                    <w:tr2bl w:val="nil"/>
                  </w:tcBorders>
                  <w:vAlign w:val="center"/>
                </w:tcPr>
                <w:p w14:paraId="701F22EF">
                  <w:pPr>
                    <w:keepNext w:val="0"/>
                    <w:keepLines w:val="0"/>
                    <w:widowControl/>
                    <w:suppressLineNumbers w:val="0"/>
                    <w:jc w:val="center"/>
                    <w:textAlignment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3DFB7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restart"/>
                  <w:tcBorders>
                    <w:tl2br w:val="nil"/>
                    <w:tr2bl w:val="nil"/>
                  </w:tcBorders>
                  <w:vAlign w:val="center"/>
                </w:tcPr>
                <w:p w14:paraId="7155AB9A">
                  <w:p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检测</w:t>
                  </w:r>
                  <w:r>
                    <w:rPr>
                      <w:rFonts w:hint="default" w:ascii="Times New Roman" w:hAnsi="Times New Roman" w:cs="Times New Roman"/>
                      <w:b w:val="0"/>
                      <w:bCs/>
                      <w:color w:val="auto"/>
                      <w:sz w:val="21"/>
                      <w:szCs w:val="21"/>
                      <w:highlight w:val="none"/>
                    </w:rPr>
                    <w:t>点位</w:t>
                  </w:r>
                </w:p>
              </w:tc>
              <w:tc>
                <w:tcPr>
                  <w:tcW w:w="831" w:type="dxa"/>
                  <w:vMerge w:val="restart"/>
                  <w:tcBorders>
                    <w:tl2br w:val="nil"/>
                    <w:tr2bl w:val="nil"/>
                  </w:tcBorders>
                  <w:vAlign w:val="center"/>
                </w:tcPr>
                <w:p w14:paraId="70EECC16">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检测</w:t>
                  </w:r>
                  <w:r>
                    <w:rPr>
                      <w:rFonts w:hint="default" w:ascii="Times New Roman" w:hAnsi="Times New Roman" w:cs="Times New Roman"/>
                      <w:b w:val="0"/>
                      <w:bCs/>
                      <w:color w:val="auto"/>
                      <w:sz w:val="21"/>
                      <w:szCs w:val="21"/>
                      <w:highlight w:val="none"/>
                    </w:rPr>
                    <w:t>项目</w:t>
                  </w:r>
                </w:p>
              </w:tc>
              <w:tc>
                <w:tcPr>
                  <w:tcW w:w="1497" w:type="dxa"/>
                  <w:vMerge w:val="restart"/>
                  <w:tcBorders>
                    <w:tl2br w:val="nil"/>
                    <w:tr2bl w:val="nil"/>
                  </w:tcBorders>
                  <w:vAlign w:val="center"/>
                </w:tcPr>
                <w:p w14:paraId="7D0C2F52">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检测</w:t>
                  </w:r>
                  <w:r>
                    <w:rPr>
                      <w:rFonts w:hint="default" w:ascii="Times New Roman" w:hAnsi="Times New Roman" w:cs="Times New Roman"/>
                      <w:b w:val="0"/>
                      <w:bCs/>
                      <w:color w:val="auto"/>
                      <w:sz w:val="21"/>
                      <w:szCs w:val="21"/>
                      <w:highlight w:val="none"/>
                    </w:rPr>
                    <w:t>频次</w:t>
                  </w:r>
                </w:p>
              </w:tc>
              <w:tc>
                <w:tcPr>
                  <w:tcW w:w="4183" w:type="dxa"/>
                  <w:gridSpan w:val="3"/>
                  <w:tcBorders>
                    <w:tl2br w:val="nil"/>
                    <w:tr2bl w:val="nil"/>
                  </w:tcBorders>
                  <w:vAlign w:val="center"/>
                </w:tcPr>
                <w:p w14:paraId="1B258938">
                  <w:pPr>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监</w:t>
                  </w:r>
                  <w:r>
                    <w:rPr>
                      <w:rFonts w:hint="default" w:ascii="Times New Roman" w:hAnsi="Times New Roman" w:eastAsia="宋体" w:cs="Times New Roman"/>
                      <w:b w:val="0"/>
                      <w:bCs/>
                      <w:color w:val="auto"/>
                      <w:sz w:val="21"/>
                      <w:szCs w:val="21"/>
                      <w:highlight w:val="none"/>
                      <w:lang w:val="en-US" w:eastAsia="zh-CN"/>
                    </w:rPr>
                    <w:t>测结果</w:t>
                  </w:r>
                </w:p>
              </w:tc>
            </w:tr>
            <w:tr w14:paraId="1E15E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6F4661A6">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584BF098">
                  <w:pPr>
                    <w:jc w:val="center"/>
                    <w:rPr>
                      <w:rFonts w:hint="default" w:ascii="Times New Roman" w:hAnsi="Times New Roman" w:eastAsia="宋体" w:cs="Times New Roman"/>
                      <w:b w:val="0"/>
                      <w:bCs/>
                      <w:color w:val="auto"/>
                      <w:sz w:val="21"/>
                      <w:szCs w:val="21"/>
                      <w:highlight w:val="none"/>
                      <w:lang w:val="en-US" w:eastAsia="zh-CN"/>
                    </w:rPr>
                  </w:pPr>
                </w:p>
              </w:tc>
              <w:tc>
                <w:tcPr>
                  <w:tcW w:w="1497" w:type="dxa"/>
                  <w:vMerge w:val="continue"/>
                  <w:tcBorders>
                    <w:tl2br w:val="nil"/>
                    <w:tr2bl w:val="nil"/>
                  </w:tcBorders>
                  <w:vAlign w:val="center"/>
                </w:tcPr>
                <w:p w14:paraId="29C6CB14">
                  <w:pPr>
                    <w:jc w:val="center"/>
                    <w:rPr>
                      <w:rFonts w:hint="eastAsia" w:ascii="Times New Roman" w:hAnsi="Times New Roman" w:eastAsia="宋体" w:cs="Times New Roman"/>
                      <w:b w:val="0"/>
                      <w:bCs/>
                      <w:color w:val="auto"/>
                      <w:kern w:val="2"/>
                      <w:sz w:val="21"/>
                      <w:szCs w:val="21"/>
                      <w:highlight w:val="none"/>
                      <w:lang w:val="en-US" w:eastAsia="zh-CN" w:bidi="ar-SA"/>
                    </w:rPr>
                  </w:pPr>
                </w:p>
              </w:tc>
              <w:tc>
                <w:tcPr>
                  <w:tcW w:w="4183" w:type="dxa"/>
                  <w:gridSpan w:val="3"/>
                  <w:tcBorders>
                    <w:tl2br w:val="nil"/>
                    <w:tr2bl w:val="nil"/>
                  </w:tcBorders>
                  <w:vAlign w:val="center"/>
                </w:tcPr>
                <w:p w14:paraId="0AF3F804">
                  <w:pPr>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202</w:t>
                  </w:r>
                  <w:r>
                    <w:rPr>
                      <w:rFonts w:hint="eastAsia" w:cs="Times New Roman"/>
                      <w:b w:val="0"/>
                      <w:bCs/>
                      <w:color w:val="auto"/>
                      <w:sz w:val="21"/>
                      <w:szCs w:val="21"/>
                      <w:highlight w:val="none"/>
                      <w:lang w:val="en-US" w:eastAsia="zh-CN"/>
                    </w:rPr>
                    <w:t>3.4.14</w:t>
                  </w:r>
                </w:p>
              </w:tc>
            </w:tr>
            <w:tr w14:paraId="132AC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2AA7358">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567E9E7A">
                  <w:pPr>
                    <w:jc w:val="center"/>
                    <w:rPr>
                      <w:rFonts w:hint="default" w:ascii="Times New Roman" w:hAnsi="Times New Roman" w:eastAsia="宋体" w:cs="Times New Roman"/>
                      <w:b w:val="0"/>
                      <w:bCs/>
                      <w:color w:val="auto"/>
                      <w:sz w:val="21"/>
                      <w:szCs w:val="21"/>
                      <w:highlight w:val="none"/>
                      <w:lang w:val="en-US" w:eastAsia="zh-CN"/>
                    </w:rPr>
                  </w:pPr>
                </w:p>
              </w:tc>
              <w:tc>
                <w:tcPr>
                  <w:tcW w:w="1497" w:type="dxa"/>
                  <w:vMerge w:val="continue"/>
                  <w:tcBorders>
                    <w:tl2br w:val="nil"/>
                    <w:tr2bl w:val="nil"/>
                  </w:tcBorders>
                  <w:vAlign w:val="center"/>
                </w:tcPr>
                <w:p w14:paraId="0BA6BD65">
                  <w:pPr>
                    <w:jc w:val="center"/>
                    <w:rPr>
                      <w:rFonts w:hint="eastAsia" w:ascii="Times New Roman" w:hAnsi="Times New Roman" w:eastAsia="宋体" w:cs="Times New Roman"/>
                      <w:b w:val="0"/>
                      <w:bCs/>
                      <w:color w:val="auto"/>
                      <w:kern w:val="2"/>
                      <w:sz w:val="21"/>
                      <w:szCs w:val="21"/>
                      <w:highlight w:val="none"/>
                      <w:lang w:val="en-US" w:eastAsia="zh-CN" w:bidi="ar-SA"/>
                    </w:rPr>
                  </w:pPr>
                </w:p>
              </w:tc>
              <w:tc>
                <w:tcPr>
                  <w:tcW w:w="2146" w:type="dxa"/>
                  <w:gridSpan w:val="2"/>
                  <w:tcBorders>
                    <w:tl2br w:val="nil"/>
                    <w:tr2bl w:val="nil"/>
                  </w:tcBorders>
                  <w:vAlign w:val="center"/>
                </w:tcPr>
                <w:p w14:paraId="1EAF58EA">
                  <w:pPr>
                    <w:spacing w:line="280" w:lineRule="exact"/>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排放浓度</w:t>
                  </w:r>
                  <w:r>
                    <w:rPr>
                      <w:rFonts w:hint="default" w:ascii="Times New Roman" w:hAnsi="Times New Roman" w:cs="Times New Roman"/>
                      <w:b w:val="0"/>
                      <w:bCs/>
                      <w:color w:val="auto"/>
                      <w:spacing w:val="-20"/>
                      <w:sz w:val="21"/>
                      <w:szCs w:val="21"/>
                      <w:highlight w:val="none"/>
                    </w:rPr>
                    <w:t>（mg/</w:t>
                  </w:r>
                  <w:r>
                    <w:rPr>
                      <w:rFonts w:hint="default" w:ascii="Times New Roman" w:hAnsi="Times New Roman" w:cs="Times New Roman"/>
                      <w:b w:val="0"/>
                      <w:bCs/>
                      <w:color w:val="auto"/>
                      <w:sz w:val="21"/>
                      <w:szCs w:val="21"/>
                      <w:highlight w:val="none"/>
                    </w:rPr>
                    <w:t>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pacing w:val="-20"/>
                      <w:sz w:val="21"/>
                      <w:szCs w:val="21"/>
                      <w:highlight w:val="none"/>
                    </w:rPr>
                    <w:t>）</w:t>
                  </w:r>
                </w:p>
              </w:tc>
              <w:tc>
                <w:tcPr>
                  <w:tcW w:w="2037" w:type="dxa"/>
                  <w:tcBorders>
                    <w:tl2br w:val="nil"/>
                    <w:tr2bl w:val="nil"/>
                  </w:tcBorders>
                  <w:vAlign w:val="center"/>
                </w:tcPr>
                <w:p w14:paraId="21F2025E">
                  <w:pPr>
                    <w:spacing w:line="280" w:lineRule="exact"/>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排放速率</w:t>
                  </w:r>
                  <w:r>
                    <w:rPr>
                      <w:rFonts w:hint="default" w:ascii="Times New Roman" w:hAnsi="Times New Roman" w:cs="Times New Roman"/>
                      <w:b w:val="0"/>
                      <w:bCs/>
                      <w:color w:val="auto"/>
                      <w:spacing w:val="-20"/>
                      <w:sz w:val="21"/>
                      <w:szCs w:val="21"/>
                      <w:highlight w:val="none"/>
                    </w:rPr>
                    <w:t>（kg/h）</w:t>
                  </w:r>
                </w:p>
              </w:tc>
            </w:tr>
            <w:tr w14:paraId="2257C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restart"/>
                  <w:tcBorders>
                    <w:tl2br w:val="nil"/>
                    <w:tr2bl w:val="nil"/>
                  </w:tcBorders>
                  <w:vAlign w:val="center"/>
                </w:tcPr>
                <w:p w14:paraId="0B9F79E6">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kern w:val="2"/>
                      <w:sz w:val="21"/>
                      <w:szCs w:val="21"/>
                      <w:highlight w:val="none"/>
                      <w:lang w:val="en-US" w:eastAsia="zh-CN" w:bidi="ar-SA"/>
                    </w:rPr>
                    <w:t>DA002（15m）</w:t>
                  </w:r>
                </w:p>
              </w:tc>
              <w:tc>
                <w:tcPr>
                  <w:tcW w:w="831" w:type="dxa"/>
                  <w:vMerge w:val="restart"/>
                  <w:tcBorders>
                    <w:tl2br w:val="nil"/>
                    <w:tr2bl w:val="nil"/>
                  </w:tcBorders>
                  <w:vAlign w:val="center"/>
                </w:tcPr>
                <w:p w14:paraId="72B27B4D">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挥发性有机物</w:t>
                  </w:r>
                </w:p>
              </w:tc>
              <w:tc>
                <w:tcPr>
                  <w:tcW w:w="1497" w:type="dxa"/>
                  <w:tcBorders>
                    <w:tl2br w:val="nil"/>
                    <w:tr2bl w:val="nil"/>
                  </w:tcBorders>
                  <w:vAlign w:val="center"/>
                </w:tcPr>
                <w:p w14:paraId="21864AF1">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第一次</w:t>
                  </w:r>
                </w:p>
              </w:tc>
              <w:tc>
                <w:tcPr>
                  <w:tcW w:w="2146" w:type="dxa"/>
                  <w:gridSpan w:val="2"/>
                  <w:tcBorders>
                    <w:tl2br w:val="nil"/>
                    <w:tr2bl w:val="nil"/>
                  </w:tcBorders>
                  <w:vAlign w:val="center"/>
                </w:tcPr>
                <w:p w14:paraId="3A2AD0DC">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2.71</w:t>
                  </w:r>
                </w:p>
              </w:tc>
              <w:tc>
                <w:tcPr>
                  <w:tcW w:w="2037" w:type="dxa"/>
                  <w:tcBorders>
                    <w:tl2br w:val="nil"/>
                    <w:tr2bl w:val="nil"/>
                  </w:tcBorders>
                  <w:vAlign w:val="center"/>
                </w:tcPr>
                <w:p w14:paraId="1AC0CC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1.55×10</w:t>
                  </w:r>
                  <w:r>
                    <w:rPr>
                      <w:rFonts w:hint="eastAsia" w:cs="Times New Roman"/>
                      <w:color w:val="auto"/>
                      <w:sz w:val="21"/>
                      <w:szCs w:val="21"/>
                      <w:highlight w:val="none"/>
                      <w:vertAlign w:val="superscript"/>
                      <w:lang w:val="en-US" w:eastAsia="zh-CN"/>
                    </w:rPr>
                    <w:t>-2</w:t>
                  </w:r>
                </w:p>
              </w:tc>
            </w:tr>
            <w:tr w14:paraId="51E25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5D48BD2">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7183775E">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40D3E57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第二次</w:t>
                  </w:r>
                </w:p>
              </w:tc>
              <w:tc>
                <w:tcPr>
                  <w:tcW w:w="2146" w:type="dxa"/>
                  <w:gridSpan w:val="2"/>
                  <w:tcBorders>
                    <w:tl2br w:val="nil"/>
                    <w:tr2bl w:val="nil"/>
                  </w:tcBorders>
                  <w:vAlign w:val="center"/>
                </w:tcPr>
                <w:p w14:paraId="664C467C">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1.26</w:t>
                  </w:r>
                </w:p>
              </w:tc>
              <w:tc>
                <w:tcPr>
                  <w:tcW w:w="2037" w:type="dxa"/>
                  <w:tcBorders>
                    <w:tl2br w:val="nil"/>
                    <w:tr2bl w:val="nil"/>
                  </w:tcBorders>
                  <w:vAlign w:val="center"/>
                </w:tcPr>
                <w:p w14:paraId="00ACCFF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7.48×10</w:t>
                  </w:r>
                  <w:r>
                    <w:rPr>
                      <w:rFonts w:hint="eastAsia" w:cs="Times New Roman"/>
                      <w:color w:val="auto"/>
                      <w:sz w:val="21"/>
                      <w:szCs w:val="21"/>
                      <w:highlight w:val="none"/>
                      <w:vertAlign w:val="superscript"/>
                      <w:lang w:val="en-US" w:eastAsia="zh-CN"/>
                    </w:rPr>
                    <w:t>-3</w:t>
                  </w:r>
                </w:p>
              </w:tc>
            </w:tr>
            <w:tr w14:paraId="7F364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4809FC8F">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1E80872C">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5C30188A">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第三次</w:t>
                  </w:r>
                </w:p>
              </w:tc>
              <w:tc>
                <w:tcPr>
                  <w:tcW w:w="2146" w:type="dxa"/>
                  <w:gridSpan w:val="2"/>
                  <w:tcBorders>
                    <w:tl2br w:val="nil"/>
                    <w:tr2bl w:val="nil"/>
                  </w:tcBorders>
                  <w:vAlign w:val="center"/>
                </w:tcPr>
                <w:p w14:paraId="07E885A9">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0.822</w:t>
                  </w:r>
                </w:p>
              </w:tc>
              <w:tc>
                <w:tcPr>
                  <w:tcW w:w="2037" w:type="dxa"/>
                  <w:tcBorders>
                    <w:tl2br w:val="nil"/>
                    <w:tr2bl w:val="nil"/>
                  </w:tcBorders>
                  <w:vAlign w:val="center"/>
                </w:tcPr>
                <w:p w14:paraId="0B3BA8F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4.93×10</w:t>
                  </w:r>
                  <w:r>
                    <w:rPr>
                      <w:rFonts w:hint="eastAsia" w:cs="Times New Roman"/>
                      <w:color w:val="auto"/>
                      <w:sz w:val="21"/>
                      <w:szCs w:val="21"/>
                      <w:highlight w:val="none"/>
                      <w:vertAlign w:val="superscript"/>
                      <w:lang w:val="en-US" w:eastAsia="zh-CN"/>
                    </w:rPr>
                    <w:t>-3</w:t>
                  </w:r>
                </w:p>
              </w:tc>
            </w:tr>
            <w:tr w14:paraId="6D9A5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6176CEA9">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1109D625">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3577F01F">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均值</w:t>
                  </w:r>
                </w:p>
              </w:tc>
              <w:tc>
                <w:tcPr>
                  <w:tcW w:w="2146" w:type="dxa"/>
                  <w:gridSpan w:val="2"/>
                  <w:tcBorders>
                    <w:tl2br w:val="nil"/>
                    <w:tr2bl w:val="nil"/>
                  </w:tcBorders>
                  <w:vAlign w:val="center"/>
                </w:tcPr>
                <w:p w14:paraId="064874D6">
                  <w:pPr>
                    <w:widowControl/>
                    <w:snapToGrid w:val="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1.597</w:t>
                  </w:r>
                </w:p>
              </w:tc>
              <w:tc>
                <w:tcPr>
                  <w:tcW w:w="2037" w:type="dxa"/>
                  <w:tcBorders>
                    <w:tl2br w:val="nil"/>
                    <w:tr2bl w:val="nil"/>
                  </w:tcBorders>
                  <w:vAlign w:val="center"/>
                </w:tcPr>
                <w:p w14:paraId="2CF07A73">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9.30×10</w:t>
                  </w:r>
                  <w:r>
                    <w:rPr>
                      <w:rFonts w:hint="eastAsia" w:cs="Times New Roman"/>
                      <w:color w:val="auto"/>
                      <w:sz w:val="21"/>
                      <w:szCs w:val="21"/>
                      <w:highlight w:val="none"/>
                      <w:vertAlign w:val="superscript"/>
                      <w:lang w:val="en-US" w:eastAsia="zh-CN"/>
                    </w:rPr>
                    <w:t>-3</w:t>
                  </w:r>
                </w:p>
              </w:tc>
            </w:tr>
            <w:tr w14:paraId="62FC6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55528797">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546AA945">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71E05F26">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标准限值</w:t>
                  </w:r>
                </w:p>
              </w:tc>
              <w:tc>
                <w:tcPr>
                  <w:tcW w:w="2146" w:type="dxa"/>
                  <w:gridSpan w:val="2"/>
                  <w:tcBorders>
                    <w:tl2br w:val="nil"/>
                    <w:tr2bl w:val="nil"/>
                  </w:tcBorders>
                  <w:vAlign w:val="center"/>
                </w:tcPr>
                <w:p w14:paraId="4100F6D8">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6</w:t>
                  </w:r>
                  <w:r>
                    <w:rPr>
                      <w:rFonts w:hint="eastAsia" w:ascii="Times New Roman" w:hAnsi="Times New Roman" w:eastAsia="宋体" w:cs="Times New Roman"/>
                      <w:b w:val="0"/>
                      <w:bCs/>
                      <w:color w:val="auto"/>
                      <w:sz w:val="21"/>
                      <w:szCs w:val="21"/>
                      <w:highlight w:val="none"/>
                      <w:lang w:val="en-US" w:eastAsia="zh-CN"/>
                    </w:rPr>
                    <w:t>0</w:t>
                  </w:r>
                </w:p>
              </w:tc>
              <w:tc>
                <w:tcPr>
                  <w:tcW w:w="2037" w:type="dxa"/>
                  <w:tcBorders>
                    <w:tl2br w:val="nil"/>
                    <w:tr2bl w:val="nil"/>
                  </w:tcBorders>
                  <w:vAlign w:val="center"/>
                </w:tcPr>
                <w:p w14:paraId="0BC3553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3.0</w:t>
                  </w:r>
                </w:p>
              </w:tc>
            </w:tr>
            <w:tr w14:paraId="144A3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6825A6A9">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613C890E">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49EDDE8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2146" w:type="dxa"/>
                  <w:gridSpan w:val="2"/>
                  <w:tcBorders>
                    <w:tl2br w:val="nil"/>
                    <w:tr2bl w:val="nil"/>
                  </w:tcBorders>
                  <w:vAlign w:val="center"/>
                </w:tcPr>
                <w:p w14:paraId="3DE0AFCC">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c>
                <w:tcPr>
                  <w:tcW w:w="2037" w:type="dxa"/>
                  <w:tcBorders>
                    <w:tl2br w:val="nil"/>
                    <w:tr2bl w:val="nil"/>
                  </w:tcBorders>
                  <w:vAlign w:val="center"/>
                </w:tcPr>
                <w:p w14:paraId="1C0365A1">
                  <w:pPr>
                    <w:keepNext w:val="0"/>
                    <w:keepLines w:val="0"/>
                    <w:widowControl/>
                    <w:suppressLineNumbers w:val="0"/>
                    <w:jc w:val="center"/>
                    <w:textAlignment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4BD4A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45FA6601">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restart"/>
                  <w:tcBorders>
                    <w:tl2br w:val="nil"/>
                    <w:tr2bl w:val="nil"/>
                  </w:tcBorders>
                  <w:vAlign w:val="center"/>
                </w:tcPr>
                <w:p w14:paraId="5FBE0BE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检测</w:t>
                  </w:r>
                  <w:r>
                    <w:rPr>
                      <w:rFonts w:hint="default" w:ascii="Times New Roman" w:hAnsi="Times New Roman" w:cs="Times New Roman"/>
                      <w:b w:val="0"/>
                      <w:bCs/>
                      <w:color w:val="auto"/>
                      <w:sz w:val="21"/>
                      <w:szCs w:val="21"/>
                      <w:highlight w:val="none"/>
                    </w:rPr>
                    <w:t>项目</w:t>
                  </w:r>
                </w:p>
              </w:tc>
              <w:tc>
                <w:tcPr>
                  <w:tcW w:w="1497" w:type="dxa"/>
                  <w:vMerge w:val="restart"/>
                  <w:tcBorders>
                    <w:tl2br w:val="nil"/>
                    <w:tr2bl w:val="nil"/>
                  </w:tcBorders>
                  <w:vAlign w:val="center"/>
                </w:tcPr>
                <w:p w14:paraId="590B3521">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检测</w:t>
                  </w:r>
                  <w:r>
                    <w:rPr>
                      <w:rFonts w:hint="default" w:ascii="Times New Roman" w:hAnsi="Times New Roman" w:cs="Times New Roman"/>
                      <w:b w:val="0"/>
                      <w:bCs/>
                      <w:color w:val="auto"/>
                      <w:sz w:val="21"/>
                      <w:szCs w:val="21"/>
                      <w:highlight w:val="none"/>
                    </w:rPr>
                    <w:t>频次</w:t>
                  </w:r>
                </w:p>
              </w:tc>
              <w:tc>
                <w:tcPr>
                  <w:tcW w:w="2146" w:type="dxa"/>
                  <w:gridSpan w:val="2"/>
                  <w:tcBorders>
                    <w:tl2br w:val="nil"/>
                    <w:tr2bl w:val="nil"/>
                  </w:tcBorders>
                  <w:vAlign w:val="center"/>
                </w:tcPr>
                <w:p w14:paraId="03CB2F02">
                  <w:pPr>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排放浓度</w:t>
                  </w:r>
                  <w:r>
                    <w:rPr>
                      <w:rFonts w:hint="default" w:ascii="Times New Roman" w:hAnsi="Times New Roman" w:cs="Times New Roman"/>
                      <w:b w:val="0"/>
                      <w:bCs/>
                      <w:color w:val="auto"/>
                      <w:spacing w:val="-20"/>
                      <w:sz w:val="21"/>
                      <w:szCs w:val="21"/>
                      <w:highlight w:val="none"/>
                    </w:rPr>
                    <w:t>（mg/</w:t>
                  </w:r>
                  <w:r>
                    <w:rPr>
                      <w:rFonts w:hint="default" w:ascii="Times New Roman" w:hAnsi="Times New Roman" w:cs="Times New Roman"/>
                      <w:b w:val="0"/>
                      <w:bCs/>
                      <w:color w:val="auto"/>
                      <w:sz w:val="21"/>
                      <w:szCs w:val="21"/>
                      <w:highlight w:val="none"/>
                    </w:rPr>
                    <w:t>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pacing w:val="-20"/>
                      <w:sz w:val="21"/>
                      <w:szCs w:val="21"/>
                      <w:highlight w:val="none"/>
                    </w:rPr>
                    <w:t>）</w:t>
                  </w:r>
                </w:p>
              </w:tc>
              <w:tc>
                <w:tcPr>
                  <w:tcW w:w="2037" w:type="dxa"/>
                  <w:vMerge w:val="restart"/>
                  <w:tcBorders>
                    <w:tl2br w:val="nil"/>
                    <w:tr2bl w:val="nil"/>
                  </w:tcBorders>
                  <w:vAlign w:val="center"/>
                </w:tcPr>
                <w:p w14:paraId="46F4595E">
                  <w:pPr>
                    <w:keepNext w:val="0"/>
                    <w:keepLines w:val="0"/>
                    <w:widowControl/>
                    <w:suppressLineNumbers w:val="0"/>
                    <w:jc w:val="center"/>
                    <w:textAlignment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排放速率</w:t>
                  </w:r>
                  <w:r>
                    <w:rPr>
                      <w:rFonts w:hint="default" w:ascii="Times New Roman" w:hAnsi="Times New Roman" w:cs="Times New Roman"/>
                      <w:b w:val="0"/>
                      <w:bCs/>
                      <w:color w:val="auto"/>
                      <w:spacing w:val="-20"/>
                      <w:sz w:val="21"/>
                      <w:szCs w:val="21"/>
                      <w:highlight w:val="none"/>
                    </w:rPr>
                    <w:t>（kg/h）</w:t>
                  </w:r>
                </w:p>
              </w:tc>
            </w:tr>
            <w:tr w14:paraId="25898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11" w:type="dxa"/>
                  <w:vMerge w:val="continue"/>
                  <w:tcBorders>
                    <w:tl2br w:val="nil"/>
                    <w:tr2bl w:val="nil"/>
                  </w:tcBorders>
                  <w:vAlign w:val="center"/>
                </w:tcPr>
                <w:p w14:paraId="4BA828C6">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0B4EC228">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vMerge w:val="continue"/>
                  <w:tcBorders>
                    <w:tl2br w:val="nil"/>
                    <w:tr2bl w:val="nil"/>
                  </w:tcBorders>
                  <w:vAlign w:val="center"/>
                </w:tcPr>
                <w:p w14:paraId="5DD823D9">
                  <w:pPr>
                    <w:jc w:val="center"/>
                    <w:rPr>
                      <w:rFonts w:hint="eastAsia" w:ascii="Times New Roman" w:hAnsi="Times New Roman" w:eastAsia="宋体" w:cs="Times New Roman"/>
                      <w:b w:val="0"/>
                      <w:bCs/>
                      <w:color w:val="auto"/>
                      <w:kern w:val="2"/>
                      <w:sz w:val="21"/>
                      <w:szCs w:val="21"/>
                      <w:highlight w:val="none"/>
                      <w:lang w:val="en-US" w:eastAsia="zh-CN" w:bidi="ar-SA"/>
                    </w:rPr>
                  </w:pPr>
                </w:p>
              </w:tc>
              <w:tc>
                <w:tcPr>
                  <w:tcW w:w="1156" w:type="dxa"/>
                  <w:tcBorders>
                    <w:tl2br w:val="nil"/>
                    <w:tr2bl w:val="nil"/>
                  </w:tcBorders>
                  <w:vAlign w:val="center"/>
                </w:tcPr>
                <w:p w14:paraId="22C5A338">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折算浓度</w:t>
                  </w:r>
                </w:p>
              </w:tc>
              <w:tc>
                <w:tcPr>
                  <w:tcW w:w="990" w:type="dxa"/>
                  <w:tcBorders>
                    <w:tl2br w:val="nil"/>
                    <w:tr2bl w:val="nil"/>
                  </w:tcBorders>
                  <w:vAlign w:val="center"/>
                </w:tcPr>
                <w:p w14:paraId="0705E5C4">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实测浓度</w:t>
                  </w:r>
                </w:p>
              </w:tc>
              <w:tc>
                <w:tcPr>
                  <w:tcW w:w="2037" w:type="dxa"/>
                  <w:vMerge w:val="continue"/>
                  <w:tcBorders>
                    <w:tl2br w:val="nil"/>
                    <w:tr2bl w:val="nil"/>
                  </w:tcBorders>
                  <w:vAlign w:val="center"/>
                </w:tcPr>
                <w:p w14:paraId="10C43530">
                  <w:pPr>
                    <w:keepNext w:val="0"/>
                    <w:keepLines w:val="0"/>
                    <w:widowControl/>
                    <w:suppressLineNumbers w:val="0"/>
                    <w:jc w:val="center"/>
                    <w:textAlignment w:val="center"/>
                    <w:rPr>
                      <w:rFonts w:hint="eastAsia" w:ascii="Times New Roman" w:hAnsi="Times New Roman" w:eastAsia="宋体" w:cs="Times New Roman"/>
                      <w:b w:val="0"/>
                      <w:bCs/>
                      <w:color w:val="auto"/>
                      <w:sz w:val="21"/>
                      <w:szCs w:val="21"/>
                      <w:highlight w:val="none"/>
                      <w:lang w:val="en-US" w:eastAsia="zh-CN"/>
                    </w:rPr>
                  </w:pPr>
                </w:p>
              </w:tc>
            </w:tr>
            <w:tr w14:paraId="799F1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FA50B94">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restart"/>
                  <w:tcBorders>
                    <w:tl2br w:val="nil"/>
                    <w:tr2bl w:val="nil"/>
                  </w:tcBorders>
                  <w:vAlign w:val="center"/>
                </w:tcPr>
                <w:p w14:paraId="0FF71ABD">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颗粒物</w:t>
                  </w:r>
                </w:p>
              </w:tc>
              <w:tc>
                <w:tcPr>
                  <w:tcW w:w="1497" w:type="dxa"/>
                  <w:tcBorders>
                    <w:tl2br w:val="nil"/>
                    <w:tr2bl w:val="nil"/>
                  </w:tcBorders>
                  <w:vAlign w:val="center"/>
                </w:tcPr>
                <w:p w14:paraId="77266DD0">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第一次</w:t>
                  </w:r>
                </w:p>
              </w:tc>
              <w:tc>
                <w:tcPr>
                  <w:tcW w:w="1156" w:type="dxa"/>
                  <w:tcBorders>
                    <w:tl2br w:val="nil"/>
                    <w:tr2bl w:val="nil"/>
                  </w:tcBorders>
                  <w:vAlign w:val="center"/>
                </w:tcPr>
                <w:p w14:paraId="0A1AEB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990" w:type="dxa"/>
                  <w:tcBorders>
                    <w:tl2br w:val="nil"/>
                    <w:tr2bl w:val="nil"/>
                  </w:tcBorders>
                  <w:vAlign w:val="center"/>
                </w:tcPr>
                <w:p w14:paraId="59E7850D">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1.9</w:t>
                  </w:r>
                </w:p>
              </w:tc>
              <w:tc>
                <w:tcPr>
                  <w:tcW w:w="2037" w:type="dxa"/>
                  <w:tcBorders>
                    <w:tl2br w:val="nil"/>
                    <w:tr2bl w:val="nil"/>
                  </w:tcBorders>
                  <w:vAlign w:val="center"/>
                </w:tcPr>
                <w:p w14:paraId="062B98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1.09</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ascii="Times New Roman" w:hAnsi="Times New Roman" w:cs="Times New Roman"/>
                      <w:color w:val="auto"/>
                      <w:sz w:val="21"/>
                      <w:szCs w:val="21"/>
                      <w:highlight w:val="none"/>
                      <w:vertAlign w:val="superscript"/>
                      <w:lang w:val="en-US" w:eastAsia="zh-CN"/>
                    </w:rPr>
                    <w:t>2</w:t>
                  </w:r>
                </w:p>
              </w:tc>
            </w:tr>
            <w:tr w14:paraId="15C4F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192C273">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775D80FF">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099724B4">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第二次</w:t>
                  </w:r>
                </w:p>
              </w:tc>
              <w:tc>
                <w:tcPr>
                  <w:tcW w:w="1156" w:type="dxa"/>
                  <w:tcBorders>
                    <w:tl2br w:val="nil"/>
                    <w:tr2bl w:val="nil"/>
                  </w:tcBorders>
                  <w:vAlign w:val="center"/>
                </w:tcPr>
                <w:p w14:paraId="7E1CF95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8.7</w:t>
                  </w:r>
                </w:p>
              </w:tc>
              <w:tc>
                <w:tcPr>
                  <w:tcW w:w="990" w:type="dxa"/>
                  <w:tcBorders>
                    <w:tl2br w:val="nil"/>
                    <w:tr2bl w:val="nil"/>
                  </w:tcBorders>
                  <w:vAlign w:val="center"/>
                </w:tcPr>
                <w:p w14:paraId="4B4114F0">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1.6</w:t>
                  </w:r>
                </w:p>
              </w:tc>
              <w:tc>
                <w:tcPr>
                  <w:tcW w:w="2037" w:type="dxa"/>
                  <w:tcBorders>
                    <w:tl2br w:val="nil"/>
                    <w:tr2bl w:val="nil"/>
                  </w:tcBorders>
                  <w:vAlign w:val="center"/>
                </w:tcPr>
                <w:p w14:paraId="300EF59D">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9.50</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3</w:t>
                  </w:r>
                </w:p>
              </w:tc>
            </w:tr>
            <w:tr w14:paraId="4C56E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46389EF6">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5F5F8BBD">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068EDBB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第三次</w:t>
                  </w:r>
                </w:p>
              </w:tc>
              <w:tc>
                <w:tcPr>
                  <w:tcW w:w="1156" w:type="dxa"/>
                  <w:tcBorders>
                    <w:tl2br w:val="nil"/>
                    <w:tr2bl w:val="nil"/>
                  </w:tcBorders>
                  <w:vAlign w:val="center"/>
                </w:tcPr>
                <w:p w14:paraId="26D223E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90" w:type="dxa"/>
                  <w:tcBorders>
                    <w:tl2br w:val="nil"/>
                    <w:tr2bl w:val="nil"/>
                  </w:tcBorders>
                  <w:vAlign w:val="center"/>
                </w:tcPr>
                <w:p w14:paraId="468C8DA1">
                  <w:pPr>
                    <w:widowControl/>
                    <w:snapToGrid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c>
                <w:tcPr>
                  <w:tcW w:w="2037" w:type="dxa"/>
                  <w:tcBorders>
                    <w:tl2br w:val="nil"/>
                    <w:tr2bl w:val="nil"/>
                  </w:tcBorders>
                  <w:vAlign w:val="center"/>
                </w:tcPr>
                <w:p w14:paraId="404876A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8.99</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3</w:t>
                  </w:r>
                </w:p>
              </w:tc>
            </w:tr>
            <w:tr w14:paraId="07F3C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43648C90">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2904C7CC">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7D581BFD">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均值</w:t>
                  </w:r>
                </w:p>
              </w:tc>
              <w:tc>
                <w:tcPr>
                  <w:tcW w:w="1156" w:type="dxa"/>
                  <w:tcBorders>
                    <w:tl2br w:val="nil"/>
                    <w:tr2bl w:val="nil"/>
                  </w:tcBorders>
                  <w:vAlign w:val="center"/>
                </w:tcPr>
                <w:p w14:paraId="6E933131">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9.9</w:t>
                  </w:r>
                </w:p>
              </w:tc>
              <w:tc>
                <w:tcPr>
                  <w:tcW w:w="990" w:type="dxa"/>
                  <w:tcBorders>
                    <w:tl2br w:val="nil"/>
                    <w:tr2bl w:val="nil"/>
                  </w:tcBorders>
                  <w:vAlign w:val="center"/>
                </w:tcPr>
                <w:p w14:paraId="0010A5D4">
                  <w:pPr>
                    <w:widowControl/>
                    <w:snapToGrid w:val="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2037" w:type="dxa"/>
                  <w:tcBorders>
                    <w:tl2br w:val="nil"/>
                    <w:tr2bl w:val="nil"/>
                  </w:tcBorders>
                  <w:vAlign w:val="center"/>
                </w:tcPr>
                <w:p w14:paraId="0D259736">
                  <w:pPr>
                    <w:keepNext w:val="0"/>
                    <w:keepLines w:val="0"/>
                    <w:widowControl/>
                    <w:suppressLineNumbers w:val="0"/>
                    <w:jc w:val="center"/>
                    <w:textAlignment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9.80</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3</w:t>
                  </w:r>
                </w:p>
              </w:tc>
            </w:tr>
            <w:tr w14:paraId="5243B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5FE9003">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0B5C75CA">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3EF1DCEB">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标准限值</w:t>
                  </w:r>
                </w:p>
              </w:tc>
              <w:tc>
                <w:tcPr>
                  <w:tcW w:w="1156" w:type="dxa"/>
                  <w:tcBorders>
                    <w:tl2br w:val="nil"/>
                    <w:tr2bl w:val="nil"/>
                  </w:tcBorders>
                  <w:vAlign w:val="center"/>
                </w:tcPr>
                <w:p w14:paraId="45DFDECD">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10*</w:t>
                  </w:r>
                </w:p>
              </w:tc>
              <w:tc>
                <w:tcPr>
                  <w:tcW w:w="990" w:type="dxa"/>
                  <w:tcBorders>
                    <w:tl2br w:val="nil"/>
                    <w:tr2bl w:val="nil"/>
                  </w:tcBorders>
                  <w:vAlign w:val="center"/>
                </w:tcPr>
                <w:p w14:paraId="7B1EE5D2">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color w:val="auto"/>
                      <w:kern w:val="0"/>
                      <w:sz w:val="21"/>
                      <w:szCs w:val="21"/>
                      <w:highlight w:val="none"/>
                      <w:lang w:val="en-US" w:eastAsia="zh-CN" w:bidi="ar"/>
                    </w:rPr>
                    <w:t>/</w:t>
                  </w:r>
                </w:p>
              </w:tc>
              <w:tc>
                <w:tcPr>
                  <w:tcW w:w="2037" w:type="dxa"/>
                  <w:tcBorders>
                    <w:tl2br w:val="nil"/>
                    <w:tr2bl w:val="nil"/>
                  </w:tcBorders>
                  <w:vAlign w:val="center"/>
                </w:tcPr>
                <w:p w14:paraId="4EDF85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0.4</w:t>
                  </w:r>
                </w:p>
              </w:tc>
            </w:tr>
            <w:tr w14:paraId="5ECC6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411" w:type="dxa"/>
                  <w:vMerge w:val="continue"/>
                  <w:tcBorders>
                    <w:tl2br w:val="nil"/>
                    <w:tr2bl w:val="nil"/>
                  </w:tcBorders>
                  <w:vAlign w:val="center"/>
                </w:tcPr>
                <w:p w14:paraId="55B34B2F">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0845941E">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77A37E79">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1156" w:type="dxa"/>
                  <w:tcBorders>
                    <w:tl2br w:val="nil"/>
                    <w:tr2bl w:val="nil"/>
                  </w:tcBorders>
                  <w:vAlign w:val="center"/>
                </w:tcPr>
                <w:p w14:paraId="7E875A27">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不达标</w:t>
                  </w:r>
                </w:p>
              </w:tc>
              <w:tc>
                <w:tcPr>
                  <w:tcW w:w="990" w:type="dxa"/>
                  <w:tcBorders>
                    <w:tl2br w:val="nil"/>
                    <w:tr2bl w:val="nil"/>
                  </w:tcBorders>
                  <w:vAlign w:val="center"/>
                </w:tcPr>
                <w:p w14:paraId="772CF708">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color w:val="auto"/>
                      <w:kern w:val="0"/>
                      <w:sz w:val="21"/>
                      <w:szCs w:val="21"/>
                      <w:highlight w:val="none"/>
                      <w:lang w:val="en-US" w:eastAsia="zh-CN" w:bidi="ar"/>
                    </w:rPr>
                    <w:t>/</w:t>
                  </w:r>
                </w:p>
              </w:tc>
              <w:tc>
                <w:tcPr>
                  <w:tcW w:w="2037" w:type="dxa"/>
                  <w:tcBorders>
                    <w:tl2br w:val="nil"/>
                    <w:tr2bl w:val="nil"/>
                  </w:tcBorders>
                  <w:vAlign w:val="center"/>
                </w:tcPr>
                <w:p w14:paraId="7DCA88D4">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14:paraId="48875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A00E6DF">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restart"/>
                  <w:tcBorders>
                    <w:tl2br w:val="nil"/>
                    <w:tr2bl w:val="nil"/>
                  </w:tcBorders>
                  <w:vAlign w:val="center"/>
                </w:tcPr>
                <w:p w14:paraId="42C3D20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二氧化硫</w:t>
                  </w:r>
                </w:p>
              </w:tc>
              <w:tc>
                <w:tcPr>
                  <w:tcW w:w="1497" w:type="dxa"/>
                  <w:tcBorders>
                    <w:tl2br w:val="nil"/>
                    <w:tr2bl w:val="nil"/>
                  </w:tcBorders>
                  <w:vAlign w:val="center"/>
                </w:tcPr>
                <w:p w14:paraId="49A59D12">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第一次</w:t>
                  </w:r>
                </w:p>
              </w:tc>
              <w:tc>
                <w:tcPr>
                  <w:tcW w:w="1156" w:type="dxa"/>
                  <w:tcBorders>
                    <w:tl2br w:val="nil"/>
                    <w:tr2bl w:val="nil"/>
                  </w:tcBorders>
                  <w:vAlign w:val="center"/>
                </w:tcPr>
                <w:p w14:paraId="0AF19144">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20985C6A">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456EAFA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1843B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77C5A919">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0AAE2567">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0301F62D">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第二次</w:t>
                  </w:r>
                </w:p>
              </w:tc>
              <w:tc>
                <w:tcPr>
                  <w:tcW w:w="1156" w:type="dxa"/>
                  <w:tcBorders>
                    <w:tl2br w:val="nil"/>
                    <w:tr2bl w:val="nil"/>
                  </w:tcBorders>
                  <w:vAlign w:val="center"/>
                </w:tcPr>
                <w:p w14:paraId="523F5EE5">
                  <w:pPr>
                    <w:keepNext w:val="0"/>
                    <w:keepLines w:val="0"/>
                    <w:widowControl/>
                    <w:suppressLineNumbers w:val="0"/>
                    <w:jc w:val="center"/>
                    <w:textAlignment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3CB70D0E">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54615DF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5A39F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77B37967">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59676132">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53189BBD">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第三次</w:t>
                  </w:r>
                </w:p>
              </w:tc>
              <w:tc>
                <w:tcPr>
                  <w:tcW w:w="1156" w:type="dxa"/>
                  <w:tcBorders>
                    <w:tl2br w:val="nil"/>
                    <w:tr2bl w:val="nil"/>
                  </w:tcBorders>
                  <w:vAlign w:val="center"/>
                </w:tcPr>
                <w:p w14:paraId="06B0B0CD">
                  <w:pPr>
                    <w:keepNext w:val="0"/>
                    <w:keepLines w:val="0"/>
                    <w:widowControl/>
                    <w:suppressLineNumbers w:val="0"/>
                    <w:jc w:val="center"/>
                    <w:textAlignment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6477D801">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6714D62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449A5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09BDFC2F">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304B5EEB">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117C9CA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均值</w:t>
                  </w:r>
                </w:p>
              </w:tc>
              <w:tc>
                <w:tcPr>
                  <w:tcW w:w="1156" w:type="dxa"/>
                  <w:tcBorders>
                    <w:tl2br w:val="nil"/>
                    <w:tr2bl w:val="nil"/>
                  </w:tcBorders>
                  <w:vAlign w:val="center"/>
                </w:tcPr>
                <w:p w14:paraId="604F9D4D">
                  <w:pPr>
                    <w:keepNext w:val="0"/>
                    <w:keepLines w:val="0"/>
                    <w:widowControl/>
                    <w:suppressLineNumbers w:val="0"/>
                    <w:jc w:val="center"/>
                    <w:textAlignment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990" w:type="dxa"/>
                  <w:tcBorders>
                    <w:tl2br w:val="nil"/>
                    <w:tr2bl w:val="nil"/>
                  </w:tcBorders>
                  <w:vAlign w:val="center"/>
                </w:tcPr>
                <w:p w14:paraId="36ADD7CC">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251F11C7">
                  <w:pPr>
                    <w:keepNext w:val="0"/>
                    <w:keepLines w:val="0"/>
                    <w:widowControl/>
                    <w:suppressLineNumbers w:val="0"/>
                    <w:jc w:val="center"/>
                    <w:textAlignment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60E15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20174B33">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2F90446A">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36B8FB1D">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标准限值</w:t>
                  </w:r>
                </w:p>
              </w:tc>
              <w:tc>
                <w:tcPr>
                  <w:tcW w:w="1156" w:type="dxa"/>
                  <w:tcBorders>
                    <w:tl2br w:val="nil"/>
                    <w:tr2bl w:val="nil"/>
                  </w:tcBorders>
                  <w:vAlign w:val="center"/>
                </w:tcPr>
                <w:p w14:paraId="56A039EA">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40*</w:t>
                  </w:r>
                </w:p>
              </w:tc>
              <w:tc>
                <w:tcPr>
                  <w:tcW w:w="990" w:type="dxa"/>
                  <w:tcBorders>
                    <w:tl2br w:val="nil"/>
                    <w:tr2bl w:val="nil"/>
                  </w:tcBorders>
                  <w:vAlign w:val="center"/>
                </w:tcPr>
                <w:p w14:paraId="4B35FB51">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7C25A5A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0C274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E76CFDB">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1" w:type="dxa"/>
                  <w:vMerge w:val="continue"/>
                  <w:tcBorders>
                    <w:tl2br w:val="nil"/>
                    <w:tr2bl w:val="nil"/>
                  </w:tcBorders>
                  <w:vAlign w:val="center"/>
                </w:tcPr>
                <w:p w14:paraId="4C3C29CC">
                  <w:pPr>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497" w:type="dxa"/>
                  <w:tcBorders>
                    <w:tl2br w:val="nil"/>
                    <w:tr2bl w:val="nil"/>
                  </w:tcBorders>
                  <w:vAlign w:val="center"/>
                </w:tcPr>
                <w:p w14:paraId="5C2C6E91">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1156" w:type="dxa"/>
                  <w:tcBorders>
                    <w:tl2br w:val="nil"/>
                    <w:tr2bl w:val="nil"/>
                  </w:tcBorders>
                  <w:vAlign w:val="center"/>
                </w:tcPr>
                <w:p w14:paraId="6270904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c>
                <w:tcPr>
                  <w:tcW w:w="990" w:type="dxa"/>
                  <w:tcBorders>
                    <w:tl2br w:val="nil"/>
                    <w:tr2bl w:val="nil"/>
                  </w:tcBorders>
                  <w:vAlign w:val="center"/>
                </w:tcPr>
                <w:p w14:paraId="7E71209D">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7A8EBD9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33C3D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7566EA68">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restart"/>
                  <w:tcBorders>
                    <w:tl2br w:val="nil"/>
                    <w:tr2bl w:val="nil"/>
                  </w:tcBorders>
                  <w:vAlign w:val="center"/>
                </w:tcPr>
                <w:p w14:paraId="3ED53A49">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氮氧化物</w:t>
                  </w:r>
                </w:p>
              </w:tc>
              <w:tc>
                <w:tcPr>
                  <w:tcW w:w="1497" w:type="dxa"/>
                  <w:tcBorders>
                    <w:tl2br w:val="nil"/>
                    <w:tr2bl w:val="nil"/>
                  </w:tcBorders>
                  <w:vAlign w:val="center"/>
                </w:tcPr>
                <w:p w14:paraId="76940260">
                  <w:pPr>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第一次</w:t>
                  </w:r>
                </w:p>
              </w:tc>
              <w:tc>
                <w:tcPr>
                  <w:tcW w:w="1156" w:type="dxa"/>
                  <w:tcBorders>
                    <w:tl2br w:val="nil"/>
                    <w:tr2bl w:val="nil"/>
                  </w:tcBorders>
                  <w:vAlign w:val="center"/>
                </w:tcPr>
                <w:p w14:paraId="747F0549">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2CA00F87">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7FB08866">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2BDA6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0B109727">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5C650825">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34521D56">
                  <w:pPr>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第二次</w:t>
                  </w:r>
                </w:p>
              </w:tc>
              <w:tc>
                <w:tcPr>
                  <w:tcW w:w="1156" w:type="dxa"/>
                  <w:tcBorders>
                    <w:tl2br w:val="nil"/>
                    <w:tr2bl w:val="nil"/>
                  </w:tcBorders>
                  <w:vAlign w:val="center"/>
                </w:tcPr>
                <w:p w14:paraId="1465DDE0">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4AE9FD5F">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251065DE">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74995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2DC84C52">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705B6584">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78833514">
                  <w:pPr>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第三次</w:t>
                  </w:r>
                </w:p>
              </w:tc>
              <w:tc>
                <w:tcPr>
                  <w:tcW w:w="1156" w:type="dxa"/>
                  <w:tcBorders>
                    <w:tl2br w:val="nil"/>
                    <w:tr2bl w:val="nil"/>
                  </w:tcBorders>
                  <w:vAlign w:val="center"/>
                </w:tcPr>
                <w:p w14:paraId="1DB245D8">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4249B62F">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1F23FBA4">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562A9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24E1C54">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036ED722">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548DF530">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均值</w:t>
                  </w:r>
                </w:p>
              </w:tc>
              <w:tc>
                <w:tcPr>
                  <w:tcW w:w="1156" w:type="dxa"/>
                  <w:tcBorders>
                    <w:tl2br w:val="nil"/>
                    <w:tr2bl w:val="nil"/>
                  </w:tcBorders>
                  <w:vAlign w:val="center"/>
                </w:tcPr>
                <w:p w14:paraId="0C388762">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1CA5D742">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5A13FB2E">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r>
            <w:tr w14:paraId="27E27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5C1E1A35">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316C68C0">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701F957C">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标准限值</w:t>
                  </w:r>
                </w:p>
              </w:tc>
              <w:tc>
                <w:tcPr>
                  <w:tcW w:w="1156" w:type="dxa"/>
                  <w:tcBorders>
                    <w:tl2br w:val="nil"/>
                    <w:tr2bl w:val="nil"/>
                  </w:tcBorders>
                  <w:vAlign w:val="center"/>
                </w:tcPr>
                <w:p w14:paraId="5E002FB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90*</w:t>
                  </w:r>
                </w:p>
              </w:tc>
              <w:tc>
                <w:tcPr>
                  <w:tcW w:w="990" w:type="dxa"/>
                  <w:tcBorders>
                    <w:tl2br w:val="nil"/>
                    <w:tr2bl w:val="nil"/>
                  </w:tcBorders>
                  <w:vAlign w:val="center"/>
                </w:tcPr>
                <w:p w14:paraId="35E7CEA5">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284A0285">
                  <w:pPr>
                    <w:keepNext w:val="0"/>
                    <w:keepLines w:val="0"/>
                    <w:widowControl/>
                    <w:suppressLineNumbers w:val="0"/>
                    <w:jc w:val="center"/>
                    <w:textAlignment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r>
            <w:tr w14:paraId="05F3B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7FAE1367">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6B72BBE4">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25F80345">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1156" w:type="dxa"/>
                  <w:tcBorders>
                    <w:tl2br w:val="nil"/>
                    <w:tr2bl w:val="nil"/>
                  </w:tcBorders>
                  <w:vAlign w:val="center"/>
                </w:tcPr>
                <w:p w14:paraId="5AF39054">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c>
                <w:tcPr>
                  <w:tcW w:w="990" w:type="dxa"/>
                  <w:tcBorders>
                    <w:tl2br w:val="nil"/>
                    <w:tr2bl w:val="nil"/>
                  </w:tcBorders>
                  <w:vAlign w:val="center"/>
                </w:tcPr>
                <w:p w14:paraId="523A1751">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56F24F0D">
                  <w:pPr>
                    <w:keepNext w:val="0"/>
                    <w:keepLines w:val="0"/>
                    <w:widowControl/>
                    <w:suppressLineNumbers w:val="0"/>
                    <w:jc w:val="center"/>
                    <w:textAlignment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r>
            <w:tr w14:paraId="52E9E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restart"/>
                  <w:tcBorders>
                    <w:tl2br w:val="nil"/>
                    <w:tr2bl w:val="nil"/>
                  </w:tcBorders>
                  <w:vAlign w:val="center"/>
                </w:tcPr>
                <w:p w14:paraId="144485FB">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锅炉废气DA005（15m）</w:t>
                  </w:r>
                </w:p>
              </w:tc>
              <w:tc>
                <w:tcPr>
                  <w:tcW w:w="831" w:type="dxa"/>
                  <w:vMerge w:val="restart"/>
                  <w:tcBorders>
                    <w:tl2br w:val="nil"/>
                    <w:tr2bl w:val="nil"/>
                  </w:tcBorders>
                  <w:vAlign w:val="center"/>
                </w:tcPr>
                <w:p w14:paraId="22D5C208">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颗粒物</w:t>
                  </w:r>
                </w:p>
              </w:tc>
              <w:tc>
                <w:tcPr>
                  <w:tcW w:w="0" w:type="auto"/>
                  <w:tcBorders>
                    <w:tl2br w:val="nil"/>
                    <w:tr2bl w:val="nil"/>
                  </w:tcBorders>
                  <w:vAlign w:val="center"/>
                </w:tcPr>
                <w:p w14:paraId="415BABEB">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第一次</w:t>
                  </w:r>
                </w:p>
              </w:tc>
              <w:tc>
                <w:tcPr>
                  <w:tcW w:w="1156" w:type="dxa"/>
                  <w:tcBorders>
                    <w:tl2br w:val="nil"/>
                    <w:tr2bl w:val="nil"/>
                  </w:tcBorders>
                  <w:vAlign w:val="center"/>
                </w:tcPr>
                <w:p w14:paraId="3825171A">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6.9</w:t>
                  </w:r>
                </w:p>
              </w:tc>
              <w:tc>
                <w:tcPr>
                  <w:tcW w:w="990" w:type="dxa"/>
                  <w:tcBorders>
                    <w:tl2br w:val="nil"/>
                    <w:tr2bl w:val="nil"/>
                  </w:tcBorders>
                  <w:vAlign w:val="center"/>
                </w:tcPr>
                <w:p w14:paraId="67E6733A">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3.4</w:t>
                  </w:r>
                </w:p>
              </w:tc>
              <w:tc>
                <w:tcPr>
                  <w:tcW w:w="2037" w:type="dxa"/>
                  <w:tcBorders>
                    <w:tl2br w:val="nil"/>
                    <w:tr2bl w:val="nil"/>
                  </w:tcBorders>
                  <w:vAlign w:val="center"/>
                </w:tcPr>
                <w:p w14:paraId="5E080E91">
                  <w:pPr>
                    <w:keepNext w:val="0"/>
                    <w:keepLines w:val="0"/>
                    <w:widowControl/>
                    <w:suppressLineNumbers w:val="0"/>
                    <w:jc w:val="center"/>
                    <w:textAlignment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5.28</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3</w:t>
                  </w:r>
                </w:p>
              </w:tc>
            </w:tr>
            <w:tr w14:paraId="5724A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757D1BB9">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19E20CAD">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1153CE76">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第二次</w:t>
                  </w:r>
                </w:p>
              </w:tc>
              <w:tc>
                <w:tcPr>
                  <w:tcW w:w="1156" w:type="dxa"/>
                  <w:tcBorders>
                    <w:tl2br w:val="nil"/>
                    <w:tr2bl w:val="nil"/>
                  </w:tcBorders>
                  <w:vAlign w:val="center"/>
                </w:tcPr>
                <w:p w14:paraId="32AC63BD">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6.0</w:t>
                  </w:r>
                </w:p>
              </w:tc>
              <w:tc>
                <w:tcPr>
                  <w:tcW w:w="990" w:type="dxa"/>
                  <w:tcBorders>
                    <w:tl2br w:val="nil"/>
                    <w:tr2bl w:val="nil"/>
                  </w:tcBorders>
                  <w:vAlign w:val="center"/>
                </w:tcPr>
                <w:p w14:paraId="3783197D">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3.0</w:t>
                  </w:r>
                </w:p>
              </w:tc>
              <w:tc>
                <w:tcPr>
                  <w:tcW w:w="2037" w:type="dxa"/>
                  <w:tcBorders>
                    <w:tl2br w:val="nil"/>
                    <w:tr2bl w:val="nil"/>
                  </w:tcBorders>
                  <w:vAlign w:val="center"/>
                </w:tcPr>
                <w:p w14:paraId="004C3F23">
                  <w:pPr>
                    <w:keepNext w:val="0"/>
                    <w:keepLines w:val="0"/>
                    <w:widowControl/>
                    <w:suppressLineNumbers w:val="0"/>
                    <w:jc w:val="center"/>
                    <w:textAlignment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4.49</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3</w:t>
                  </w:r>
                </w:p>
              </w:tc>
            </w:tr>
            <w:tr w14:paraId="1408A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6D30E1B8">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4A4D5C7E">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4D821C1F">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第三次</w:t>
                  </w:r>
                </w:p>
              </w:tc>
              <w:tc>
                <w:tcPr>
                  <w:tcW w:w="1156" w:type="dxa"/>
                  <w:tcBorders>
                    <w:tl2br w:val="nil"/>
                    <w:tr2bl w:val="nil"/>
                  </w:tcBorders>
                  <w:vAlign w:val="center"/>
                </w:tcPr>
                <w:p w14:paraId="6158D450">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5.1</w:t>
                  </w:r>
                </w:p>
              </w:tc>
              <w:tc>
                <w:tcPr>
                  <w:tcW w:w="990" w:type="dxa"/>
                  <w:tcBorders>
                    <w:tl2br w:val="nil"/>
                    <w:tr2bl w:val="nil"/>
                  </w:tcBorders>
                  <w:vAlign w:val="center"/>
                </w:tcPr>
                <w:p w14:paraId="0B673E09">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2.6</w:t>
                  </w:r>
                </w:p>
              </w:tc>
              <w:tc>
                <w:tcPr>
                  <w:tcW w:w="2037" w:type="dxa"/>
                  <w:tcBorders>
                    <w:tl2br w:val="nil"/>
                    <w:tr2bl w:val="nil"/>
                  </w:tcBorders>
                  <w:vAlign w:val="center"/>
                </w:tcPr>
                <w:p w14:paraId="207AD806">
                  <w:pPr>
                    <w:keepNext w:val="0"/>
                    <w:keepLines w:val="0"/>
                    <w:widowControl/>
                    <w:suppressLineNumbers w:val="0"/>
                    <w:jc w:val="center"/>
                    <w:textAlignment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4.06</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3</w:t>
                  </w:r>
                </w:p>
              </w:tc>
            </w:tr>
            <w:tr w14:paraId="588CB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401E7227">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655D67D2">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4A3B32CF">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均值</w:t>
                  </w:r>
                </w:p>
              </w:tc>
              <w:tc>
                <w:tcPr>
                  <w:tcW w:w="1156" w:type="dxa"/>
                  <w:tcBorders>
                    <w:tl2br w:val="nil"/>
                    <w:tr2bl w:val="nil"/>
                  </w:tcBorders>
                  <w:vAlign w:val="center"/>
                </w:tcPr>
                <w:p w14:paraId="550DE627">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6.0</w:t>
                  </w:r>
                </w:p>
              </w:tc>
              <w:tc>
                <w:tcPr>
                  <w:tcW w:w="990" w:type="dxa"/>
                  <w:tcBorders>
                    <w:tl2br w:val="nil"/>
                    <w:tr2bl w:val="nil"/>
                  </w:tcBorders>
                  <w:vAlign w:val="center"/>
                </w:tcPr>
                <w:p w14:paraId="5A0C99DD">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3.0</w:t>
                  </w:r>
                </w:p>
              </w:tc>
              <w:tc>
                <w:tcPr>
                  <w:tcW w:w="2037" w:type="dxa"/>
                  <w:tcBorders>
                    <w:tl2br w:val="nil"/>
                    <w:tr2bl w:val="nil"/>
                  </w:tcBorders>
                  <w:vAlign w:val="center"/>
                </w:tcPr>
                <w:p w14:paraId="527306BE">
                  <w:pPr>
                    <w:keepNext w:val="0"/>
                    <w:keepLines w:val="0"/>
                    <w:widowControl/>
                    <w:suppressLineNumbers w:val="0"/>
                    <w:jc w:val="center"/>
                    <w:textAlignment w:val="center"/>
                    <w:rPr>
                      <w:rFonts w:hint="eastAsia" w:cs="Times New Roman"/>
                      <w:b w:val="0"/>
                      <w:bCs/>
                      <w:color w:val="auto"/>
                      <w:sz w:val="21"/>
                      <w:szCs w:val="21"/>
                      <w:highlight w:val="none"/>
                      <w:lang w:val="en-US" w:eastAsia="zh-CN"/>
                    </w:rPr>
                  </w:pPr>
                  <w:r>
                    <w:rPr>
                      <w:rFonts w:hint="eastAsia" w:cs="Times New Roman"/>
                      <w:color w:val="auto"/>
                      <w:sz w:val="21"/>
                      <w:szCs w:val="21"/>
                      <w:highlight w:val="none"/>
                      <w:vertAlign w:val="baseline"/>
                      <w:lang w:val="en-US" w:eastAsia="zh-CN"/>
                    </w:rPr>
                    <w:t>4.61</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3</w:t>
                  </w:r>
                </w:p>
              </w:tc>
            </w:tr>
            <w:tr w14:paraId="6D5BF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09DFE31B">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6C750E6E">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548B049F">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标准限值</w:t>
                  </w:r>
                </w:p>
              </w:tc>
              <w:tc>
                <w:tcPr>
                  <w:tcW w:w="1156" w:type="dxa"/>
                  <w:tcBorders>
                    <w:tl2br w:val="nil"/>
                    <w:tr2bl w:val="nil"/>
                  </w:tcBorders>
                  <w:vAlign w:val="center"/>
                </w:tcPr>
                <w:p w14:paraId="6290E7D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10</w:t>
                  </w:r>
                </w:p>
              </w:tc>
              <w:tc>
                <w:tcPr>
                  <w:tcW w:w="990" w:type="dxa"/>
                  <w:tcBorders>
                    <w:tl2br w:val="nil"/>
                    <w:tr2bl w:val="nil"/>
                  </w:tcBorders>
                  <w:vAlign w:val="center"/>
                </w:tcPr>
                <w:p w14:paraId="78B0DB9B">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06BF8783">
                  <w:pPr>
                    <w:keepNext w:val="0"/>
                    <w:keepLines w:val="0"/>
                    <w:widowControl/>
                    <w:suppressLineNumbers w:val="0"/>
                    <w:jc w:val="center"/>
                    <w:textAlignment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0987E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2D13C0F2">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2A83DF57">
                  <w:pPr>
                    <w:jc w:val="center"/>
                    <w:rPr>
                      <w:rFonts w:hint="default"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3EF3B319">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1156" w:type="dxa"/>
                  <w:tcBorders>
                    <w:tl2br w:val="nil"/>
                    <w:tr2bl w:val="nil"/>
                  </w:tcBorders>
                  <w:vAlign w:val="center"/>
                </w:tcPr>
                <w:p w14:paraId="7D45F259">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c>
                <w:tcPr>
                  <w:tcW w:w="990" w:type="dxa"/>
                  <w:tcBorders>
                    <w:tl2br w:val="nil"/>
                    <w:tr2bl w:val="nil"/>
                  </w:tcBorders>
                  <w:vAlign w:val="center"/>
                </w:tcPr>
                <w:p w14:paraId="398BAAFA">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5F283461">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34A05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266EF7D1">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restart"/>
                  <w:tcBorders>
                    <w:tl2br w:val="nil"/>
                    <w:tr2bl w:val="nil"/>
                  </w:tcBorders>
                  <w:vAlign w:val="center"/>
                </w:tcPr>
                <w:p w14:paraId="71145D76">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二氧化硫</w:t>
                  </w:r>
                </w:p>
              </w:tc>
              <w:tc>
                <w:tcPr>
                  <w:tcW w:w="0" w:type="auto"/>
                  <w:tcBorders>
                    <w:tl2br w:val="nil"/>
                    <w:tr2bl w:val="nil"/>
                  </w:tcBorders>
                  <w:vAlign w:val="center"/>
                </w:tcPr>
                <w:p w14:paraId="5BACC683">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第一次</w:t>
                  </w:r>
                </w:p>
              </w:tc>
              <w:tc>
                <w:tcPr>
                  <w:tcW w:w="1156" w:type="dxa"/>
                  <w:tcBorders>
                    <w:tl2br w:val="nil"/>
                    <w:tr2bl w:val="nil"/>
                  </w:tcBorders>
                  <w:vAlign w:val="center"/>
                </w:tcPr>
                <w:p w14:paraId="65B184FD">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059194BB">
                  <w:pPr>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3A668DB7">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40AD3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63C51A31">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3961CB7E">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16B23A9D">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第二次</w:t>
                  </w:r>
                </w:p>
              </w:tc>
              <w:tc>
                <w:tcPr>
                  <w:tcW w:w="1156" w:type="dxa"/>
                  <w:tcBorders>
                    <w:tl2br w:val="nil"/>
                    <w:tr2bl w:val="nil"/>
                  </w:tcBorders>
                  <w:vAlign w:val="center"/>
                </w:tcPr>
                <w:p w14:paraId="3AEF1025">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608913F1">
                  <w:pPr>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372DE9C3">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6908C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1C3D5E82">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4C0D4425">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28BC481B">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第三次</w:t>
                  </w:r>
                </w:p>
              </w:tc>
              <w:tc>
                <w:tcPr>
                  <w:tcW w:w="1156" w:type="dxa"/>
                  <w:tcBorders>
                    <w:tl2br w:val="nil"/>
                    <w:tr2bl w:val="nil"/>
                  </w:tcBorders>
                  <w:vAlign w:val="center"/>
                </w:tcPr>
                <w:p w14:paraId="6471B968">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72C44422">
                  <w:pPr>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074234E5">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0E154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15B43520">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070B5F24">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7552798F">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均值</w:t>
                  </w:r>
                </w:p>
              </w:tc>
              <w:tc>
                <w:tcPr>
                  <w:tcW w:w="1156" w:type="dxa"/>
                  <w:tcBorders>
                    <w:tl2br w:val="nil"/>
                    <w:tr2bl w:val="nil"/>
                  </w:tcBorders>
                  <w:vAlign w:val="center"/>
                </w:tcPr>
                <w:p w14:paraId="60B1C88D">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990" w:type="dxa"/>
                  <w:tcBorders>
                    <w:tl2br w:val="nil"/>
                    <w:tr2bl w:val="nil"/>
                  </w:tcBorders>
                  <w:vAlign w:val="center"/>
                </w:tcPr>
                <w:p w14:paraId="648B1A5C">
                  <w:pPr>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ND</w:t>
                  </w:r>
                </w:p>
              </w:tc>
              <w:tc>
                <w:tcPr>
                  <w:tcW w:w="2037" w:type="dxa"/>
                  <w:tcBorders>
                    <w:tl2br w:val="nil"/>
                    <w:tr2bl w:val="nil"/>
                  </w:tcBorders>
                  <w:vAlign w:val="center"/>
                </w:tcPr>
                <w:p w14:paraId="6813D5FD">
                  <w:pPr>
                    <w:jc w:val="center"/>
                    <w:rPr>
                      <w:rFonts w:hint="eastAsia" w:ascii="Times New Roman" w:hAnsi="Times New Roman" w:eastAsia="宋体" w:cs="Times New Roman"/>
                      <w:b w:val="0"/>
                      <w:bCs/>
                      <w:color w:val="auto"/>
                      <w:sz w:val="21"/>
                      <w:szCs w:val="21"/>
                      <w:highlight w:val="none"/>
                      <w:lang w:val="en-US" w:eastAsia="zh-CN"/>
                    </w:rPr>
                  </w:pPr>
                </w:p>
              </w:tc>
            </w:tr>
            <w:tr w14:paraId="008A2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12BA14CC">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15EFA95E">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7C1CAE34">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标准限值</w:t>
                  </w:r>
                </w:p>
              </w:tc>
              <w:tc>
                <w:tcPr>
                  <w:tcW w:w="1156" w:type="dxa"/>
                  <w:tcBorders>
                    <w:tl2br w:val="nil"/>
                    <w:tr2bl w:val="nil"/>
                  </w:tcBorders>
                  <w:vAlign w:val="center"/>
                </w:tcPr>
                <w:p w14:paraId="1314186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35</w:t>
                  </w:r>
                </w:p>
              </w:tc>
              <w:tc>
                <w:tcPr>
                  <w:tcW w:w="990" w:type="dxa"/>
                  <w:tcBorders>
                    <w:tl2br w:val="nil"/>
                    <w:tr2bl w:val="nil"/>
                  </w:tcBorders>
                  <w:vAlign w:val="center"/>
                </w:tcPr>
                <w:p w14:paraId="18B24342">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4D8FF599">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24520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688E2B94">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6DCE26F5">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6F1104DA">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1156" w:type="dxa"/>
                  <w:tcBorders>
                    <w:tl2br w:val="nil"/>
                    <w:tr2bl w:val="nil"/>
                  </w:tcBorders>
                  <w:vAlign w:val="center"/>
                </w:tcPr>
                <w:p w14:paraId="6105E523">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达标</w:t>
                  </w:r>
                </w:p>
              </w:tc>
              <w:tc>
                <w:tcPr>
                  <w:tcW w:w="990" w:type="dxa"/>
                  <w:tcBorders>
                    <w:tl2br w:val="nil"/>
                    <w:tr2bl w:val="nil"/>
                  </w:tcBorders>
                  <w:vAlign w:val="center"/>
                </w:tcPr>
                <w:p w14:paraId="1AF531C9">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1DA2AC5D">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44E5D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C8E62DF">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restart"/>
                  <w:tcBorders>
                    <w:tl2br w:val="nil"/>
                    <w:tr2bl w:val="nil"/>
                  </w:tcBorders>
                  <w:vAlign w:val="center"/>
                </w:tcPr>
                <w:p w14:paraId="69E32FBB">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氮氧化物</w:t>
                  </w:r>
                </w:p>
              </w:tc>
              <w:tc>
                <w:tcPr>
                  <w:tcW w:w="0" w:type="auto"/>
                  <w:tcBorders>
                    <w:tl2br w:val="nil"/>
                    <w:tr2bl w:val="nil"/>
                  </w:tcBorders>
                  <w:vAlign w:val="center"/>
                </w:tcPr>
                <w:p w14:paraId="3D09AFE1">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第一次</w:t>
                  </w:r>
                </w:p>
              </w:tc>
              <w:tc>
                <w:tcPr>
                  <w:tcW w:w="1156" w:type="dxa"/>
                  <w:tcBorders>
                    <w:tl2br w:val="nil"/>
                    <w:tr2bl w:val="nil"/>
                  </w:tcBorders>
                  <w:vAlign w:val="center"/>
                </w:tcPr>
                <w:p w14:paraId="41CE4F32">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w:t>
                  </w:r>
                </w:p>
              </w:tc>
              <w:tc>
                <w:tcPr>
                  <w:tcW w:w="990" w:type="dxa"/>
                  <w:tcBorders>
                    <w:tl2br w:val="nil"/>
                    <w:tr2bl w:val="nil"/>
                  </w:tcBorders>
                  <w:vAlign w:val="center"/>
                </w:tcPr>
                <w:p w14:paraId="24D12E59">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w:t>
                  </w:r>
                </w:p>
              </w:tc>
              <w:tc>
                <w:tcPr>
                  <w:tcW w:w="2037" w:type="dxa"/>
                  <w:tcBorders>
                    <w:tl2br w:val="nil"/>
                    <w:tr2bl w:val="nil"/>
                  </w:tcBorders>
                  <w:vAlign w:val="center"/>
                </w:tcPr>
                <w:p w14:paraId="4C13FD37">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1.4</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2</w:t>
                  </w:r>
                </w:p>
              </w:tc>
            </w:tr>
            <w:tr w14:paraId="0D6BA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7BE0CB16">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5CA03334">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711388A0">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第二次</w:t>
                  </w:r>
                </w:p>
              </w:tc>
              <w:tc>
                <w:tcPr>
                  <w:tcW w:w="1156" w:type="dxa"/>
                  <w:tcBorders>
                    <w:tl2br w:val="nil"/>
                    <w:tr2bl w:val="nil"/>
                  </w:tcBorders>
                  <w:vAlign w:val="center"/>
                </w:tcPr>
                <w:p w14:paraId="1DE5BA7D">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28</w:t>
                  </w:r>
                </w:p>
              </w:tc>
              <w:tc>
                <w:tcPr>
                  <w:tcW w:w="990" w:type="dxa"/>
                  <w:tcBorders>
                    <w:tl2br w:val="nil"/>
                    <w:tr2bl w:val="nil"/>
                  </w:tcBorders>
                  <w:vAlign w:val="center"/>
                </w:tcPr>
                <w:p w14:paraId="36384759">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14</w:t>
                  </w:r>
                </w:p>
              </w:tc>
              <w:tc>
                <w:tcPr>
                  <w:tcW w:w="2037" w:type="dxa"/>
                  <w:tcBorders>
                    <w:tl2br w:val="nil"/>
                    <w:tr2bl w:val="nil"/>
                  </w:tcBorders>
                  <w:vAlign w:val="center"/>
                </w:tcPr>
                <w:p w14:paraId="0373CC94">
                  <w:pPr>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color w:val="auto"/>
                      <w:sz w:val="21"/>
                      <w:szCs w:val="21"/>
                      <w:highlight w:val="none"/>
                      <w:vertAlign w:val="baseline"/>
                      <w:lang w:val="en-US" w:eastAsia="zh-CN"/>
                    </w:rPr>
                    <w:t>2.09</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2</w:t>
                  </w:r>
                </w:p>
              </w:tc>
            </w:tr>
            <w:tr w14:paraId="4EBE8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47BA39C2">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5A632C64">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0BE68175">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第三次</w:t>
                  </w:r>
                </w:p>
              </w:tc>
              <w:tc>
                <w:tcPr>
                  <w:tcW w:w="1156" w:type="dxa"/>
                  <w:tcBorders>
                    <w:tl2br w:val="nil"/>
                    <w:tr2bl w:val="nil"/>
                  </w:tcBorders>
                  <w:vAlign w:val="center"/>
                </w:tcPr>
                <w:p w14:paraId="15B12023">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w:t>
                  </w:r>
                </w:p>
              </w:tc>
              <w:tc>
                <w:tcPr>
                  <w:tcW w:w="990" w:type="dxa"/>
                  <w:tcBorders>
                    <w:tl2br w:val="nil"/>
                    <w:tr2bl w:val="nil"/>
                  </w:tcBorders>
                  <w:vAlign w:val="center"/>
                </w:tcPr>
                <w:p w14:paraId="5DFC65A7">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13</w:t>
                  </w:r>
                </w:p>
              </w:tc>
              <w:tc>
                <w:tcPr>
                  <w:tcW w:w="2037" w:type="dxa"/>
                  <w:tcBorders>
                    <w:tl2br w:val="nil"/>
                    <w:tr2bl w:val="nil"/>
                  </w:tcBorders>
                  <w:vAlign w:val="center"/>
                </w:tcPr>
                <w:p w14:paraId="457EE3C6">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2.03</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2</w:t>
                  </w:r>
                </w:p>
              </w:tc>
            </w:tr>
            <w:tr w14:paraId="639B4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348893A1">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3EFDE644">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0450FBFC">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均值</w:t>
                  </w:r>
                </w:p>
              </w:tc>
              <w:tc>
                <w:tcPr>
                  <w:tcW w:w="1156" w:type="dxa"/>
                  <w:tcBorders>
                    <w:tl2br w:val="nil"/>
                    <w:tr2bl w:val="nil"/>
                  </w:tcBorders>
                  <w:vAlign w:val="center"/>
                </w:tcPr>
                <w:p w14:paraId="090CF2B6">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23.67</w:t>
                  </w:r>
                </w:p>
              </w:tc>
              <w:tc>
                <w:tcPr>
                  <w:tcW w:w="990" w:type="dxa"/>
                  <w:tcBorders>
                    <w:tl2br w:val="nil"/>
                    <w:tr2bl w:val="nil"/>
                  </w:tcBorders>
                  <w:vAlign w:val="center"/>
                </w:tcPr>
                <w:p w14:paraId="2F38724E">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36</w:t>
                  </w:r>
                </w:p>
              </w:tc>
              <w:tc>
                <w:tcPr>
                  <w:tcW w:w="2037" w:type="dxa"/>
                  <w:tcBorders>
                    <w:tl2br w:val="nil"/>
                    <w:tr2bl w:val="nil"/>
                  </w:tcBorders>
                  <w:vAlign w:val="center"/>
                </w:tcPr>
                <w:p w14:paraId="4F7B7CA9">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1.84</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w:t>
                  </w:r>
                  <w:r>
                    <w:rPr>
                      <w:rFonts w:hint="eastAsia" w:cs="Times New Roman"/>
                      <w:color w:val="auto"/>
                      <w:sz w:val="21"/>
                      <w:szCs w:val="21"/>
                      <w:highlight w:val="none"/>
                      <w:vertAlign w:val="superscript"/>
                      <w:lang w:val="en-US" w:eastAsia="zh-CN"/>
                    </w:rPr>
                    <w:t>2</w:t>
                  </w:r>
                </w:p>
              </w:tc>
            </w:tr>
            <w:tr w14:paraId="1A731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11" w:type="dxa"/>
                  <w:vMerge w:val="continue"/>
                  <w:tcBorders>
                    <w:tl2br w:val="nil"/>
                    <w:tr2bl w:val="nil"/>
                  </w:tcBorders>
                  <w:vAlign w:val="center"/>
                </w:tcPr>
                <w:p w14:paraId="5B299E82">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7E50F3FD">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0FEA7B59">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标准限值</w:t>
                  </w:r>
                </w:p>
              </w:tc>
              <w:tc>
                <w:tcPr>
                  <w:tcW w:w="1156" w:type="dxa"/>
                  <w:tcBorders>
                    <w:tl2br w:val="nil"/>
                    <w:tr2bl w:val="nil"/>
                  </w:tcBorders>
                  <w:vAlign w:val="center"/>
                </w:tcPr>
                <w:p w14:paraId="51D63E11">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50</w:t>
                  </w:r>
                </w:p>
              </w:tc>
              <w:tc>
                <w:tcPr>
                  <w:tcW w:w="990" w:type="dxa"/>
                  <w:tcBorders>
                    <w:tl2br w:val="nil"/>
                    <w:tr2bl w:val="nil"/>
                  </w:tcBorders>
                  <w:vAlign w:val="center"/>
                </w:tcPr>
                <w:p w14:paraId="39647EEA">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31ED06FF">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r>
            <w:tr w14:paraId="4D446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1411" w:type="dxa"/>
                  <w:vMerge w:val="continue"/>
                  <w:tcBorders>
                    <w:tl2br w:val="nil"/>
                    <w:tr2bl w:val="nil"/>
                  </w:tcBorders>
                  <w:vAlign w:val="center"/>
                </w:tcPr>
                <w:p w14:paraId="499D7057">
                  <w:pPr>
                    <w:jc w:val="center"/>
                    <w:rPr>
                      <w:rFonts w:hint="default" w:ascii="Times New Roman" w:hAnsi="Times New Roman" w:eastAsia="宋体" w:cs="Times New Roman"/>
                      <w:b w:val="0"/>
                      <w:bCs/>
                      <w:color w:val="auto"/>
                      <w:sz w:val="21"/>
                      <w:szCs w:val="21"/>
                      <w:highlight w:val="none"/>
                      <w:lang w:val="en-US" w:eastAsia="zh-CN"/>
                    </w:rPr>
                  </w:pPr>
                </w:p>
              </w:tc>
              <w:tc>
                <w:tcPr>
                  <w:tcW w:w="831" w:type="dxa"/>
                  <w:vMerge w:val="continue"/>
                  <w:tcBorders>
                    <w:tl2br w:val="nil"/>
                    <w:tr2bl w:val="nil"/>
                  </w:tcBorders>
                  <w:vAlign w:val="center"/>
                </w:tcPr>
                <w:p w14:paraId="41D65A44">
                  <w:pPr>
                    <w:jc w:val="center"/>
                    <w:rPr>
                      <w:rFonts w:hint="eastAsia" w:ascii="Times New Roman" w:hAnsi="Times New Roman" w:eastAsia="宋体" w:cs="Times New Roman"/>
                      <w:b w:val="0"/>
                      <w:bCs/>
                      <w:color w:val="auto"/>
                      <w:sz w:val="21"/>
                      <w:szCs w:val="21"/>
                      <w:highlight w:val="none"/>
                      <w:lang w:val="en-US" w:eastAsia="zh-CN"/>
                    </w:rPr>
                  </w:pPr>
                </w:p>
              </w:tc>
              <w:tc>
                <w:tcPr>
                  <w:tcW w:w="0" w:type="auto"/>
                  <w:tcBorders>
                    <w:tl2br w:val="nil"/>
                    <w:tr2bl w:val="nil"/>
                  </w:tcBorders>
                  <w:vAlign w:val="center"/>
                </w:tcPr>
                <w:p w14:paraId="72553BC4">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评价</w:t>
                  </w:r>
                </w:p>
              </w:tc>
              <w:tc>
                <w:tcPr>
                  <w:tcW w:w="1156" w:type="dxa"/>
                  <w:tcBorders>
                    <w:tl2br w:val="nil"/>
                    <w:tr2bl w:val="nil"/>
                  </w:tcBorders>
                  <w:vAlign w:val="center"/>
                </w:tcPr>
                <w:p w14:paraId="4735F57A">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达标</w:t>
                  </w:r>
                </w:p>
              </w:tc>
              <w:tc>
                <w:tcPr>
                  <w:tcW w:w="990" w:type="dxa"/>
                  <w:tcBorders>
                    <w:tl2br w:val="nil"/>
                    <w:tr2bl w:val="nil"/>
                  </w:tcBorders>
                  <w:vAlign w:val="center"/>
                </w:tcPr>
                <w:p w14:paraId="21B25748">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2037" w:type="dxa"/>
                  <w:tcBorders>
                    <w:tl2br w:val="nil"/>
                    <w:tr2bl w:val="nil"/>
                  </w:tcBorders>
                  <w:vAlign w:val="center"/>
                </w:tcPr>
                <w:p w14:paraId="11D6BE25">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r>
            <w:tr w14:paraId="09678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7922" w:type="dxa"/>
                  <w:gridSpan w:val="6"/>
                  <w:tcBorders>
                    <w:tl2br w:val="nil"/>
                    <w:tr2bl w:val="nil"/>
                  </w:tcBorders>
                  <w:vAlign w:val="center"/>
                </w:tcPr>
                <w:p w14:paraId="3B30C279">
                  <w:pPr>
                    <w:jc w:val="both"/>
                    <w:rPr>
                      <w:rFonts w:hint="default" w:cs="Times New Roman"/>
                      <w:b w:val="0"/>
                      <w:bCs/>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注：ND表示未检出；相关项目检出限：</w:t>
                  </w:r>
                  <w:r>
                    <w:rPr>
                      <w:rFonts w:hint="eastAsia" w:cs="Times New Roman"/>
                      <w:color w:val="auto"/>
                      <w:highlight w:val="none"/>
                      <w:lang w:val="en-US" w:eastAsia="zh-CN"/>
                    </w:rPr>
                    <w:t>氮氧化物3</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cs="Times New Roman"/>
                      <w:color w:val="auto"/>
                      <w:highlight w:val="none"/>
                      <w:lang w:val="en-US" w:eastAsia="zh-CN"/>
                    </w:rPr>
                    <w:t>、二氧化硫3</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DA002排气筒高度15m，周围200m范围内最高建筑物18m，排气筒高度不满足高出周围200m范围内最高建筑物3m以上，大气污染物最高允许排放浓度应按排放标准值的50%执行</w:t>
                  </w:r>
                </w:p>
              </w:tc>
            </w:tr>
          </w:tbl>
          <w:p w14:paraId="0EA6C08C">
            <w:pPr>
              <w:keepNext w:val="0"/>
              <w:keepLines w:val="0"/>
              <w:pageBreakBefore w:val="0"/>
              <w:widowControl w:val="0"/>
              <w:kinsoku/>
              <w:wordWrap/>
              <w:overflowPunct/>
              <w:topLinePunct w:val="0"/>
              <w:autoSpaceDE/>
              <w:autoSpaceDN/>
              <w:bidi w:val="0"/>
              <w:adjustRightInd/>
              <w:snapToGrid/>
              <w:spacing w:before="157" w:beforeLines="50" w:line="360" w:lineRule="auto"/>
              <w:ind w:right="0" w:rightChars="0" w:firstLine="420" w:firstLineChars="200"/>
              <w:jc w:val="left"/>
              <w:textAlignment w:val="auto"/>
              <w:outlineLvl w:val="9"/>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监测结果表明，</w:t>
            </w:r>
            <w:r>
              <w:rPr>
                <w:rFonts w:hint="eastAsia"/>
                <w:color w:val="auto"/>
                <w:sz w:val="21"/>
                <w:szCs w:val="21"/>
                <w:highlight w:val="none"/>
                <w:lang w:val="en-US" w:eastAsia="zh-CN"/>
              </w:rPr>
              <w:t>现有项目DA001排气筒排放的颗粒物和DA003、DA004排气筒排放的氯化氢满足</w:t>
            </w:r>
            <w:r>
              <w:rPr>
                <w:rFonts w:hint="default" w:ascii="Times New Roman" w:hAnsi="Times New Roman" w:eastAsia="宋体" w:cs="Times New Roman"/>
                <w:color w:val="auto"/>
                <w:sz w:val="21"/>
                <w:szCs w:val="16"/>
                <w:highlight w:val="none"/>
              </w:rPr>
              <w:t>《大气污染物综合排放标准》（DB32/4041</w:t>
            </w:r>
            <w:r>
              <w:rPr>
                <w:rFonts w:hint="default" w:ascii="Times New Roman" w:hAnsi="Times New Roman" w:eastAsia="宋体" w:cs="Times New Roman"/>
                <w:color w:val="auto"/>
                <w:sz w:val="21"/>
                <w:szCs w:val="16"/>
                <w:highlight w:val="none"/>
                <w:lang w:val="en-US" w:eastAsia="zh-CN"/>
              </w:rPr>
              <w:t>-</w:t>
            </w:r>
            <w:r>
              <w:rPr>
                <w:rFonts w:hint="default" w:ascii="Times New Roman" w:hAnsi="Times New Roman" w:eastAsia="宋体" w:cs="Times New Roman"/>
                <w:color w:val="auto"/>
                <w:sz w:val="21"/>
                <w:szCs w:val="16"/>
                <w:highlight w:val="none"/>
              </w:rPr>
              <w:t>2021）</w:t>
            </w:r>
            <w:r>
              <w:rPr>
                <w:rFonts w:hint="eastAsia" w:cs="Times New Roman"/>
                <w:color w:val="auto"/>
                <w:sz w:val="21"/>
                <w:szCs w:val="16"/>
                <w:highlight w:val="none"/>
                <w:lang w:val="en-US" w:eastAsia="zh-CN"/>
              </w:rPr>
              <w:t>标准要求；DA002排气筒排放的挥发性有机物满足</w:t>
            </w:r>
            <w:r>
              <w:rPr>
                <w:rFonts w:hint="default" w:ascii="Times New Roman" w:hAnsi="Times New Roman" w:eastAsia="宋体" w:cs="Times New Roman"/>
                <w:color w:val="auto"/>
                <w:sz w:val="21"/>
                <w:szCs w:val="16"/>
                <w:highlight w:val="none"/>
              </w:rPr>
              <w:t>《大气污染物综合排放标准》（DB32/4041</w:t>
            </w:r>
            <w:r>
              <w:rPr>
                <w:rFonts w:hint="default" w:ascii="Times New Roman" w:hAnsi="Times New Roman" w:eastAsia="宋体" w:cs="Times New Roman"/>
                <w:color w:val="auto"/>
                <w:sz w:val="21"/>
                <w:szCs w:val="16"/>
                <w:highlight w:val="none"/>
                <w:lang w:val="en-US" w:eastAsia="zh-CN"/>
              </w:rPr>
              <w:t>-</w:t>
            </w:r>
            <w:r>
              <w:rPr>
                <w:rFonts w:hint="default" w:ascii="Times New Roman" w:hAnsi="Times New Roman" w:eastAsia="宋体" w:cs="Times New Roman"/>
                <w:color w:val="auto"/>
                <w:sz w:val="21"/>
                <w:szCs w:val="16"/>
                <w:highlight w:val="none"/>
              </w:rPr>
              <w:t>2021）</w:t>
            </w:r>
            <w:r>
              <w:rPr>
                <w:rFonts w:hint="eastAsia" w:cs="Times New Roman"/>
                <w:color w:val="auto"/>
                <w:sz w:val="21"/>
                <w:szCs w:val="16"/>
                <w:highlight w:val="none"/>
                <w:lang w:val="en-US" w:eastAsia="zh-CN"/>
              </w:rPr>
              <w:t>标准要求，DA002排气筒排放的二氧化硫、氮氧化物满足</w:t>
            </w:r>
            <w:r>
              <w:rPr>
                <w:rFonts w:hint="default" w:ascii="Times New Roman" w:hAnsi="Times New Roman" w:eastAsia="宋体" w:cs="Times New Roman"/>
                <w:color w:val="auto"/>
                <w:sz w:val="21"/>
                <w:szCs w:val="16"/>
                <w:highlight w:val="none"/>
                <w:lang w:val="en-US" w:eastAsia="zh-CN"/>
              </w:rPr>
              <w:t>《工业炉窑大气污染物排放标准》</w:t>
            </w:r>
            <w:r>
              <w:rPr>
                <w:rFonts w:hint="default" w:ascii="Times New Roman" w:hAnsi="Times New Roman" w:eastAsia="宋体" w:cs="Times New Roman"/>
                <w:color w:val="auto"/>
                <w:sz w:val="21"/>
                <w:szCs w:val="16"/>
                <w:highlight w:val="none"/>
              </w:rPr>
              <w:t>（DB32/</w:t>
            </w:r>
            <w:r>
              <w:rPr>
                <w:rFonts w:hint="default" w:ascii="Times New Roman" w:hAnsi="Times New Roman" w:eastAsia="宋体" w:cs="Times New Roman"/>
                <w:color w:val="auto"/>
                <w:sz w:val="21"/>
                <w:szCs w:val="16"/>
                <w:highlight w:val="none"/>
                <w:lang w:val="en-US" w:eastAsia="zh-CN"/>
              </w:rPr>
              <w:t>3728</w:t>
            </w:r>
            <w:r>
              <w:rPr>
                <w:rFonts w:hint="default" w:ascii="Times New Roman" w:hAnsi="Times New Roman" w:eastAsia="宋体" w:cs="Times New Roman"/>
                <w:color w:val="auto"/>
                <w:sz w:val="21"/>
                <w:szCs w:val="16"/>
                <w:highlight w:val="none"/>
              </w:rPr>
              <w:t>-20</w:t>
            </w:r>
            <w:r>
              <w:rPr>
                <w:rFonts w:hint="default" w:ascii="Times New Roman" w:hAnsi="Times New Roman" w:eastAsia="宋体" w:cs="Times New Roman"/>
                <w:color w:val="auto"/>
                <w:sz w:val="21"/>
                <w:szCs w:val="16"/>
                <w:highlight w:val="none"/>
                <w:lang w:val="en-US" w:eastAsia="zh-CN"/>
              </w:rPr>
              <w:t>20</w:t>
            </w:r>
            <w:r>
              <w:rPr>
                <w:rFonts w:hint="default" w:ascii="Times New Roman" w:hAnsi="Times New Roman" w:eastAsia="宋体" w:cs="Times New Roman"/>
                <w:color w:val="auto"/>
                <w:sz w:val="21"/>
                <w:szCs w:val="16"/>
                <w:highlight w:val="none"/>
              </w:rPr>
              <w:t>）</w:t>
            </w:r>
            <w:r>
              <w:rPr>
                <w:rFonts w:hint="eastAsia" w:cs="Times New Roman"/>
                <w:color w:val="auto"/>
                <w:sz w:val="21"/>
                <w:szCs w:val="16"/>
                <w:highlight w:val="none"/>
                <w:lang w:val="en-US" w:eastAsia="zh-CN"/>
              </w:rPr>
              <w:t>限制要求，颗粒物不满足标准值的50%；DA005排气筒排放的颗粒物、二氧化硫、氮氧化物满足《锅炉大气污染物排放标准》（DB32/4385-2022）</w:t>
            </w:r>
            <w:r>
              <w:rPr>
                <w:rFonts w:hint="default" w:ascii="Times New Roman" w:hAnsi="Times New Roman" w:eastAsia="宋体"/>
                <w:color w:val="auto"/>
                <w:sz w:val="21"/>
                <w:szCs w:val="21"/>
                <w:highlight w:val="none"/>
                <w:lang w:val="en-US" w:eastAsia="zh-CN"/>
              </w:rPr>
              <w:t>。</w:t>
            </w:r>
          </w:p>
          <w:p w14:paraId="1C4175ED">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表</w:t>
            </w:r>
            <w:r>
              <w:rPr>
                <w:rFonts w:hint="eastAsia"/>
                <w:b/>
                <w:bCs/>
                <w:color w:val="auto"/>
                <w:sz w:val="21"/>
                <w:szCs w:val="21"/>
                <w:highlight w:val="none"/>
                <w:lang w:val="en-US" w:eastAsia="zh-CN"/>
              </w:rPr>
              <w:t>2-13</w:t>
            </w:r>
            <w:r>
              <w:rPr>
                <w:rFonts w:hint="eastAsia" w:ascii="Times New Roman" w:hAnsi="Times New Roman" w:eastAsia="宋体"/>
                <w:b/>
                <w:bCs/>
                <w:color w:val="auto"/>
                <w:sz w:val="21"/>
                <w:szCs w:val="21"/>
                <w:highlight w:val="none"/>
                <w:lang w:val="en-US" w:eastAsia="zh-CN"/>
              </w:rPr>
              <w:t xml:space="preserve"> 无组织废气排放监测结果与评价</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30"/>
              <w:gridCol w:w="722"/>
              <w:gridCol w:w="885"/>
              <w:gridCol w:w="1320"/>
              <w:gridCol w:w="1320"/>
              <w:gridCol w:w="1326"/>
              <w:gridCol w:w="1317"/>
            </w:tblGrid>
            <w:tr w14:paraId="3D850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restart"/>
                  <w:tcBorders>
                    <w:tl2br w:val="nil"/>
                    <w:tr2bl w:val="nil"/>
                  </w:tcBorders>
                  <w:vAlign w:val="center"/>
                </w:tcPr>
                <w:p w14:paraId="4AAC29C5">
                  <w:pPr>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采样日期</w:t>
                  </w:r>
                </w:p>
              </w:tc>
              <w:tc>
                <w:tcPr>
                  <w:tcW w:w="722" w:type="dxa"/>
                  <w:vMerge w:val="restart"/>
                  <w:tcBorders>
                    <w:tl2br w:val="nil"/>
                    <w:tr2bl w:val="nil"/>
                  </w:tcBorders>
                  <w:vAlign w:val="center"/>
                </w:tcPr>
                <w:p w14:paraId="7AC5B1A5">
                  <w:pPr>
                    <w:jc w:val="center"/>
                    <w:rPr>
                      <w:rFonts w:hint="eastAsia" w:ascii="Times New Roman" w:hAnsi="Times New Roman" w:cs="Times New Roman" w:eastAsiaTheme="minorEastAsia"/>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val="en-US" w:eastAsia="zh-CN"/>
                    </w:rPr>
                    <w:t>检测项目</w:t>
                  </w:r>
                </w:p>
              </w:tc>
              <w:tc>
                <w:tcPr>
                  <w:tcW w:w="885" w:type="dxa"/>
                  <w:vMerge w:val="restart"/>
                  <w:tcBorders>
                    <w:tl2br w:val="nil"/>
                    <w:tr2bl w:val="nil"/>
                  </w:tcBorders>
                  <w:vAlign w:val="center"/>
                </w:tcPr>
                <w:p w14:paraId="5081A21D">
                  <w:pPr>
                    <w:jc w:val="center"/>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检测</w:t>
                  </w:r>
                  <w:r>
                    <w:rPr>
                      <w:rFonts w:hint="default" w:ascii="Times New Roman" w:hAnsi="Times New Roman" w:cs="Times New Roman"/>
                      <w:b w:val="0"/>
                      <w:bCs w:val="0"/>
                      <w:color w:val="auto"/>
                      <w:sz w:val="21"/>
                      <w:szCs w:val="21"/>
                      <w:highlight w:val="none"/>
                    </w:rPr>
                    <w:t>频次</w:t>
                  </w:r>
                </w:p>
              </w:tc>
              <w:tc>
                <w:tcPr>
                  <w:tcW w:w="5283" w:type="dxa"/>
                  <w:gridSpan w:val="4"/>
                  <w:tcBorders>
                    <w:tl2br w:val="nil"/>
                    <w:tr2bl w:val="nil"/>
                  </w:tcBorders>
                  <w:vAlign w:val="center"/>
                </w:tcPr>
                <w:p w14:paraId="3AE4BC31">
                  <w:pPr>
                    <w:jc w:val="center"/>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监</w:t>
                  </w:r>
                  <w:r>
                    <w:rPr>
                      <w:rFonts w:hint="default" w:ascii="Times New Roman" w:hAnsi="Times New Roman" w:cs="Times New Roman"/>
                      <w:b w:val="0"/>
                      <w:bCs w:val="0"/>
                      <w:color w:val="auto"/>
                      <w:sz w:val="21"/>
                      <w:szCs w:val="21"/>
                      <w:highlight w:val="none"/>
                      <w:lang w:eastAsia="zh-CN"/>
                    </w:rPr>
                    <w:t>测</w:t>
                  </w:r>
                  <w:r>
                    <w:rPr>
                      <w:rFonts w:hint="default" w:ascii="Times New Roman" w:hAnsi="Times New Roman" w:cs="Times New Roman"/>
                      <w:b w:val="0"/>
                      <w:bCs w:val="0"/>
                      <w:color w:val="auto"/>
                      <w:sz w:val="21"/>
                      <w:szCs w:val="21"/>
                      <w:highlight w:val="none"/>
                    </w:rPr>
                    <w:t>结果（mg/m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r>
            <w:tr w14:paraId="5BB0C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42D25430">
                  <w:pPr>
                    <w:jc w:val="center"/>
                    <w:rPr>
                      <w:rFonts w:hint="default" w:ascii="Times New Roman" w:hAnsi="Times New Roman" w:cs="Times New Roman"/>
                      <w:b w:val="0"/>
                      <w:bCs w:val="0"/>
                      <w:color w:val="auto"/>
                      <w:sz w:val="21"/>
                      <w:szCs w:val="21"/>
                      <w:highlight w:val="none"/>
                    </w:rPr>
                  </w:pPr>
                </w:p>
              </w:tc>
              <w:tc>
                <w:tcPr>
                  <w:tcW w:w="722" w:type="dxa"/>
                  <w:vMerge w:val="continue"/>
                  <w:tcBorders>
                    <w:tl2br w:val="nil"/>
                    <w:tr2bl w:val="nil"/>
                  </w:tcBorders>
                  <w:vAlign w:val="center"/>
                </w:tcPr>
                <w:p w14:paraId="0474A166">
                  <w:pPr>
                    <w:jc w:val="center"/>
                    <w:rPr>
                      <w:rFonts w:hint="default" w:ascii="Times New Roman" w:hAnsi="Times New Roman" w:cs="Times New Roman"/>
                      <w:b w:val="0"/>
                      <w:bCs w:val="0"/>
                      <w:color w:val="auto"/>
                      <w:sz w:val="21"/>
                      <w:szCs w:val="21"/>
                      <w:highlight w:val="none"/>
                    </w:rPr>
                  </w:pPr>
                </w:p>
              </w:tc>
              <w:tc>
                <w:tcPr>
                  <w:tcW w:w="885" w:type="dxa"/>
                  <w:vMerge w:val="continue"/>
                  <w:tcBorders>
                    <w:tl2br w:val="nil"/>
                    <w:tr2bl w:val="nil"/>
                  </w:tcBorders>
                  <w:vAlign w:val="center"/>
                </w:tcPr>
                <w:p w14:paraId="0FB5C71F">
                  <w:pPr>
                    <w:jc w:val="center"/>
                    <w:rPr>
                      <w:rFonts w:hint="default" w:ascii="Times New Roman" w:hAnsi="Times New Roman" w:cs="Times New Roman"/>
                      <w:b w:val="0"/>
                      <w:bCs w:val="0"/>
                      <w:color w:val="auto"/>
                      <w:sz w:val="21"/>
                      <w:szCs w:val="21"/>
                      <w:highlight w:val="none"/>
                    </w:rPr>
                  </w:pPr>
                </w:p>
              </w:tc>
              <w:tc>
                <w:tcPr>
                  <w:tcW w:w="1320" w:type="dxa"/>
                  <w:tcBorders>
                    <w:tl2br w:val="nil"/>
                    <w:tr2bl w:val="nil"/>
                  </w:tcBorders>
                  <w:vAlign w:val="center"/>
                </w:tcPr>
                <w:p w14:paraId="365D0CF6">
                  <w:pPr>
                    <w:jc w:val="center"/>
                    <w:rPr>
                      <w:rFonts w:hint="default" w:ascii="Times New Roman" w:hAnsi="Times New Roman" w:cs="Times New Roman" w:eastAsiaTheme="minorEastAsia"/>
                      <w:b w:val="0"/>
                      <w:bCs w:val="0"/>
                      <w:color w:val="auto"/>
                      <w:spacing w:val="-17"/>
                      <w:sz w:val="21"/>
                      <w:szCs w:val="21"/>
                      <w:highlight w:val="none"/>
                      <w:lang w:val="en-US" w:eastAsia="zh-CN"/>
                    </w:rPr>
                  </w:pPr>
                  <w:r>
                    <w:rPr>
                      <w:rFonts w:hint="default" w:ascii="Times New Roman" w:hAnsi="Times New Roman" w:cs="Times New Roman" w:eastAsiaTheme="minorEastAsia"/>
                      <w:b w:val="0"/>
                      <w:bCs w:val="0"/>
                      <w:color w:val="auto"/>
                      <w:spacing w:val="-17"/>
                      <w:sz w:val="21"/>
                      <w:szCs w:val="21"/>
                      <w:highlight w:val="none"/>
                      <w:lang w:val="en-US" w:eastAsia="zh-CN"/>
                    </w:rPr>
                    <w:t>G1上风向</w:t>
                  </w:r>
                </w:p>
              </w:tc>
              <w:tc>
                <w:tcPr>
                  <w:tcW w:w="1320" w:type="dxa"/>
                  <w:tcBorders>
                    <w:tl2br w:val="nil"/>
                    <w:tr2bl w:val="nil"/>
                  </w:tcBorders>
                  <w:vAlign w:val="center"/>
                </w:tcPr>
                <w:p w14:paraId="5F44CA27">
                  <w:pPr>
                    <w:jc w:val="center"/>
                    <w:rPr>
                      <w:rFonts w:hint="default" w:ascii="Times New Roman" w:hAnsi="Times New Roman" w:cs="Times New Roman" w:eastAsiaTheme="minorEastAsia"/>
                      <w:b w:val="0"/>
                      <w:bCs w:val="0"/>
                      <w:color w:val="auto"/>
                      <w:spacing w:val="-17"/>
                      <w:sz w:val="21"/>
                      <w:szCs w:val="21"/>
                      <w:highlight w:val="none"/>
                      <w:lang w:val="en-US" w:eastAsia="zh-CN"/>
                    </w:rPr>
                  </w:pPr>
                  <w:r>
                    <w:rPr>
                      <w:rFonts w:hint="eastAsia" w:ascii="Times New Roman" w:hAnsi="Times New Roman" w:cs="Times New Roman" w:eastAsiaTheme="minorEastAsia"/>
                      <w:b w:val="0"/>
                      <w:bCs w:val="0"/>
                      <w:color w:val="auto"/>
                      <w:spacing w:val="-17"/>
                      <w:sz w:val="21"/>
                      <w:szCs w:val="21"/>
                      <w:highlight w:val="none"/>
                      <w:lang w:val="en-US" w:eastAsia="zh-CN"/>
                    </w:rPr>
                    <w:t>G2下风向</w:t>
                  </w:r>
                </w:p>
              </w:tc>
              <w:tc>
                <w:tcPr>
                  <w:tcW w:w="1326" w:type="dxa"/>
                  <w:tcBorders>
                    <w:tl2br w:val="nil"/>
                    <w:tr2bl w:val="nil"/>
                  </w:tcBorders>
                  <w:vAlign w:val="center"/>
                </w:tcPr>
                <w:p w14:paraId="661EA7B2">
                  <w:pPr>
                    <w:jc w:val="center"/>
                    <w:rPr>
                      <w:rFonts w:hint="default" w:ascii="Times New Roman" w:hAnsi="Times New Roman" w:cs="Times New Roman" w:eastAsiaTheme="minorEastAsia"/>
                      <w:b w:val="0"/>
                      <w:bCs w:val="0"/>
                      <w:color w:val="auto"/>
                      <w:spacing w:val="-17"/>
                      <w:sz w:val="21"/>
                      <w:szCs w:val="21"/>
                      <w:highlight w:val="none"/>
                      <w:lang w:val="en-US" w:eastAsia="zh-CN"/>
                    </w:rPr>
                  </w:pPr>
                  <w:r>
                    <w:rPr>
                      <w:rFonts w:hint="eastAsia" w:ascii="Times New Roman" w:hAnsi="Times New Roman" w:cs="Times New Roman" w:eastAsiaTheme="minorEastAsia"/>
                      <w:b w:val="0"/>
                      <w:bCs w:val="0"/>
                      <w:color w:val="auto"/>
                      <w:spacing w:val="-17"/>
                      <w:sz w:val="21"/>
                      <w:szCs w:val="21"/>
                      <w:highlight w:val="none"/>
                      <w:lang w:val="en-US" w:eastAsia="zh-CN"/>
                    </w:rPr>
                    <w:t>G3下风向</w:t>
                  </w:r>
                </w:p>
              </w:tc>
              <w:tc>
                <w:tcPr>
                  <w:tcW w:w="1317" w:type="dxa"/>
                  <w:tcBorders>
                    <w:tl2br w:val="nil"/>
                    <w:tr2bl w:val="nil"/>
                  </w:tcBorders>
                  <w:vAlign w:val="center"/>
                </w:tcPr>
                <w:p w14:paraId="0C373D4E">
                  <w:pPr>
                    <w:jc w:val="center"/>
                    <w:rPr>
                      <w:rFonts w:hint="default" w:ascii="Times New Roman" w:hAnsi="Times New Roman" w:cs="Times New Roman" w:eastAsiaTheme="minorEastAsia"/>
                      <w:b w:val="0"/>
                      <w:bCs w:val="0"/>
                      <w:color w:val="auto"/>
                      <w:spacing w:val="-17"/>
                      <w:sz w:val="21"/>
                      <w:szCs w:val="21"/>
                      <w:highlight w:val="none"/>
                      <w:lang w:val="en-US" w:eastAsia="zh-CN"/>
                    </w:rPr>
                  </w:pPr>
                  <w:r>
                    <w:rPr>
                      <w:rFonts w:hint="eastAsia" w:ascii="Times New Roman" w:hAnsi="Times New Roman" w:cs="Times New Roman" w:eastAsiaTheme="minorEastAsia"/>
                      <w:b w:val="0"/>
                      <w:bCs w:val="0"/>
                      <w:color w:val="auto"/>
                      <w:spacing w:val="-17"/>
                      <w:sz w:val="21"/>
                      <w:szCs w:val="21"/>
                      <w:highlight w:val="none"/>
                      <w:lang w:val="en-US" w:eastAsia="zh-CN"/>
                    </w:rPr>
                    <w:t>G4下风向</w:t>
                  </w:r>
                </w:p>
              </w:tc>
            </w:tr>
            <w:tr w14:paraId="02D77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restart"/>
                  <w:tcBorders>
                    <w:tl2br w:val="nil"/>
                    <w:tr2bl w:val="nil"/>
                  </w:tcBorders>
                  <w:vAlign w:val="center"/>
                </w:tcPr>
                <w:p w14:paraId="25F2534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w:t>
                  </w:r>
                  <w:r>
                    <w:rPr>
                      <w:rFonts w:hint="eastAsia" w:cs="Times New Roman"/>
                      <w:color w:val="auto"/>
                      <w:szCs w:val="21"/>
                      <w:highlight w:val="none"/>
                      <w:lang w:val="en-US" w:eastAsia="zh-CN"/>
                    </w:rPr>
                    <w:t>3</w:t>
                  </w:r>
                  <w:r>
                    <w:rPr>
                      <w:rFonts w:hint="eastAsia"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4.14</w:t>
                  </w:r>
                </w:p>
              </w:tc>
              <w:tc>
                <w:tcPr>
                  <w:tcW w:w="722" w:type="dxa"/>
                  <w:vMerge w:val="restart"/>
                  <w:tcBorders>
                    <w:tl2br w:val="nil"/>
                    <w:tr2bl w:val="nil"/>
                  </w:tcBorders>
                  <w:vAlign w:val="center"/>
                </w:tcPr>
                <w:p w14:paraId="49F71DC4">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885" w:type="dxa"/>
                  <w:tcBorders>
                    <w:tl2br w:val="nil"/>
                    <w:tr2bl w:val="nil"/>
                  </w:tcBorders>
                  <w:vAlign w:val="center"/>
                </w:tcPr>
                <w:p w14:paraId="2556D5D8">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第一次</w:t>
                  </w:r>
                </w:p>
              </w:tc>
              <w:tc>
                <w:tcPr>
                  <w:tcW w:w="1320" w:type="dxa"/>
                  <w:tcBorders>
                    <w:tl2br w:val="nil"/>
                    <w:tr2bl w:val="nil"/>
                  </w:tcBorders>
                  <w:vAlign w:val="center"/>
                </w:tcPr>
                <w:p w14:paraId="6ED1B72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c>
                <w:tcPr>
                  <w:tcW w:w="1320" w:type="dxa"/>
                  <w:tcBorders>
                    <w:tl2br w:val="nil"/>
                    <w:tr2bl w:val="nil"/>
                  </w:tcBorders>
                  <w:vAlign w:val="center"/>
                </w:tcPr>
                <w:p w14:paraId="63B001CC">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0.350</w:t>
                  </w:r>
                </w:p>
              </w:tc>
              <w:tc>
                <w:tcPr>
                  <w:tcW w:w="1326" w:type="dxa"/>
                  <w:tcBorders>
                    <w:tl2br w:val="nil"/>
                    <w:tr2bl w:val="nil"/>
                  </w:tcBorders>
                  <w:vAlign w:val="center"/>
                </w:tcPr>
                <w:p w14:paraId="0EB53F3F">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0.300</w:t>
                  </w:r>
                </w:p>
              </w:tc>
              <w:tc>
                <w:tcPr>
                  <w:tcW w:w="1317" w:type="dxa"/>
                  <w:tcBorders>
                    <w:tl2br w:val="nil"/>
                    <w:tr2bl w:val="nil"/>
                  </w:tcBorders>
                  <w:vAlign w:val="center"/>
                </w:tcPr>
                <w:p w14:paraId="2D75CBCE">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0.367</w:t>
                  </w:r>
                </w:p>
              </w:tc>
            </w:tr>
            <w:tr w14:paraId="5E0A3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2F510B6E">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496D0027">
                  <w:pPr>
                    <w:jc w:val="center"/>
                    <w:rPr>
                      <w:rFonts w:hint="default" w:ascii="Times New Roman" w:hAnsi="Times New Roman" w:cs="Times New Roman"/>
                      <w:color w:val="auto"/>
                      <w:sz w:val="21"/>
                      <w:szCs w:val="21"/>
                      <w:highlight w:val="none"/>
                    </w:rPr>
                  </w:pPr>
                </w:p>
              </w:tc>
              <w:tc>
                <w:tcPr>
                  <w:tcW w:w="885" w:type="dxa"/>
                  <w:tcBorders>
                    <w:tl2br w:val="nil"/>
                    <w:tr2bl w:val="nil"/>
                  </w:tcBorders>
                  <w:vAlign w:val="center"/>
                </w:tcPr>
                <w:p w14:paraId="4A8F1233">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第二次</w:t>
                  </w:r>
                </w:p>
              </w:tc>
              <w:tc>
                <w:tcPr>
                  <w:tcW w:w="1320" w:type="dxa"/>
                  <w:tcBorders>
                    <w:tl2br w:val="nil"/>
                    <w:tr2bl w:val="nil"/>
                  </w:tcBorders>
                  <w:vAlign w:val="center"/>
                </w:tcPr>
                <w:p w14:paraId="36120BB2">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0.183</w:t>
                  </w:r>
                </w:p>
              </w:tc>
              <w:tc>
                <w:tcPr>
                  <w:tcW w:w="1320" w:type="dxa"/>
                  <w:tcBorders>
                    <w:tl2br w:val="nil"/>
                    <w:tr2bl w:val="nil"/>
                  </w:tcBorders>
                  <w:vAlign w:val="center"/>
                </w:tcPr>
                <w:p w14:paraId="56FBF64F">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0.317</w:t>
                  </w:r>
                </w:p>
              </w:tc>
              <w:tc>
                <w:tcPr>
                  <w:tcW w:w="1326" w:type="dxa"/>
                  <w:tcBorders>
                    <w:tl2br w:val="nil"/>
                    <w:tr2bl w:val="nil"/>
                  </w:tcBorders>
                  <w:vAlign w:val="center"/>
                </w:tcPr>
                <w:p w14:paraId="6630D80C">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0.383</w:t>
                  </w:r>
                </w:p>
              </w:tc>
              <w:tc>
                <w:tcPr>
                  <w:tcW w:w="1317" w:type="dxa"/>
                  <w:tcBorders>
                    <w:tl2br w:val="nil"/>
                    <w:tr2bl w:val="nil"/>
                  </w:tcBorders>
                  <w:vAlign w:val="center"/>
                </w:tcPr>
                <w:p w14:paraId="2913AFE5">
                  <w:pPr>
                    <w:widowControl/>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0.300</w:t>
                  </w:r>
                </w:p>
              </w:tc>
            </w:tr>
            <w:tr w14:paraId="4E5D5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18DA1A83">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1DE52B7E">
                  <w:pPr>
                    <w:jc w:val="center"/>
                    <w:rPr>
                      <w:rFonts w:hint="default" w:ascii="Times New Roman" w:hAnsi="Times New Roman" w:cs="Times New Roman"/>
                      <w:color w:val="auto"/>
                      <w:sz w:val="21"/>
                      <w:szCs w:val="21"/>
                      <w:highlight w:val="none"/>
                    </w:rPr>
                  </w:pPr>
                </w:p>
              </w:tc>
              <w:tc>
                <w:tcPr>
                  <w:tcW w:w="885" w:type="dxa"/>
                  <w:tcBorders>
                    <w:tl2br w:val="nil"/>
                    <w:tr2bl w:val="nil"/>
                  </w:tcBorders>
                  <w:vAlign w:val="center"/>
                </w:tcPr>
                <w:p w14:paraId="43C2C71B">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第三次</w:t>
                  </w:r>
                </w:p>
              </w:tc>
              <w:tc>
                <w:tcPr>
                  <w:tcW w:w="1320" w:type="dxa"/>
                  <w:tcBorders>
                    <w:tl2br w:val="nil"/>
                    <w:tr2bl w:val="nil"/>
                  </w:tcBorders>
                  <w:vAlign w:val="center"/>
                </w:tcPr>
                <w:p w14:paraId="22C71A33">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0.133</w:t>
                  </w:r>
                </w:p>
              </w:tc>
              <w:tc>
                <w:tcPr>
                  <w:tcW w:w="1320" w:type="dxa"/>
                  <w:tcBorders>
                    <w:tl2br w:val="nil"/>
                    <w:tr2bl w:val="nil"/>
                  </w:tcBorders>
                  <w:vAlign w:val="center"/>
                </w:tcPr>
                <w:p w14:paraId="3533E816">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0.283</w:t>
                  </w:r>
                </w:p>
              </w:tc>
              <w:tc>
                <w:tcPr>
                  <w:tcW w:w="1326" w:type="dxa"/>
                  <w:tcBorders>
                    <w:tl2br w:val="nil"/>
                    <w:tr2bl w:val="nil"/>
                  </w:tcBorders>
                  <w:vAlign w:val="center"/>
                </w:tcPr>
                <w:p w14:paraId="7019D0DF">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0.333</w:t>
                  </w:r>
                </w:p>
              </w:tc>
              <w:tc>
                <w:tcPr>
                  <w:tcW w:w="1317" w:type="dxa"/>
                  <w:tcBorders>
                    <w:tl2br w:val="nil"/>
                    <w:tr2bl w:val="nil"/>
                  </w:tcBorders>
                  <w:vAlign w:val="center"/>
                </w:tcPr>
                <w:p w14:paraId="65E2FC6B">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0.317</w:t>
                  </w:r>
                </w:p>
              </w:tc>
            </w:tr>
            <w:tr w14:paraId="3E51D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66BF0CA8">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2AEAD377">
                  <w:pPr>
                    <w:jc w:val="center"/>
                    <w:rPr>
                      <w:rFonts w:hint="eastAsia"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b w:val="0"/>
                      <w:bCs w:val="0"/>
                      <w:color w:val="auto"/>
                      <w:sz w:val="21"/>
                      <w:szCs w:val="21"/>
                      <w:highlight w:val="none"/>
                    </w:rPr>
                    <w:t>周界外浓度最</w:t>
                  </w:r>
                  <w:r>
                    <w:rPr>
                      <w:rFonts w:hint="eastAsia" w:ascii="Times New Roman" w:hAnsi="Times New Roman" w:eastAsia="宋体" w:cs="Times New Roman"/>
                      <w:b w:val="0"/>
                      <w:bCs w:val="0"/>
                      <w:color w:val="auto"/>
                      <w:sz w:val="21"/>
                      <w:szCs w:val="21"/>
                      <w:highlight w:val="none"/>
                      <w:lang w:val="en-US" w:eastAsia="zh-CN"/>
                    </w:rPr>
                    <w:t>大值</w:t>
                  </w:r>
                </w:p>
              </w:tc>
              <w:tc>
                <w:tcPr>
                  <w:tcW w:w="5283" w:type="dxa"/>
                  <w:gridSpan w:val="4"/>
                  <w:tcBorders>
                    <w:tl2br w:val="nil"/>
                    <w:tr2bl w:val="nil"/>
                  </w:tcBorders>
                  <w:vAlign w:val="center"/>
                </w:tcPr>
                <w:p w14:paraId="19678CC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383</w:t>
                  </w:r>
                </w:p>
              </w:tc>
            </w:tr>
            <w:tr w14:paraId="0246E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4B4A1018">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3D31F243">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标准限值</w:t>
                  </w:r>
                </w:p>
              </w:tc>
              <w:tc>
                <w:tcPr>
                  <w:tcW w:w="5283" w:type="dxa"/>
                  <w:gridSpan w:val="4"/>
                  <w:tcBorders>
                    <w:tl2br w:val="nil"/>
                    <w:tr2bl w:val="nil"/>
                  </w:tcBorders>
                  <w:vAlign w:val="center"/>
                </w:tcPr>
                <w:p w14:paraId="09A94DA1">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1.0</w:t>
                  </w:r>
                </w:p>
              </w:tc>
            </w:tr>
            <w:tr w14:paraId="4FF8A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7C1E5D76">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23BE2236">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评价</w:t>
                  </w:r>
                </w:p>
              </w:tc>
              <w:tc>
                <w:tcPr>
                  <w:tcW w:w="5283" w:type="dxa"/>
                  <w:gridSpan w:val="4"/>
                  <w:tcBorders>
                    <w:tl2br w:val="nil"/>
                    <w:tr2bl w:val="nil"/>
                  </w:tcBorders>
                  <w:vAlign w:val="center"/>
                </w:tcPr>
                <w:p w14:paraId="46097164">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r w14:paraId="55F12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restart"/>
                  <w:tcBorders>
                    <w:tl2br w:val="nil"/>
                    <w:tr2bl w:val="nil"/>
                  </w:tcBorders>
                  <w:vAlign w:val="center"/>
                </w:tcPr>
                <w:p w14:paraId="0C67E7E5">
                  <w:pPr>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采样日期</w:t>
                  </w:r>
                </w:p>
              </w:tc>
              <w:tc>
                <w:tcPr>
                  <w:tcW w:w="722" w:type="dxa"/>
                  <w:vMerge w:val="restart"/>
                  <w:tcBorders>
                    <w:tl2br w:val="nil"/>
                    <w:tr2bl w:val="nil"/>
                  </w:tcBorders>
                  <w:vAlign w:val="center"/>
                </w:tcPr>
                <w:p w14:paraId="141967C7">
                  <w:pPr>
                    <w:jc w:val="center"/>
                    <w:rPr>
                      <w:rFonts w:hint="eastAsia" w:ascii="Times New Roman" w:hAnsi="Times New Roman" w:cs="Times New Roman" w:eastAsiaTheme="minorEastAsia"/>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val="en-US" w:eastAsia="zh-CN"/>
                    </w:rPr>
                    <w:t>检测项目</w:t>
                  </w:r>
                </w:p>
              </w:tc>
              <w:tc>
                <w:tcPr>
                  <w:tcW w:w="885" w:type="dxa"/>
                  <w:vMerge w:val="restart"/>
                  <w:tcBorders>
                    <w:tl2br w:val="nil"/>
                    <w:tr2bl w:val="nil"/>
                  </w:tcBorders>
                  <w:vAlign w:val="center"/>
                </w:tcPr>
                <w:p w14:paraId="3EB02E5E">
                  <w:pPr>
                    <w:jc w:val="center"/>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检测</w:t>
                  </w:r>
                  <w:r>
                    <w:rPr>
                      <w:rFonts w:hint="default" w:ascii="Times New Roman" w:hAnsi="Times New Roman" w:cs="Times New Roman"/>
                      <w:b w:val="0"/>
                      <w:bCs w:val="0"/>
                      <w:color w:val="auto"/>
                      <w:sz w:val="21"/>
                      <w:szCs w:val="21"/>
                      <w:highlight w:val="none"/>
                    </w:rPr>
                    <w:t>频次</w:t>
                  </w:r>
                </w:p>
              </w:tc>
              <w:tc>
                <w:tcPr>
                  <w:tcW w:w="5283" w:type="dxa"/>
                  <w:gridSpan w:val="4"/>
                  <w:tcBorders>
                    <w:tl2br w:val="nil"/>
                    <w:tr2bl w:val="nil"/>
                  </w:tcBorders>
                  <w:vAlign w:val="center"/>
                </w:tcPr>
                <w:p w14:paraId="47D487E4">
                  <w:pPr>
                    <w:jc w:val="center"/>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监</w:t>
                  </w:r>
                  <w:r>
                    <w:rPr>
                      <w:rFonts w:hint="default" w:ascii="Times New Roman" w:hAnsi="Times New Roman" w:cs="Times New Roman"/>
                      <w:b w:val="0"/>
                      <w:bCs w:val="0"/>
                      <w:color w:val="auto"/>
                      <w:sz w:val="21"/>
                      <w:szCs w:val="21"/>
                      <w:highlight w:val="none"/>
                      <w:lang w:eastAsia="zh-CN"/>
                    </w:rPr>
                    <w:t>测</w:t>
                  </w:r>
                  <w:r>
                    <w:rPr>
                      <w:rFonts w:hint="default" w:ascii="Times New Roman" w:hAnsi="Times New Roman" w:cs="Times New Roman"/>
                      <w:b w:val="0"/>
                      <w:bCs w:val="0"/>
                      <w:color w:val="auto"/>
                      <w:sz w:val="21"/>
                      <w:szCs w:val="21"/>
                      <w:highlight w:val="none"/>
                    </w:rPr>
                    <w:t>结果（mg/m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r>
            <w:tr w14:paraId="5CC1F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275B3003">
                  <w:pPr>
                    <w:jc w:val="center"/>
                    <w:rPr>
                      <w:rFonts w:hint="default" w:ascii="Times New Roman" w:hAnsi="Times New Roman" w:cs="Times New Roman"/>
                      <w:b w:val="0"/>
                      <w:bCs w:val="0"/>
                      <w:color w:val="auto"/>
                      <w:sz w:val="21"/>
                      <w:szCs w:val="21"/>
                      <w:highlight w:val="none"/>
                    </w:rPr>
                  </w:pPr>
                </w:p>
              </w:tc>
              <w:tc>
                <w:tcPr>
                  <w:tcW w:w="722" w:type="dxa"/>
                  <w:vMerge w:val="continue"/>
                  <w:tcBorders>
                    <w:tl2br w:val="nil"/>
                    <w:tr2bl w:val="nil"/>
                  </w:tcBorders>
                  <w:vAlign w:val="center"/>
                </w:tcPr>
                <w:p w14:paraId="68AE3B3D">
                  <w:pPr>
                    <w:jc w:val="center"/>
                    <w:rPr>
                      <w:rFonts w:hint="default" w:ascii="Times New Roman" w:hAnsi="Times New Roman" w:cs="Times New Roman"/>
                      <w:b w:val="0"/>
                      <w:bCs w:val="0"/>
                      <w:color w:val="auto"/>
                      <w:sz w:val="21"/>
                      <w:szCs w:val="21"/>
                      <w:highlight w:val="none"/>
                    </w:rPr>
                  </w:pPr>
                </w:p>
              </w:tc>
              <w:tc>
                <w:tcPr>
                  <w:tcW w:w="885" w:type="dxa"/>
                  <w:vMerge w:val="continue"/>
                  <w:tcBorders>
                    <w:tl2br w:val="nil"/>
                    <w:tr2bl w:val="nil"/>
                  </w:tcBorders>
                  <w:vAlign w:val="center"/>
                </w:tcPr>
                <w:p w14:paraId="495A602F">
                  <w:pPr>
                    <w:jc w:val="center"/>
                    <w:rPr>
                      <w:rFonts w:hint="default" w:ascii="Times New Roman" w:hAnsi="Times New Roman" w:cs="Times New Roman"/>
                      <w:b w:val="0"/>
                      <w:bCs w:val="0"/>
                      <w:color w:val="auto"/>
                      <w:sz w:val="21"/>
                      <w:szCs w:val="21"/>
                      <w:highlight w:val="none"/>
                    </w:rPr>
                  </w:pPr>
                </w:p>
              </w:tc>
              <w:tc>
                <w:tcPr>
                  <w:tcW w:w="1320" w:type="dxa"/>
                  <w:tcBorders>
                    <w:tl2br w:val="nil"/>
                    <w:tr2bl w:val="nil"/>
                  </w:tcBorders>
                  <w:vAlign w:val="center"/>
                </w:tcPr>
                <w:p w14:paraId="33A65EAC">
                  <w:pPr>
                    <w:jc w:val="center"/>
                    <w:rPr>
                      <w:rFonts w:hint="default" w:ascii="Times New Roman" w:hAnsi="Times New Roman" w:cs="Times New Roman" w:eastAsiaTheme="minorEastAsia"/>
                      <w:b w:val="0"/>
                      <w:bCs w:val="0"/>
                      <w:color w:val="auto"/>
                      <w:spacing w:val="-17"/>
                      <w:sz w:val="21"/>
                      <w:szCs w:val="21"/>
                      <w:highlight w:val="none"/>
                    </w:rPr>
                  </w:pPr>
                  <w:r>
                    <w:rPr>
                      <w:rFonts w:hint="default" w:ascii="Times New Roman" w:hAnsi="Times New Roman" w:cs="Times New Roman" w:eastAsiaTheme="minorEastAsia"/>
                      <w:b w:val="0"/>
                      <w:bCs w:val="0"/>
                      <w:color w:val="auto"/>
                      <w:spacing w:val="-17"/>
                      <w:sz w:val="21"/>
                      <w:szCs w:val="21"/>
                      <w:highlight w:val="none"/>
                      <w:lang w:val="en-US" w:eastAsia="zh-CN"/>
                    </w:rPr>
                    <w:t>G1上风向</w:t>
                  </w:r>
                </w:p>
              </w:tc>
              <w:tc>
                <w:tcPr>
                  <w:tcW w:w="1320" w:type="dxa"/>
                  <w:tcBorders>
                    <w:tl2br w:val="nil"/>
                    <w:tr2bl w:val="nil"/>
                  </w:tcBorders>
                  <w:vAlign w:val="center"/>
                </w:tcPr>
                <w:p w14:paraId="0720D6A8">
                  <w:pPr>
                    <w:jc w:val="center"/>
                    <w:rPr>
                      <w:rFonts w:hint="default" w:ascii="Times New Roman" w:hAnsi="Times New Roman" w:cs="Times New Roman" w:eastAsiaTheme="minorEastAsia"/>
                      <w:b w:val="0"/>
                      <w:bCs w:val="0"/>
                      <w:color w:val="auto"/>
                      <w:spacing w:val="-17"/>
                      <w:sz w:val="21"/>
                      <w:szCs w:val="21"/>
                      <w:highlight w:val="none"/>
                    </w:rPr>
                  </w:pPr>
                  <w:r>
                    <w:rPr>
                      <w:rFonts w:hint="eastAsia" w:ascii="Times New Roman" w:hAnsi="Times New Roman" w:cs="Times New Roman" w:eastAsiaTheme="minorEastAsia"/>
                      <w:b w:val="0"/>
                      <w:bCs w:val="0"/>
                      <w:color w:val="auto"/>
                      <w:spacing w:val="-17"/>
                      <w:sz w:val="21"/>
                      <w:szCs w:val="21"/>
                      <w:highlight w:val="none"/>
                      <w:lang w:val="en-US" w:eastAsia="zh-CN"/>
                    </w:rPr>
                    <w:t>G2下风向</w:t>
                  </w:r>
                </w:p>
              </w:tc>
              <w:tc>
                <w:tcPr>
                  <w:tcW w:w="1326" w:type="dxa"/>
                  <w:tcBorders>
                    <w:tl2br w:val="nil"/>
                    <w:tr2bl w:val="nil"/>
                  </w:tcBorders>
                  <w:vAlign w:val="center"/>
                </w:tcPr>
                <w:p w14:paraId="0A4F03F6">
                  <w:pPr>
                    <w:jc w:val="center"/>
                    <w:rPr>
                      <w:rFonts w:hint="default" w:ascii="Times New Roman" w:hAnsi="Times New Roman" w:cs="Times New Roman" w:eastAsiaTheme="minorEastAsia"/>
                      <w:b w:val="0"/>
                      <w:bCs w:val="0"/>
                      <w:color w:val="auto"/>
                      <w:spacing w:val="-17"/>
                      <w:sz w:val="21"/>
                      <w:szCs w:val="21"/>
                      <w:highlight w:val="none"/>
                    </w:rPr>
                  </w:pPr>
                  <w:r>
                    <w:rPr>
                      <w:rFonts w:hint="eastAsia" w:ascii="Times New Roman" w:hAnsi="Times New Roman" w:cs="Times New Roman" w:eastAsiaTheme="minorEastAsia"/>
                      <w:b w:val="0"/>
                      <w:bCs w:val="0"/>
                      <w:color w:val="auto"/>
                      <w:spacing w:val="-17"/>
                      <w:sz w:val="21"/>
                      <w:szCs w:val="21"/>
                      <w:highlight w:val="none"/>
                      <w:lang w:val="en-US" w:eastAsia="zh-CN"/>
                    </w:rPr>
                    <w:t>G3下风向</w:t>
                  </w:r>
                </w:p>
              </w:tc>
              <w:tc>
                <w:tcPr>
                  <w:tcW w:w="1317" w:type="dxa"/>
                  <w:tcBorders>
                    <w:tl2br w:val="nil"/>
                    <w:tr2bl w:val="nil"/>
                  </w:tcBorders>
                  <w:vAlign w:val="center"/>
                </w:tcPr>
                <w:p w14:paraId="4DB0D7A0">
                  <w:pPr>
                    <w:jc w:val="center"/>
                    <w:rPr>
                      <w:rFonts w:hint="default" w:asciiTheme="minorEastAsia" w:hAnsiTheme="minorEastAsia" w:eastAsiaTheme="minorEastAsia" w:cstheme="minorEastAsia"/>
                      <w:b w:val="0"/>
                      <w:bCs w:val="0"/>
                      <w:color w:val="auto"/>
                      <w:spacing w:val="-17"/>
                      <w:sz w:val="21"/>
                      <w:szCs w:val="21"/>
                      <w:highlight w:val="none"/>
                    </w:rPr>
                  </w:pPr>
                  <w:r>
                    <w:rPr>
                      <w:rFonts w:hint="eastAsia" w:ascii="Times New Roman" w:hAnsi="Times New Roman" w:cs="Times New Roman" w:eastAsiaTheme="minorEastAsia"/>
                      <w:b w:val="0"/>
                      <w:bCs w:val="0"/>
                      <w:color w:val="auto"/>
                      <w:spacing w:val="-17"/>
                      <w:sz w:val="21"/>
                      <w:szCs w:val="21"/>
                      <w:highlight w:val="none"/>
                      <w:lang w:val="en-US" w:eastAsia="zh-CN"/>
                    </w:rPr>
                    <w:t>G4下风向</w:t>
                  </w:r>
                </w:p>
              </w:tc>
            </w:tr>
            <w:tr w14:paraId="6EB9A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restart"/>
                  <w:tcBorders>
                    <w:tl2br w:val="nil"/>
                    <w:tr2bl w:val="nil"/>
                  </w:tcBorders>
                  <w:vAlign w:val="center"/>
                </w:tcPr>
                <w:p w14:paraId="6C10209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r>
                    <w:rPr>
                      <w:rFonts w:hint="eastAsia" w:cs="Times New Roman"/>
                      <w:color w:val="auto"/>
                      <w:szCs w:val="21"/>
                      <w:highlight w:val="none"/>
                      <w:lang w:val="en-US" w:eastAsia="zh-CN"/>
                    </w:rPr>
                    <w:t>23.4.14</w:t>
                  </w:r>
                </w:p>
              </w:tc>
              <w:tc>
                <w:tcPr>
                  <w:tcW w:w="722" w:type="dxa"/>
                  <w:vMerge w:val="restart"/>
                  <w:tcBorders>
                    <w:tl2br w:val="nil"/>
                    <w:tr2bl w:val="nil"/>
                  </w:tcBorders>
                  <w:vAlign w:val="center"/>
                </w:tcPr>
                <w:p w14:paraId="202BC1C7">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氯化氢</w:t>
                  </w:r>
                </w:p>
              </w:tc>
              <w:tc>
                <w:tcPr>
                  <w:tcW w:w="885" w:type="dxa"/>
                  <w:tcBorders>
                    <w:tl2br w:val="nil"/>
                    <w:tr2bl w:val="nil"/>
                  </w:tcBorders>
                  <w:vAlign w:val="center"/>
                </w:tcPr>
                <w:p w14:paraId="77160137">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第一次</w:t>
                  </w:r>
                </w:p>
              </w:tc>
              <w:tc>
                <w:tcPr>
                  <w:tcW w:w="1320" w:type="dxa"/>
                  <w:tcBorders>
                    <w:tl2br w:val="nil"/>
                    <w:tr2bl w:val="nil"/>
                  </w:tcBorders>
                  <w:vAlign w:val="center"/>
                </w:tcPr>
                <w:p w14:paraId="769D6469">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20" w:type="dxa"/>
                  <w:tcBorders>
                    <w:tl2br w:val="nil"/>
                    <w:tr2bl w:val="nil"/>
                  </w:tcBorders>
                  <w:vAlign w:val="center"/>
                </w:tcPr>
                <w:p w14:paraId="5F024FFE">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26" w:type="dxa"/>
                  <w:tcBorders>
                    <w:tl2br w:val="nil"/>
                    <w:tr2bl w:val="nil"/>
                  </w:tcBorders>
                  <w:vAlign w:val="center"/>
                </w:tcPr>
                <w:p w14:paraId="56D65096">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17" w:type="dxa"/>
                  <w:tcBorders>
                    <w:tl2br w:val="nil"/>
                    <w:tr2bl w:val="nil"/>
                  </w:tcBorders>
                  <w:vAlign w:val="center"/>
                </w:tcPr>
                <w:p w14:paraId="5FFD16F4">
                  <w:pPr>
                    <w:widowControl/>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r>
            <w:tr w14:paraId="4BD05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68D41BB9">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2A770A7C">
                  <w:pPr>
                    <w:jc w:val="center"/>
                    <w:rPr>
                      <w:rFonts w:hint="default" w:ascii="Times New Roman" w:hAnsi="Times New Roman" w:cs="Times New Roman"/>
                      <w:color w:val="auto"/>
                      <w:sz w:val="21"/>
                      <w:szCs w:val="21"/>
                      <w:highlight w:val="none"/>
                    </w:rPr>
                  </w:pPr>
                </w:p>
              </w:tc>
              <w:tc>
                <w:tcPr>
                  <w:tcW w:w="885" w:type="dxa"/>
                  <w:tcBorders>
                    <w:tl2br w:val="nil"/>
                    <w:tr2bl w:val="nil"/>
                  </w:tcBorders>
                  <w:vAlign w:val="center"/>
                </w:tcPr>
                <w:p w14:paraId="53CE18AF">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第二次</w:t>
                  </w:r>
                </w:p>
              </w:tc>
              <w:tc>
                <w:tcPr>
                  <w:tcW w:w="1320" w:type="dxa"/>
                  <w:tcBorders>
                    <w:tl2br w:val="nil"/>
                    <w:tr2bl w:val="nil"/>
                  </w:tcBorders>
                  <w:vAlign w:val="center"/>
                </w:tcPr>
                <w:p w14:paraId="0DBF6CC3">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20" w:type="dxa"/>
                  <w:tcBorders>
                    <w:tl2br w:val="nil"/>
                    <w:tr2bl w:val="nil"/>
                  </w:tcBorders>
                  <w:vAlign w:val="center"/>
                </w:tcPr>
                <w:p w14:paraId="12B25E2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26" w:type="dxa"/>
                  <w:tcBorders>
                    <w:tl2br w:val="nil"/>
                    <w:tr2bl w:val="nil"/>
                  </w:tcBorders>
                  <w:vAlign w:val="center"/>
                </w:tcPr>
                <w:p w14:paraId="321AF160">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17" w:type="dxa"/>
                  <w:tcBorders>
                    <w:tl2br w:val="nil"/>
                    <w:tr2bl w:val="nil"/>
                  </w:tcBorders>
                  <w:vAlign w:val="center"/>
                </w:tcPr>
                <w:p w14:paraId="44AC2C07">
                  <w:pPr>
                    <w:widowControl/>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r>
            <w:tr w14:paraId="14139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62C7662F">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0D1C2FFC">
                  <w:pPr>
                    <w:jc w:val="center"/>
                    <w:rPr>
                      <w:rFonts w:hint="default" w:ascii="Times New Roman" w:hAnsi="Times New Roman" w:cs="Times New Roman"/>
                      <w:color w:val="auto"/>
                      <w:sz w:val="21"/>
                      <w:szCs w:val="21"/>
                      <w:highlight w:val="none"/>
                    </w:rPr>
                  </w:pPr>
                </w:p>
              </w:tc>
              <w:tc>
                <w:tcPr>
                  <w:tcW w:w="885" w:type="dxa"/>
                  <w:tcBorders>
                    <w:tl2br w:val="nil"/>
                    <w:tr2bl w:val="nil"/>
                  </w:tcBorders>
                  <w:vAlign w:val="center"/>
                </w:tcPr>
                <w:p w14:paraId="3321F045">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第三次</w:t>
                  </w:r>
                </w:p>
              </w:tc>
              <w:tc>
                <w:tcPr>
                  <w:tcW w:w="1320" w:type="dxa"/>
                  <w:tcBorders>
                    <w:tl2br w:val="nil"/>
                    <w:tr2bl w:val="nil"/>
                  </w:tcBorders>
                  <w:vAlign w:val="center"/>
                </w:tcPr>
                <w:p w14:paraId="07EE4C80">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20" w:type="dxa"/>
                  <w:tcBorders>
                    <w:tl2br w:val="nil"/>
                    <w:tr2bl w:val="nil"/>
                  </w:tcBorders>
                  <w:vAlign w:val="center"/>
                </w:tcPr>
                <w:p w14:paraId="5CEE0CB0">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26" w:type="dxa"/>
                  <w:tcBorders>
                    <w:tl2br w:val="nil"/>
                    <w:tr2bl w:val="nil"/>
                  </w:tcBorders>
                  <w:vAlign w:val="center"/>
                </w:tcPr>
                <w:p w14:paraId="368E42A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17" w:type="dxa"/>
                  <w:tcBorders>
                    <w:tl2br w:val="nil"/>
                    <w:tr2bl w:val="nil"/>
                  </w:tcBorders>
                  <w:vAlign w:val="center"/>
                </w:tcPr>
                <w:p w14:paraId="6EC34D15">
                  <w:pPr>
                    <w:widowControl/>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r>
            <w:tr w14:paraId="17257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1F15C298">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500E3379">
                  <w:pPr>
                    <w:jc w:val="center"/>
                    <w:rPr>
                      <w:rFonts w:hint="default" w:ascii="Times New Roman" w:hAnsi="Times New Roman" w:cs="Times New Roman"/>
                      <w:color w:val="auto"/>
                      <w:sz w:val="21"/>
                      <w:szCs w:val="21"/>
                      <w:highlight w:val="none"/>
                      <w:lang w:bidi="ar"/>
                    </w:rPr>
                  </w:pPr>
                  <w:r>
                    <w:rPr>
                      <w:rFonts w:hint="default" w:ascii="Times New Roman" w:hAnsi="Times New Roman" w:eastAsia="宋体" w:cs="Times New Roman"/>
                      <w:b w:val="0"/>
                      <w:bCs w:val="0"/>
                      <w:color w:val="auto"/>
                      <w:sz w:val="21"/>
                      <w:szCs w:val="21"/>
                      <w:highlight w:val="none"/>
                    </w:rPr>
                    <w:t>周界外浓度最</w:t>
                  </w:r>
                  <w:r>
                    <w:rPr>
                      <w:rFonts w:hint="eastAsia" w:ascii="Times New Roman" w:hAnsi="Times New Roman" w:eastAsia="宋体" w:cs="Times New Roman"/>
                      <w:b w:val="0"/>
                      <w:bCs w:val="0"/>
                      <w:color w:val="auto"/>
                      <w:sz w:val="21"/>
                      <w:szCs w:val="21"/>
                      <w:highlight w:val="none"/>
                      <w:lang w:val="en-US" w:eastAsia="zh-CN"/>
                    </w:rPr>
                    <w:t>大值</w:t>
                  </w:r>
                </w:p>
              </w:tc>
              <w:tc>
                <w:tcPr>
                  <w:tcW w:w="5283" w:type="dxa"/>
                  <w:gridSpan w:val="4"/>
                  <w:tcBorders>
                    <w:tl2br w:val="nil"/>
                    <w:tr2bl w:val="nil"/>
                  </w:tcBorders>
                  <w:vAlign w:val="center"/>
                </w:tcPr>
                <w:p w14:paraId="5D032B01">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r>
            <w:tr w14:paraId="31C05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42A5E03D">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1B9E5FDF">
                  <w:pPr>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标准限值</w:t>
                  </w:r>
                </w:p>
              </w:tc>
              <w:tc>
                <w:tcPr>
                  <w:tcW w:w="5283" w:type="dxa"/>
                  <w:gridSpan w:val="4"/>
                  <w:tcBorders>
                    <w:tl2br w:val="nil"/>
                    <w:tr2bl w:val="nil"/>
                  </w:tcBorders>
                  <w:vAlign w:val="center"/>
                </w:tcPr>
                <w:p w14:paraId="710467F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0.05</w:t>
                  </w:r>
                </w:p>
              </w:tc>
            </w:tr>
            <w:tr w14:paraId="5B1E4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2BE6DB14">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3699ED1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评价</w:t>
                  </w:r>
                </w:p>
              </w:tc>
              <w:tc>
                <w:tcPr>
                  <w:tcW w:w="5283" w:type="dxa"/>
                  <w:gridSpan w:val="4"/>
                  <w:tcBorders>
                    <w:tl2br w:val="nil"/>
                    <w:tr2bl w:val="nil"/>
                  </w:tcBorders>
                  <w:vAlign w:val="center"/>
                </w:tcPr>
                <w:p w14:paraId="3BCAFE82">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达标</w:t>
                  </w:r>
                </w:p>
              </w:tc>
            </w:tr>
            <w:tr w14:paraId="7CD78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restart"/>
                  <w:tcBorders>
                    <w:tl2br w:val="nil"/>
                    <w:tr2bl w:val="nil"/>
                  </w:tcBorders>
                  <w:vAlign w:val="center"/>
                </w:tcPr>
                <w:p w14:paraId="57C78F76">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采样日期</w:t>
                  </w:r>
                </w:p>
              </w:tc>
              <w:tc>
                <w:tcPr>
                  <w:tcW w:w="722" w:type="dxa"/>
                  <w:vMerge w:val="restart"/>
                  <w:tcBorders>
                    <w:tl2br w:val="nil"/>
                    <w:tr2bl w:val="nil"/>
                  </w:tcBorders>
                  <w:vAlign w:val="center"/>
                </w:tcPr>
                <w:p w14:paraId="39C9ABEB">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检测项目</w:t>
                  </w:r>
                </w:p>
              </w:tc>
              <w:tc>
                <w:tcPr>
                  <w:tcW w:w="885" w:type="dxa"/>
                  <w:vMerge w:val="restart"/>
                  <w:tcBorders>
                    <w:tl2br w:val="nil"/>
                    <w:tr2bl w:val="nil"/>
                  </w:tcBorders>
                  <w:vAlign w:val="center"/>
                </w:tcPr>
                <w:p w14:paraId="0D807482">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检测</w:t>
                  </w:r>
                  <w:r>
                    <w:rPr>
                      <w:rFonts w:hint="default" w:ascii="Times New Roman" w:hAnsi="Times New Roman" w:cs="Times New Roman"/>
                      <w:b w:val="0"/>
                      <w:bCs w:val="0"/>
                      <w:color w:val="auto"/>
                      <w:sz w:val="21"/>
                      <w:szCs w:val="21"/>
                      <w:highlight w:val="none"/>
                    </w:rPr>
                    <w:t>频次</w:t>
                  </w:r>
                </w:p>
              </w:tc>
              <w:tc>
                <w:tcPr>
                  <w:tcW w:w="5283" w:type="dxa"/>
                  <w:gridSpan w:val="4"/>
                  <w:tcBorders>
                    <w:tl2br w:val="nil"/>
                    <w:tr2bl w:val="nil"/>
                  </w:tcBorders>
                  <w:vAlign w:val="center"/>
                </w:tcPr>
                <w:p w14:paraId="3303973F">
                  <w:pPr>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b w:val="0"/>
                      <w:bCs w:val="0"/>
                      <w:color w:val="auto"/>
                      <w:sz w:val="21"/>
                      <w:szCs w:val="21"/>
                      <w:highlight w:val="none"/>
                      <w:lang w:val="en-US" w:eastAsia="zh-CN"/>
                    </w:rPr>
                    <w:t>监</w:t>
                  </w:r>
                  <w:r>
                    <w:rPr>
                      <w:rFonts w:hint="default" w:ascii="Times New Roman" w:hAnsi="Times New Roman" w:cs="Times New Roman"/>
                      <w:b w:val="0"/>
                      <w:bCs w:val="0"/>
                      <w:color w:val="auto"/>
                      <w:sz w:val="21"/>
                      <w:szCs w:val="21"/>
                      <w:highlight w:val="none"/>
                      <w:lang w:eastAsia="zh-CN"/>
                    </w:rPr>
                    <w:t>测</w:t>
                  </w:r>
                  <w:r>
                    <w:rPr>
                      <w:rFonts w:hint="default" w:ascii="Times New Roman" w:hAnsi="Times New Roman" w:cs="Times New Roman"/>
                      <w:b w:val="0"/>
                      <w:bCs w:val="0"/>
                      <w:color w:val="auto"/>
                      <w:sz w:val="21"/>
                      <w:szCs w:val="21"/>
                      <w:highlight w:val="none"/>
                    </w:rPr>
                    <w:t>结果（</w:t>
                  </w:r>
                  <w:r>
                    <w:rPr>
                      <w:rFonts w:hint="default" w:ascii="Times New Roman" w:hAnsi="Times New Roman" w:cs="Times New Roman"/>
                      <w:b w:val="0"/>
                      <w:bCs w:val="0"/>
                      <w:color w:val="auto"/>
                      <w:sz w:val="21"/>
                      <w:szCs w:val="21"/>
                      <w:highlight w:val="none"/>
                      <w:lang w:val="en-US" w:eastAsia="zh-CN"/>
                    </w:rPr>
                    <w:t>μ</w:t>
                  </w:r>
                  <w:r>
                    <w:rPr>
                      <w:rFonts w:hint="default" w:ascii="Times New Roman" w:hAnsi="Times New Roman" w:cs="Times New Roman"/>
                      <w:b w:val="0"/>
                      <w:bCs w:val="0"/>
                      <w:color w:val="auto"/>
                      <w:sz w:val="21"/>
                      <w:szCs w:val="21"/>
                      <w:highlight w:val="none"/>
                    </w:rPr>
                    <w:t>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r>
            <w:tr w14:paraId="55F74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4AD0979C">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7490B96C">
                  <w:pPr>
                    <w:jc w:val="center"/>
                    <w:rPr>
                      <w:rFonts w:hint="eastAsia" w:ascii="Times New Roman" w:hAnsi="Times New Roman" w:eastAsia="宋体" w:cs="Times New Roman"/>
                      <w:b w:val="0"/>
                      <w:bCs w:val="0"/>
                      <w:color w:val="auto"/>
                      <w:sz w:val="21"/>
                      <w:szCs w:val="21"/>
                      <w:highlight w:val="none"/>
                      <w:lang w:val="en-US" w:eastAsia="zh-CN"/>
                    </w:rPr>
                  </w:pPr>
                </w:p>
              </w:tc>
              <w:tc>
                <w:tcPr>
                  <w:tcW w:w="885" w:type="dxa"/>
                  <w:vMerge w:val="continue"/>
                  <w:tcBorders>
                    <w:tl2br w:val="nil"/>
                    <w:tr2bl w:val="nil"/>
                  </w:tcBorders>
                  <w:vAlign w:val="center"/>
                </w:tcPr>
                <w:p w14:paraId="2FBD9A2B">
                  <w:pPr>
                    <w:jc w:val="center"/>
                    <w:rPr>
                      <w:rFonts w:hint="eastAsia" w:ascii="Times New Roman" w:hAnsi="Times New Roman" w:eastAsia="宋体" w:cs="Times New Roman"/>
                      <w:b w:val="0"/>
                      <w:bCs w:val="0"/>
                      <w:color w:val="auto"/>
                      <w:sz w:val="21"/>
                      <w:szCs w:val="21"/>
                      <w:highlight w:val="none"/>
                      <w:lang w:val="en-US" w:eastAsia="zh-CN"/>
                    </w:rPr>
                  </w:pPr>
                </w:p>
              </w:tc>
              <w:tc>
                <w:tcPr>
                  <w:tcW w:w="1320" w:type="dxa"/>
                  <w:tcBorders>
                    <w:tl2br w:val="nil"/>
                    <w:tr2bl w:val="nil"/>
                  </w:tcBorders>
                  <w:vAlign w:val="center"/>
                </w:tcPr>
                <w:p w14:paraId="3F39BDD2">
                  <w:pPr>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eastAsiaTheme="minorEastAsia"/>
                      <w:b w:val="0"/>
                      <w:bCs w:val="0"/>
                      <w:color w:val="auto"/>
                      <w:spacing w:val="-17"/>
                      <w:sz w:val="21"/>
                      <w:szCs w:val="21"/>
                      <w:highlight w:val="none"/>
                      <w:lang w:val="en-US" w:eastAsia="zh-CN"/>
                    </w:rPr>
                    <w:t>G1上风向</w:t>
                  </w:r>
                </w:p>
              </w:tc>
              <w:tc>
                <w:tcPr>
                  <w:tcW w:w="1320" w:type="dxa"/>
                  <w:tcBorders>
                    <w:tl2br w:val="nil"/>
                    <w:tr2bl w:val="nil"/>
                  </w:tcBorders>
                  <w:vAlign w:val="center"/>
                </w:tcPr>
                <w:p w14:paraId="0E3C8ABB">
                  <w:pPr>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eastAsiaTheme="minorEastAsia"/>
                      <w:b w:val="0"/>
                      <w:bCs w:val="0"/>
                      <w:color w:val="auto"/>
                      <w:spacing w:val="-17"/>
                      <w:sz w:val="21"/>
                      <w:szCs w:val="21"/>
                      <w:highlight w:val="none"/>
                      <w:lang w:val="en-US" w:eastAsia="zh-CN"/>
                    </w:rPr>
                    <w:t>G2下风向</w:t>
                  </w:r>
                </w:p>
              </w:tc>
              <w:tc>
                <w:tcPr>
                  <w:tcW w:w="1326" w:type="dxa"/>
                  <w:tcBorders>
                    <w:tl2br w:val="nil"/>
                    <w:tr2bl w:val="nil"/>
                  </w:tcBorders>
                  <w:vAlign w:val="center"/>
                </w:tcPr>
                <w:p w14:paraId="647992E2">
                  <w:pPr>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eastAsiaTheme="minorEastAsia"/>
                      <w:b w:val="0"/>
                      <w:bCs w:val="0"/>
                      <w:color w:val="auto"/>
                      <w:spacing w:val="-17"/>
                      <w:sz w:val="21"/>
                      <w:szCs w:val="21"/>
                      <w:highlight w:val="none"/>
                      <w:lang w:val="en-US" w:eastAsia="zh-CN"/>
                    </w:rPr>
                    <w:t>G3下风向</w:t>
                  </w:r>
                </w:p>
              </w:tc>
              <w:tc>
                <w:tcPr>
                  <w:tcW w:w="1317" w:type="dxa"/>
                  <w:tcBorders>
                    <w:tl2br w:val="nil"/>
                    <w:tr2bl w:val="nil"/>
                  </w:tcBorders>
                  <w:vAlign w:val="center"/>
                </w:tcPr>
                <w:p w14:paraId="350AA1D3">
                  <w:pPr>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eastAsiaTheme="minorEastAsia"/>
                      <w:b w:val="0"/>
                      <w:bCs w:val="0"/>
                      <w:color w:val="auto"/>
                      <w:spacing w:val="-17"/>
                      <w:sz w:val="21"/>
                      <w:szCs w:val="21"/>
                      <w:highlight w:val="none"/>
                      <w:lang w:val="en-US" w:eastAsia="zh-CN"/>
                    </w:rPr>
                    <w:t>G4下风向</w:t>
                  </w:r>
                </w:p>
              </w:tc>
            </w:tr>
            <w:tr w14:paraId="4E5BC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restart"/>
                  <w:tcBorders>
                    <w:tl2br w:val="nil"/>
                    <w:tr2bl w:val="nil"/>
                  </w:tcBorders>
                  <w:vAlign w:val="center"/>
                </w:tcPr>
                <w:p w14:paraId="4C68BA1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2021.06.22</w:t>
                  </w:r>
                </w:p>
              </w:tc>
              <w:tc>
                <w:tcPr>
                  <w:tcW w:w="722" w:type="dxa"/>
                  <w:vMerge w:val="restart"/>
                  <w:tcBorders>
                    <w:tl2br w:val="nil"/>
                    <w:tr2bl w:val="nil"/>
                  </w:tcBorders>
                  <w:vAlign w:val="center"/>
                </w:tcPr>
                <w:p w14:paraId="78D6CCF9">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挥发性有机物</w:t>
                  </w:r>
                </w:p>
              </w:tc>
              <w:tc>
                <w:tcPr>
                  <w:tcW w:w="885" w:type="dxa"/>
                  <w:tcBorders>
                    <w:tl2br w:val="nil"/>
                    <w:tr2bl w:val="nil"/>
                  </w:tcBorders>
                  <w:vAlign w:val="center"/>
                </w:tcPr>
                <w:p w14:paraId="13E1E8EF">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第一次</w:t>
                  </w:r>
                </w:p>
              </w:tc>
              <w:tc>
                <w:tcPr>
                  <w:tcW w:w="1320" w:type="dxa"/>
                  <w:tcBorders>
                    <w:tl2br w:val="nil"/>
                    <w:tr2bl w:val="nil"/>
                  </w:tcBorders>
                  <w:vAlign w:val="center"/>
                </w:tcPr>
                <w:p w14:paraId="2B47EEC2">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1320" w:type="dxa"/>
                  <w:tcBorders>
                    <w:tl2br w:val="nil"/>
                    <w:tr2bl w:val="nil"/>
                  </w:tcBorders>
                  <w:vAlign w:val="center"/>
                </w:tcPr>
                <w:p w14:paraId="0AD96522">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168</w:t>
                  </w:r>
                </w:p>
              </w:tc>
              <w:tc>
                <w:tcPr>
                  <w:tcW w:w="1326" w:type="dxa"/>
                  <w:tcBorders>
                    <w:tl2br w:val="nil"/>
                    <w:tr2bl w:val="nil"/>
                  </w:tcBorders>
                  <w:vAlign w:val="center"/>
                </w:tcPr>
                <w:p w14:paraId="072C8C6F">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249</w:t>
                  </w:r>
                </w:p>
              </w:tc>
              <w:tc>
                <w:tcPr>
                  <w:tcW w:w="1317" w:type="dxa"/>
                  <w:tcBorders>
                    <w:tl2br w:val="nil"/>
                    <w:tr2bl w:val="nil"/>
                  </w:tcBorders>
                  <w:vAlign w:val="center"/>
                </w:tcPr>
                <w:p w14:paraId="2954DC7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89.3</w:t>
                  </w:r>
                </w:p>
              </w:tc>
            </w:tr>
            <w:tr w14:paraId="0D0B0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6016B311">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785C9EB2">
                  <w:pPr>
                    <w:jc w:val="center"/>
                    <w:rPr>
                      <w:rFonts w:hint="default" w:ascii="Times New Roman" w:hAnsi="Times New Roman" w:cs="Times New Roman"/>
                      <w:color w:val="auto"/>
                      <w:sz w:val="21"/>
                      <w:szCs w:val="21"/>
                      <w:highlight w:val="none"/>
                    </w:rPr>
                  </w:pPr>
                </w:p>
              </w:tc>
              <w:tc>
                <w:tcPr>
                  <w:tcW w:w="885" w:type="dxa"/>
                  <w:tcBorders>
                    <w:tl2br w:val="nil"/>
                    <w:tr2bl w:val="nil"/>
                  </w:tcBorders>
                  <w:vAlign w:val="center"/>
                </w:tcPr>
                <w:p w14:paraId="6E151960">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第二次</w:t>
                  </w:r>
                </w:p>
              </w:tc>
              <w:tc>
                <w:tcPr>
                  <w:tcW w:w="1320" w:type="dxa"/>
                  <w:tcBorders>
                    <w:tl2br w:val="nil"/>
                    <w:tr2bl w:val="nil"/>
                  </w:tcBorders>
                  <w:vAlign w:val="center"/>
                </w:tcPr>
                <w:p w14:paraId="3F313664">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1320" w:type="dxa"/>
                  <w:tcBorders>
                    <w:tl2br w:val="nil"/>
                    <w:tr2bl w:val="nil"/>
                  </w:tcBorders>
                  <w:vAlign w:val="center"/>
                </w:tcPr>
                <w:p w14:paraId="672CB962">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77.8</w:t>
                  </w:r>
                </w:p>
              </w:tc>
              <w:tc>
                <w:tcPr>
                  <w:tcW w:w="1326" w:type="dxa"/>
                  <w:tcBorders>
                    <w:tl2br w:val="nil"/>
                    <w:tr2bl w:val="nil"/>
                  </w:tcBorders>
                  <w:vAlign w:val="center"/>
                </w:tcPr>
                <w:p w14:paraId="4BADAE9E">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182</w:t>
                  </w:r>
                </w:p>
              </w:tc>
              <w:tc>
                <w:tcPr>
                  <w:tcW w:w="1317" w:type="dxa"/>
                  <w:tcBorders>
                    <w:tl2br w:val="nil"/>
                    <w:tr2bl w:val="nil"/>
                  </w:tcBorders>
                  <w:vAlign w:val="center"/>
                </w:tcPr>
                <w:p w14:paraId="3125592B">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193</w:t>
                  </w:r>
                </w:p>
              </w:tc>
            </w:tr>
            <w:tr w14:paraId="5C4A4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61B81008">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2790303F">
                  <w:pPr>
                    <w:jc w:val="center"/>
                    <w:rPr>
                      <w:rFonts w:hint="default" w:ascii="Times New Roman" w:hAnsi="Times New Roman" w:cs="Times New Roman"/>
                      <w:color w:val="auto"/>
                      <w:sz w:val="21"/>
                      <w:szCs w:val="21"/>
                      <w:highlight w:val="none"/>
                    </w:rPr>
                  </w:pPr>
                </w:p>
              </w:tc>
              <w:tc>
                <w:tcPr>
                  <w:tcW w:w="885" w:type="dxa"/>
                  <w:tcBorders>
                    <w:tl2br w:val="nil"/>
                    <w:tr2bl w:val="nil"/>
                  </w:tcBorders>
                  <w:vAlign w:val="center"/>
                </w:tcPr>
                <w:p w14:paraId="72B8154C">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第三次</w:t>
                  </w:r>
                </w:p>
              </w:tc>
              <w:tc>
                <w:tcPr>
                  <w:tcW w:w="1320" w:type="dxa"/>
                  <w:tcBorders>
                    <w:tl2br w:val="nil"/>
                    <w:tr2bl w:val="nil"/>
                  </w:tcBorders>
                  <w:vAlign w:val="center"/>
                </w:tcPr>
                <w:p w14:paraId="31583364">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w:t>
                  </w:r>
                </w:p>
              </w:tc>
              <w:tc>
                <w:tcPr>
                  <w:tcW w:w="1320" w:type="dxa"/>
                  <w:tcBorders>
                    <w:tl2br w:val="nil"/>
                    <w:tr2bl w:val="nil"/>
                  </w:tcBorders>
                  <w:vAlign w:val="center"/>
                </w:tcPr>
                <w:p w14:paraId="61AD6637">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33.1</w:t>
                  </w:r>
                </w:p>
              </w:tc>
              <w:tc>
                <w:tcPr>
                  <w:tcW w:w="1326" w:type="dxa"/>
                  <w:tcBorders>
                    <w:tl2br w:val="nil"/>
                    <w:tr2bl w:val="nil"/>
                  </w:tcBorders>
                  <w:vAlign w:val="center"/>
                </w:tcPr>
                <w:p w14:paraId="3FC8EE31">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172</w:t>
                  </w:r>
                </w:p>
              </w:tc>
              <w:tc>
                <w:tcPr>
                  <w:tcW w:w="1317" w:type="dxa"/>
                  <w:tcBorders>
                    <w:tl2br w:val="nil"/>
                    <w:tr2bl w:val="nil"/>
                  </w:tcBorders>
                  <w:vAlign w:val="center"/>
                </w:tcPr>
                <w:p w14:paraId="745B3E50">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68.1</w:t>
                  </w:r>
                </w:p>
              </w:tc>
            </w:tr>
            <w:tr w14:paraId="4AC4A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26A9D7A2">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1554CE22">
                  <w:pPr>
                    <w:jc w:val="center"/>
                    <w:rPr>
                      <w:rFonts w:hint="eastAsia"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b w:val="0"/>
                      <w:bCs w:val="0"/>
                      <w:color w:val="auto"/>
                      <w:sz w:val="21"/>
                      <w:szCs w:val="21"/>
                      <w:highlight w:val="none"/>
                    </w:rPr>
                    <w:t>周界外浓度最</w:t>
                  </w:r>
                  <w:r>
                    <w:rPr>
                      <w:rFonts w:hint="eastAsia" w:ascii="Times New Roman" w:hAnsi="Times New Roman" w:eastAsia="宋体" w:cs="Times New Roman"/>
                      <w:b w:val="0"/>
                      <w:bCs w:val="0"/>
                      <w:color w:val="auto"/>
                      <w:sz w:val="21"/>
                      <w:szCs w:val="21"/>
                      <w:highlight w:val="none"/>
                      <w:lang w:val="en-US" w:eastAsia="zh-CN"/>
                    </w:rPr>
                    <w:t>大值</w:t>
                  </w:r>
                </w:p>
              </w:tc>
              <w:tc>
                <w:tcPr>
                  <w:tcW w:w="5283" w:type="dxa"/>
                  <w:gridSpan w:val="4"/>
                  <w:tcBorders>
                    <w:tl2br w:val="nil"/>
                    <w:tr2bl w:val="nil"/>
                  </w:tcBorders>
                  <w:vAlign w:val="center"/>
                </w:tcPr>
                <w:p w14:paraId="4B96CF4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249</w:t>
                  </w:r>
                </w:p>
              </w:tc>
            </w:tr>
            <w:tr w14:paraId="5573E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4BEECACF">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0017633C">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标准限值</w:t>
                  </w:r>
                </w:p>
              </w:tc>
              <w:tc>
                <w:tcPr>
                  <w:tcW w:w="5283" w:type="dxa"/>
                  <w:gridSpan w:val="4"/>
                  <w:tcBorders>
                    <w:tl2br w:val="nil"/>
                    <w:tr2bl w:val="nil"/>
                  </w:tcBorders>
                  <w:vAlign w:val="center"/>
                </w:tcPr>
                <w:p w14:paraId="18AF0ED4">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4000</w:t>
                  </w:r>
                </w:p>
              </w:tc>
            </w:tr>
            <w:tr w14:paraId="1E02B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64CF3FBB">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2B7E003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评价</w:t>
                  </w:r>
                </w:p>
              </w:tc>
              <w:tc>
                <w:tcPr>
                  <w:tcW w:w="5283" w:type="dxa"/>
                  <w:gridSpan w:val="4"/>
                  <w:tcBorders>
                    <w:tl2br w:val="nil"/>
                    <w:tr2bl w:val="nil"/>
                  </w:tcBorders>
                  <w:vAlign w:val="center"/>
                </w:tcPr>
                <w:p w14:paraId="3F87C043">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达标</w:t>
                  </w:r>
                </w:p>
              </w:tc>
            </w:tr>
            <w:tr w14:paraId="2F0C3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920" w:type="dxa"/>
                  <w:gridSpan w:val="7"/>
                  <w:tcBorders>
                    <w:tl2br w:val="nil"/>
                    <w:tr2bl w:val="nil"/>
                  </w:tcBorders>
                  <w:vAlign w:val="center"/>
                </w:tcPr>
                <w:p w14:paraId="324601E6">
                  <w:pPr>
                    <w:widowControl/>
                    <w:jc w:val="left"/>
                    <w:textAlignment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注：ND表示未检出；相关项目检出限：</w:t>
                  </w:r>
                  <w:r>
                    <w:rPr>
                      <w:rFonts w:hint="eastAsia" w:cs="Times New Roman"/>
                      <w:color w:val="auto"/>
                      <w:highlight w:val="none"/>
                      <w:lang w:val="en-US" w:eastAsia="zh-CN"/>
                    </w:rPr>
                    <w:t>氯化氢</w:t>
                  </w:r>
                  <w:r>
                    <w:rPr>
                      <w:rFonts w:hint="eastAsia"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p>
              </w:tc>
            </w:tr>
          </w:tbl>
          <w:p w14:paraId="69329E4E">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宋体" w:hAnsi="宋体"/>
                <w:b/>
                <w:bCs/>
                <w:color w:val="auto"/>
                <w:sz w:val="21"/>
                <w:szCs w:val="21"/>
                <w:highlight w:val="none"/>
                <w:lang w:val="en-US" w:eastAsia="zh-CN"/>
              </w:rPr>
            </w:pPr>
            <w:r>
              <w:rPr>
                <w:rFonts w:hint="eastAsia"/>
                <w:b/>
                <w:bCs/>
                <w:color w:val="auto"/>
                <w:sz w:val="21"/>
                <w:szCs w:val="21"/>
                <w:highlight w:val="none"/>
                <w:lang w:val="en-US" w:eastAsia="zh-CN"/>
              </w:rPr>
              <w:t>表</w:t>
            </w:r>
            <w:r>
              <w:rPr>
                <w:rFonts w:hint="eastAsia" w:cs="Times New Roman"/>
                <w:b/>
                <w:bCs/>
                <w:color w:val="auto"/>
                <w:sz w:val="21"/>
                <w:szCs w:val="21"/>
                <w:highlight w:val="none"/>
                <w:lang w:val="en-US" w:eastAsia="zh-CN"/>
              </w:rPr>
              <w:t>2-14</w:t>
            </w:r>
            <w:r>
              <w:rPr>
                <w:rFonts w:hint="eastAsia"/>
                <w:b/>
                <w:bCs/>
                <w:color w:val="auto"/>
                <w:sz w:val="21"/>
                <w:szCs w:val="21"/>
                <w:highlight w:val="none"/>
                <w:lang w:val="en-US" w:eastAsia="zh-CN"/>
              </w:rPr>
              <w:t xml:space="preserve"> 厂区内无组织废气</w:t>
            </w:r>
            <w:r>
              <w:rPr>
                <w:rFonts w:hint="eastAsia"/>
                <w:b/>
                <w:color w:val="auto"/>
                <w:sz w:val="21"/>
                <w:szCs w:val="21"/>
                <w:highlight w:val="none"/>
                <w:lang w:eastAsia="zh-CN"/>
              </w:rPr>
              <w:t>监</w:t>
            </w:r>
            <w:r>
              <w:rPr>
                <w:b/>
                <w:color w:val="auto"/>
                <w:sz w:val="21"/>
                <w:szCs w:val="21"/>
                <w:highlight w:val="none"/>
              </w:rPr>
              <w:t>测</w:t>
            </w:r>
            <w:r>
              <w:rPr>
                <w:rFonts w:hint="eastAsia"/>
                <w:b/>
                <w:color w:val="auto"/>
                <w:sz w:val="21"/>
                <w:szCs w:val="21"/>
                <w:highlight w:val="none"/>
                <w:lang w:val="en-US" w:eastAsia="zh-CN"/>
              </w:rPr>
              <w:t>结果与评价</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30"/>
              <w:gridCol w:w="722"/>
              <w:gridCol w:w="885"/>
              <w:gridCol w:w="5282"/>
            </w:tblGrid>
            <w:tr w14:paraId="2438A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restart"/>
                  <w:tcBorders>
                    <w:tl2br w:val="nil"/>
                    <w:tr2bl w:val="nil"/>
                  </w:tcBorders>
                  <w:vAlign w:val="center"/>
                </w:tcPr>
                <w:p w14:paraId="4AB70897">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采样日期</w:t>
                  </w:r>
                </w:p>
              </w:tc>
              <w:tc>
                <w:tcPr>
                  <w:tcW w:w="722" w:type="dxa"/>
                  <w:vMerge w:val="restart"/>
                  <w:tcBorders>
                    <w:tl2br w:val="nil"/>
                    <w:tr2bl w:val="nil"/>
                  </w:tcBorders>
                  <w:vAlign w:val="center"/>
                </w:tcPr>
                <w:p w14:paraId="712D87C3">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检测项目</w:t>
                  </w:r>
                </w:p>
              </w:tc>
              <w:tc>
                <w:tcPr>
                  <w:tcW w:w="885" w:type="dxa"/>
                  <w:vMerge w:val="restart"/>
                  <w:tcBorders>
                    <w:tl2br w:val="nil"/>
                    <w:tr2bl w:val="nil"/>
                  </w:tcBorders>
                  <w:vAlign w:val="center"/>
                </w:tcPr>
                <w:p w14:paraId="4D4ECF8C">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检测</w:t>
                  </w:r>
                  <w:r>
                    <w:rPr>
                      <w:rFonts w:hint="default" w:ascii="Times New Roman" w:hAnsi="Times New Roman" w:cs="Times New Roman"/>
                      <w:b w:val="0"/>
                      <w:bCs w:val="0"/>
                      <w:color w:val="auto"/>
                      <w:sz w:val="21"/>
                      <w:szCs w:val="21"/>
                      <w:highlight w:val="none"/>
                    </w:rPr>
                    <w:t>频次</w:t>
                  </w:r>
                </w:p>
              </w:tc>
              <w:tc>
                <w:tcPr>
                  <w:tcW w:w="5282" w:type="dxa"/>
                  <w:tcBorders>
                    <w:tl2br w:val="nil"/>
                    <w:tr2bl w:val="nil"/>
                  </w:tcBorders>
                  <w:vAlign w:val="center"/>
                </w:tcPr>
                <w:p w14:paraId="3746858B">
                  <w:pPr>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b w:val="0"/>
                      <w:bCs w:val="0"/>
                      <w:color w:val="auto"/>
                      <w:sz w:val="21"/>
                      <w:szCs w:val="21"/>
                      <w:highlight w:val="none"/>
                      <w:lang w:val="en-US" w:eastAsia="zh-CN"/>
                    </w:rPr>
                    <w:t>监</w:t>
                  </w:r>
                  <w:r>
                    <w:rPr>
                      <w:rFonts w:hint="default" w:ascii="Times New Roman" w:hAnsi="Times New Roman" w:cs="Times New Roman"/>
                      <w:b w:val="0"/>
                      <w:bCs w:val="0"/>
                      <w:color w:val="auto"/>
                      <w:sz w:val="21"/>
                      <w:szCs w:val="21"/>
                      <w:highlight w:val="none"/>
                      <w:lang w:eastAsia="zh-CN"/>
                    </w:rPr>
                    <w:t>测</w:t>
                  </w:r>
                  <w:r>
                    <w:rPr>
                      <w:rFonts w:hint="default" w:ascii="Times New Roman" w:hAnsi="Times New Roman" w:cs="Times New Roman"/>
                      <w:b w:val="0"/>
                      <w:bCs w:val="0"/>
                      <w:color w:val="auto"/>
                      <w:sz w:val="21"/>
                      <w:szCs w:val="21"/>
                      <w:highlight w:val="none"/>
                    </w:rPr>
                    <w:t>结果（</w:t>
                  </w:r>
                  <w:r>
                    <w:rPr>
                      <w:rFonts w:hint="eastAsia" w:cs="Times New Roman"/>
                      <w:b w:val="0"/>
                      <w:bCs w:val="0"/>
                      <w:color w:val="auto"/>
                      <w:sz w:val="21"/>
                      <w:szCs w:val="21"/>
                      <w:highlight w:val="none"/>
                      <w:lang w:val="en-US" w:eastAsia="zh-CN"/>
                    </w:rPr>
                    <w:t>m</w:t>
                  </w:r>
                  <w:r>
                    <w:rPr>
                      <w:rFonts w:hint="default" w:ascii="Times New Roman" w:hAnsi="Times New Roman" w:cs="Times New Roman"/>
                      <w:b w:val="0"/>
                      <w:bCs w:val="0"/>
                      <w:color w:val="auto"/>
                      <w:sz w:val="21"/>
                      <w:szCs w:val="21"/>
                      <w:highlight w:val="none"/>
                    </w:rPr>
                    <w:t>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r>
            <w:tr w14:paraId="3A652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194B0DC6">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544E9AD1">
                  <w:pPr>
                    <w:jc w:val="center"/>
                    <w:rPr>
                      <w:rFonts w:hint="eastAsia" w:ascii="Times New Roman" w:hAnsi="Times New Roman" w:eastAsia="宋体" w:cs="Times New Roman"/>
                      <w:b w:val="0"/>
                      <w:bCs w:val="0"/>
                      <w:color w:val="auto"/>
                      <w:sz w:val="21"/>
                      <w:szCs w:val="21"/>
                      <w:highlight w:val="none"/>
                      <w:lang w:val="en-US" w:eastAsia="zh-CN"/>
                    </w:rPr>
                  </w:pPr>
                </w:p>
              </w:tc>
              <w:tc>
                <w:tcPr>
                  <w:tcW w:w="885" w:type="dxa"/>
                  <w:vMerge w:val="continue"/>
                  <w:tcBorders>
                    <w:tl2br w:val="nil"/>
                    <w:tr2bl w:val="nil"/>
                  </w:tcBorders>
                  <w:vAlign w:val="center"/>
                </w:tcPr>
                <w:p w14:paraId="129C3124">
                  <w:pPr>
                    <w:jc w:val="center"/>
                    <w:rPr>
                      <w:rFonts w:hint="eastAsia" w:ascii="Times New Roman" w:hAnsi="Times New Roman" w:eastAsia="宋体" w:cs="Times New Roman"/>
                      <w:b w:val="0"/>
                      <w:bCs w:val="0"/>
                      <w:color w:val="auto"/>
                      <w:sz w:val="21"/>
                      <w:szCs w:val="21"/>
                      <w:highlight w:val="none"/>
                      <w:lang w:val="en-US" w:eastAsia="zh-CN"/>
                    </w:rPr>
                  </w:pPr>
                </w:p>
              </w:tc>
              <w:tc>
                <w:tcPr>
                  <w:tcW w:w="5282" w:type="dxa"/>
                  <w:tcBorders>
                    <w:tl2br w:val="nil"/>
                    <w:tr2bl w:val="nil"/>
                  </w:tcBorders>
                  <w:vAlign w:val="center"/>
                </w:tcPr>
                <w:p w14:paraId="27DCA9BE">
                  <w:pPr>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b w:val="0"/>
                      <w:bCs w:val="0"/>
                      <w:color w:val="auto"/>
                      <w:sz w:val="21"/>
                      <w:szCs w:val="21"/>
                      <w:highlight w:val="none"/>
                      <w:lang w:val="en-US" w:eastAsia="zh-CN"/>
                    </w:rPr>
                    <w:t>车间通风处</w:t>
                  </w:r>
                </w:p>
              </w:tc>
            </w:tr>
            <w:tr w14:paraId="21261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restart"/>
                  <w:tcBorders>
                    <w:tl2br w:val="nil"/>
                    <w:tr2bl w:val="nil"/>
                  </w:tcBorders>
                  <w:vAlign w:val="center"/>
                </w:tcPr>
                <w:p w14:paraId="7D1F5C5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2021.06.22</w:t>
                  </w:r>
                </w:p>
              </w:tc>
              <w:tc>
                <w:tcPr>
                  <w:tcW w:w="722" w:type="dxa"/>
                  <w:vMerge w:val="restart"/>
                  <w:tcBorders>
                    <w:tl2br w:val="nil"/>
                    <w:tr2bl w:val="nil"/>
                  </w:tcBorders>
                  <w:vAlign w:val="center"/>
                </w:tcPr>
                <w:p w14:paraId="05C31B82">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885" w:type="dxa"/>
                  <w:tcBorders>
                    <w:tl2br w:val="nil"/>
                    <w:tr2bl w:val="nil"/>
                  </w:tcBorders>
                  <w:vAlign w:val="center"/>
                </w:tcPr>
                <w:p w14:paraId="338F94D9">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第一次</w:t>
                  </w:r>
                </w:p>
              </w:tc>
              <w:tc>
                <w:tcPr>
                  <w:tcW w:w="5282" w:type="dxa"/>
                  <w:tcBorders>
                    <w:tl2br w:val="nil"/>
                    <w:tr2bl w:val="nil"/>
                  </w:tcBorders>
                  <w:vAlign w:val="center"/>
                </w:tcPr>
                <w:p w14:paraId="3D62F47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1.01</w:t>
                  </w:r>
                </w:p>
              </w:tc>
            </w:tr>
            <w:tr w14:paraId="69BC9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165C041A">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7369D396">
                  <w:pPr>
                    <w:jc w:val="center"/>
                    <w:rPr>
                      <w:rFonts w:hint="default" w:ascii="Times New Roman" w:hAnsi="Times New Roman" w:cs="Times New Roman"/>
                      <w:color w:val="auto"/>
                      <w:sz w:val="21"/>
                      <w:szCs w:val="21"/>
                      <w:highlight w:val="none"/>
                    </w:rPr>
                  </w:pPr>
                </w:p>
              </w:tc>
              <w:tc>
                <w:tcPr>
                  <w:tcW w:w="885" w:type="dxa"/>
                  <w:tcBorders>
                    <w:tl2br w:val="nil"/>
                    <w:tr2bl w:val="nil"/>
                  </w:tcBorders>
                  <w:vAlign w:val="center"/>
                </w:tcPr>
                <w:p w14:paraId="3FCCF435">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第二次</w:t>
                  </w:r>
                </w:p>
              </w:tc>
              <w:tc>
                <w:tcPr>
                  <w:tcW w:w="5282" w:type="dxa"/>
                  <w:tcBorders>
                    <w:tl2br w:val="nil"/>
                    <w:tr2bl w:val="nil"/>
                  </w:tcBorders>
                  <w:vAlign w:val="center"/>
                </w:tcPr>
                <w:p w14:paraId="2C7C3D83">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0.74</w:t>
                  </w:r>
                </w:p>
              </w:tc>
            </w:tr>
            <w:tr w14:paraId="1B354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392F4C3A">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713FC88B">
                  <w:pPr>
                    <w:jc w:val="center"/>
                    <w:rPr>
                      <w:rFonts w:hint="default" w:ascii="Times New Roman" w:hAnsi="Times New Roman" w:cs="Times New Roman"/>
                      <w:color w:val="auto"/>
                      <w:sz w:val="21"/>
                      <w:szCs w:val="21"/>
                      <w:highlight w:val="none"/>
                    </w:rPr>
                  </w:pPr>
                </w:p>
              </w:tc>
              <w:tc>
                <w:tcPr>
                  <w:tcW w:w="885" w:type="dxa"/>
                  <w:tcBorders>
                    <w:tl2br w:val="nil"/>
                    <w:tr2bl w:val="nil"/>
                  </w:tcBorders>
                  <w:vAlign w:val="center"/>
                </w:tcPr>
                <w:p w14:paraId="41CDC74C">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第三次</w:t>
                  </w:r>
                </w:p>
              </w:tc>
              <w:tc>
                <w:tcPr>
                  <w:tcW w:w="5282" w:type="dxa"/>
                  <w:tcBorders>
                    <w:tl2br w:val="nil"/>
                    <w:tr2bl w:val="nil"/>
                  </w:tcBorders>
                  <w:vAlign w:val="center"/>
                </w:tcPr>
                <w:p w14:paraId="73F2349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0.90</w:t>
                  </w:r>
                </w:p>
              </w:tc>
            </w:tr>
            <w:tr w14:paraId="62659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7A8F1367">
                  <w:pPr>
                    <w:jc w:val="center"/>
                    <w:rPr>
                      <w:rFonts w:hint="eastAsia" w:ascii="Times New Roman" w:hAnsi="Times New Roman" w:eastAsia="宋体" w:cs="Times New Roman"/>
                      <w:color w:val="auto"/>
                      <w:szCs w:val="21"/>
                      <w:highlight w:val="none"/>
                      <w:lang w:val="en-US" w:eastAsia="zh-CN"/>
                    </w:rPr>
                  </w:pPr>
                </w:p>
              </w:tc>
              <w:tc>
                <w:tcPr>
                  <w:tcW w:w="722" w:type="dxa"/>
                  <w:vMerge w:val="continue"/>
                  <w:tcBorders>
                    <w:tl2br w:val="nil"/>
                    <w:tr2bl w:val="nil"/>
                  </w:tcBorders>
                  <w:vAlign w:val="center"/>
                </w:tcPr>
                <w:p w14:paraId="4A77A365">
                  <w:pPr>
                    <w:jc w:val="center"/>
                    <w:rPr>
                      <w:rFonts w:hint="default" w:ascii="Times New Roman" w:hAnsi="Times New Roman" w:cs="Times New Roman"/>
                      <w:color w:val="auto"/>
                      <w:sz w:val="21"/>
                      <w:szCs w:val="21"/>
                      <w:highlight w:val="none"/>
                    </w:rPr>
                  </w:pPr>
                </w:p>
              </w:tc>
              <w:tc>
                <w:tcPr>
                  <w:tcW w:w="885" w:type="dxa"/>
                  <w:tcBorders>
                    <w:tl2br w:val="nil"/>
                    <w:tr2bl w:val="nil"/>
                  </w:tcBorders>
                  <w:vAlign w:val="center"/>
                </w:tcPr>
                <w:p w14:paraId="52FEAC73">
                  <w:pPr>
                    <w:jc w:val="center"/>
                    <w:rPr>
                      <w:rFonts w:hint="eastAsia"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第四次</w:t>
                  </w:r>
                </w:p>
              </w:tc>
              <w:tc>
                <w:tcPr>
                  <w:tcW w:w="5282" w:type="dxa"/>
                  <w:tcBorders>
                    <w:tl2br w:val="nil"/>
                    <w:tr2bl w:val="nil"/>
                  </w:tcBorders>
                  <w:vAlign w:val="center"/>
                </w:tcPr>
                <w:p w14:paraId="6F119A8C">
                  <w:pPr>
                    <w:widowControl/>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0.79</w:t>
                  </w:r>
                </w:p>
              </w:tc>
            </w:tr>
            <w:tr w14:paraId="482BA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30" w:type="dxa"/>
                  <w:vMerge w:val="continue"/>
                  <w:tcBorders>
                    <w:tl2br w:val="nil"/>
                    <w:tr2bl w:val="nil"/>
                  </w:tcBorders>
                  <w:vAlign w:val="center"/>
                </w:tcPr>
                <w:p w14:paraId="22668299">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39E1BC47">
                  <w:pPr>
                    <w:jc w:val="center"/>
                    <w:rPr>
                      <w:rFonts w:hint="eastAsia"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b w:val="0"/>
                      <w:bCs w:val="0"/>
                      <w:color w:val="auto"/>
                      <w:sz w:val="21"/>
                      <w:szCs w:val="21"/>
                      <w:highlight w:val="none"/>
                    </w:rPr>
                    <w:t>最</w:t>
                  </w:r>
                  <w:r>
                    <w:rPr>
                      <w:rFonts w:hint="eastAsia" w:ascii="Times New Roman" w:hAnsi="Times New Roman" w:eastAsia="宋体" w:cs="Times New Roman"/>
                      <w:b w:val="0"/>
                      <w:bCs w:val="0"/>
                      <w:color w:val="auto"/>
                      <w:sz w:val="21"/>
                      <w:szCs w:val="21"/>
                      <w:highlight w:val="none"/>
                      <w:lang w:val="en-US" w:eastAsia="zh-CN"/>
                    </w:rPr>
                    <w:t>大值</w:t>
                  </w:r>
                </w:p>
              </w:tc>
              <w:tc>
                <w:tcPr>
                  <w:tcW w:w="5282" w:type="dxa"/>
                  <w:tcBorders>
                    <w:tl2br w:val="nil"/>
                    <w:tr2bl w:val="nil"/>
                  </w:tcBorders>
                  <w:vAlign w:val="center"/>
                </w:tcPr>
                <w:p w14:paraId="037A0A90">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1.01</w:t>
                  </w:r>
                </w:p>
              </w:tc>
            </w:tr>
            <w:tr w14:paraId="79880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36ACC2E1">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4BD79BC9">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标准限值</w:t>
                  </w:r>
                </w:p>
              </w:tc>
              <w:tc>
                <w:tcPr>
                  <w:tcW w:w="5282" w:type="dxa"/>
                  <w:tcBorders>
                    <w:tl2br w:val="nil"/>
                    <w:tr2bl w:val="nil"/>
                  </w:tcBorders>
                  <w:vAlign w:val="center"/>
                </w:tcPr>
                <w:p w14:paraId="39EAE627">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6</w:t>
                  </w:r>
                </w:p>
              </w:tc>
            </w:tr>
            <w:tr w14:paraId="3CD4D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0" w:type="dxa"/>
                  <w:vMerge w:val="continue"/>
                  <w:tcBorders>
                    <w:tl2br w:val="nil"/>
                    <w:tr2bl w:val="nil"/>
                  </w:tcBorders>
                  <w:vAlign w:val="center"/>
                </w:tcPr>
                <w:p w14:paraId="0F23E2B6">
                  <w:pPr>
                    <w:jc w:val="center"/>
                    <w:rPr>
                      <w:rFonts w:hint="eastAsia" w:ascii="Times New Roman" w:hAnsi="Times New Roman" w:eastAsia="宋体" w:cs="Times New Roman"/>
                      <w:color w:val="auto"/>
                      <w:szCs w:val="21"/>
                      <w:highlight w:val="none"/>
                      <w:lang w:val="en-US" w:eastAsia="zh-CN"/>
                    </w:rPr>
                  </w:pPr>
                </w:p>
              </w:tc>
              <w:tc>
                <w:tcPr>
                  <w:tcW w:w="1607" w:type="dxa"/>
                  <w:gridSpan w:val="2"/>
                  <w:tcBorders>
                    <w:tl2br w:val="nil"/>
                    <w:tr2bl w:val="nil"/>
                  </w:tcBorders>
                  <w:vAlign w:val="center"/>
                </w:tcPr>
                <w:p w14:paraId="69552EB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评价</w:t>
                  </w:r>
                </w:p>
              </w:tc>
              <w:tc>
                <w:tcPr>
                  <w:tcW w:w="5282" w:type="dxa"/>
                  <w:tcBorders>
                    <w:tl2br w:val="nil"/>
                    <w:tr2bl w:val="nil"/>
                  </w:tcBorders>
                  <w:vAlign w:val="center"/>
                </w:tcPr>
                <w:p w14:paraId="3A9E3AFB">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达标</w:t>
                  </w:r>
                </w:p>
              </w:tc>
            </w:tr>
          </w:tbl>
          <w:p w14:paraId="4FE92090">
            <w:pPr>
              <w:pStyle w:val="28"/>
              <w:keepNext w:val="0"/>
              <w:keepLines w:val="0"/>
              <w:pageBreakBefore w:val="0"/>
              <w:widowControl/>
              <w:kinsoku/>
              <w:wordWrap/>
              <w:overflowPunct/>
              <w:topLinePunct w:val="0"/>
              <w:autoSpaceDE/>
              <w:autoSpaceDN/>
              <w:bidi w:val="0"/>
              <w:adjustRightInd/>
              <w:snapToGrid/>
              <w:spacing w:before="157" w:beforeLines="50" w:after="0" w:line="360" w:lineRule="auto"/>
              <w:ind w:left="0" w:leftChars="0" w:right="0" w:firstLine="420" w:firstLineChars="200"/>
              <w:textAlignment w:val="auto"/>
              <w:rPr>
                <w:rFonts w:hint="default" w:ascii="Times New Roman" w:hAnsi="Times New Roman" w:eastAsia="宋体" w:cs="Times New Roman"/>
                <w:bCs/>
                <w:color w:val="auto"/>
                <w:sz w:val="21"/>
                <w:szCs w:val="18"/>
                <w:highlight w:val="none"/>
              </w:rPr>
            </w:pPr>
            <w:r>
              <w:rPr>
                <w:rFonts w:hint="default" w:ascii="Times New Roman" w:hAnsi="Times New Roman" w:eastAsia="宋体" w:cs="Times New Roman"/>
                <w:color w:val="auto"/>
                <w:sz w:val="21"/>
                <w:szCs w:val="16"/>
                <w:highlight w:val="none"/>
                <w:lang w:val="en-US" w:eastAsia="zh-CN"/>
              </w:rPr>
              <w:t>监测结果表明</w:t>
            </w:r>
            <w:r>
              <w:rPr>
                <w:rFonts w:hint="eastAsia" w:eastAsia="宋体" w:cs="Times New Roman"/>
                <w:color w:val="auto"/>
                <w:sz w:val="21"/>
                <w:szCs w:val="16"/>
                <w:highlight w:val="none"/>
                <w:lang w:val="en-US" w:eastAsia="zh-CN"/>
              </w:rPr>
              <w:t>，现有项目</w:t>
            </w:r>
            <w:r>
              <w:rPr>
                <w:rFonts w:hint="default" w:ascii="Times New Roman" w:hAnsi="Times New Roman" w:eastAsia="宋体" w:cs="Times New Roman"/>
                <w:color w:val="auto"/>
                <w:kern w:val="2"/>
                <w:sz w:val="21"/>
                <w:szCs w:val="21"/>
                <w:highlight w:val="none"/>
                <w:lang w:val="en-US" w:eastAsia="zh-CN" w:bidi="ar-SA"/>
              </w:rPr>
              <w:t>厂界</w:t>
            </w:r>
            <w:r>
              <w:rPr>
                <w:rFonts w:hint="eastAsia" w:eastAsia="宋体" w:cs="Times New Roman"/>
                <w:color w:val="auto"/>
                <w:kern w:val="2"/>
                <w:sz w:val="21"/>
                <w:szCs w:val="21"/>
                <w:highlight w:val="none"/>
                <w:lang w:val="en-US" w:eastAsia="zh-CN" w:bidi="ar-SA"/>
              </w:rPr>
              <w:t>挥发性有机物</w:t>
            </w:r>
            <w:r>
              <w:rPr>
                <w:rFonts w:hint="default" w:ascii="Times New Roman" w:hAnsi="Times New Roman" w:eastAsia="宋体" w:cs="Times New Roman"/>
                <w:color w:val="auto"/>
                <w:kern w:val="2"/>
                <w:sz w:val="21"/>
                <w:szCs w:val="21"/>
                <w:highlight w:val="none"/>
                <w:lang w:val="en-US" w:eastAsia="zh-CN" w:bidi="ar-SA"/>
              </w:rPr>
              <w:t>、颗粒物</w:t>
            </w:r>
            <w:r>
              <w:rPr>
                <w:rFonts w:hint="eastAsia" w:eastAsia="宋体" w:cs="Times New Roman"/>
                <w:color w:val="auto"/>
                <w:kern w:val="2"/>
                <w:sz w:val="21"/>
                <w:szCs w:val="21"/>
                <w:highlight w:val="none"/>
                <w:lang w:val="en-US" w:eastAsia="zh-CN" w:bidi="ar-SA"/>
              </w:rPr>
              <w:t>、氯化氢满足《大气污染物综合排放标准》（DB32/4041-2021）表3标准限值</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snapToGrid w:val="0"/>
                <w:color w:val="auto"/>
                <w:kern w:val="18"/>
                <w:sz w:val="21"/>
                <w:szCs w:val="21"/>
                <w:highlight w:val="none"/>
                <w:lang w:val="en-US" w:eastAsia="zh-CN"/>
              </w:rPr>
              <w:t>项目厂区内车间通风处非甲烷总烃的排放满足《挥发性有机物无组织排放控制标准》（GB37822-2019）表A.1特别排放限值要求</w:t>
            </w:r>
            <w:r>
              <w:rPr>
                <w:rFonts w:hint="default" w:ascii="Times New Roman" w:hAnsi="Times New Roman" w:eastAsia="宋体" w:cs="Times New Roman"/>
                <w:color w:val="auto"/>
                <w:sz w:val="21"/>
                <w:szCs w:val="16"/>
                <w:highlight w:val="none"/>
                <w:lang w:val="en-US" w:eastAsia="zh-CN"/>
              </w:rPr>
              <w:t>。</w:t>
            </w:r>
          </w:p>
          <w:p w14:paraId="3653C9EF">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2</w:t>
            </w: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废水污染物排放达标情况</w:t>
            </w:r>
          </w:p>
          <w:p w14:paraId="2EBFFD1A">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根据委托检测报告（报告编号：HW202302008N03），现有项目污水排放情况如下。</w:t>
            </w:r>
          </w:p>
          <w:p w14:paraId="6A1CBA2C">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表</w:t>
            </w:r>
            <w:r>
              <w:rPr>
                <w:rFonts w:hint="eastAsia" w:cs="Times New Roman"/>
                <w:b/>
                <w:bCs/>
                <w:color w:val="auto"/>
                <w:sz w:val="21"/>
                <w:szCs w:val="21"/>
                <w:highlight w:val="none"/>
                <w:lang w:val="en-US" w:eastAsia="zh-CN"/>
              </w:rPr>
              <w:t>2-15</w:t>
            </w:r>
            <w:r>
              <w:rPr>
                <w:rFonts w:hint="eastAsia"/>
                <w:b/>
                <w:bCs/>
                <w:color w:val="auto"/>
                <w:sz w:val="21"/>
                <w:szCs w:val="21"/>
                <w:highlight w:val="none"/>
                <w:lang w:val="en-US" w:eastAsia="zh-CN"/>
              </w:rPr>
              <w:t xml:space="preserve"> 现有项目污水监测结果</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8"/>
              <w:gridCol w:w="750"/>
              <w:gridCol w:w="945"/>
              <w:gridCol w:w="915"/>
              <w:gridCol w:w="1072"/>
              <w:gridCol w:w="968"/>
              <w:gridCol w:w="792"/>
              <w:gridCol w:w="880"/>
              <w:gridCol w:w="881"/>
            </w:tblGrid>
            <w:tr w14:paraId="24139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restart"/>
                  <w:tcBorders>
                    <w:tl2br w:val="nil"/>
                    <w:tr2bl w:val="nil"/>
                  </w:tcBorders>
                  <w:vAlign w:val="center"/>
                </w:tcPr>
                <w:p w14:paraId="22DEC432">
                  <w:pPr>
                    <w:jc w:val="center"/>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检测</w:t>
                  </w:r>
                  <w:r>
                    <w:rPr>
                      <w:rFonts w:hint="default" w:ascii="Times New Roman" w:hAnsi="Times New Roman" w:cs="Times New Roman"/>
                      <w:b w:val="0"/>
                      <w:bCs w:val="0"/>
                      <w:color w:val="auto"/>
                      <w:sz w:val="21"/>
                      <w:szCs w:val="21"/>
                      <w:highlight w:val="none"/>
                    </w:rPr>
                    <w:t>点位</w:t>
                  </w:r>
                </w:p>
              </w:tc>
              <w:tc>
                <w:tcPr>
                  <w:tcW w:w="750" w:type="dxa"/>
                  <w:vMerge w:val="restart"/>
                  <w:tcBorders>
                    <w:tl2br w:val="nil"/>
                    <w:tr2bl w:val="nil"/>
                  </w:tcBorders>
                  <w:vAlign w:val="center"/>
                </w:tcPr>
                <w:p w14:paraId="7AC6BF22">
                  <w:pPr>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单位</w:t>
                  </w:r>
                </w:p>
              </w:tc>
              <w:tc>
                <w:tcPr>
                  <w:tcW w:w="4692" w:type="dxa"/>
                  <w:gridSpan w:val="5"/>
                  <w:tcBorders>
                    <w:tl2br w:val="nil"/>
                    <w:tr2bl w:val="nil"/>
                  </w:tcBorders>
                  <w:vAlign w:val="center"/>
                </w:tcPr>
                <w:p w14:paraId="2E885D28">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结果</w:t>
                  </w:r>
                </w:p>
              </w:tc>
              <w:tc>
                <w:tcPr>
                  <w:tcW w:w="880" w:type="dxa"/>
                  <w:vMerge w:val="restart"/>
                  <w:tcBorders>
                    <w:tl2br w:val="nil"/>
                    <w:tr2bl w:val="nil"/>
                  </w:tcBorders>
                  <w:vAlign w:val="center"/>
                </w:tcPr>
                <w:p w14:paraId="0A6C05B9">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标准限值</w:t>
                  </w:r>
                </w:p>
              </w:tc>
              <w:tc>
                <w:tcPr>
                  <w:tcW w:w="881" w:type="dxa"/>
                  <w:vMerge w:val="restart"/>
                  <w:tcBorders>
                    <w:tl2br w:val="nil"/>
                    <w:tr2bl w:val="nil"/>
                  </w:tcBorders>
                  <w:vAlign w:val="center"/>
                </w:tcPr>
                <w:p w14:paraId="41CE3118">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达标情况</w:t>
                  </w:r>
                </w:p>
              </w:tc>
            </w:tr>
            <w:tr w14:paraId="67CBB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continue"/>
                  <w:tcBorders>
                    <w:tl2br w:val="nil"/>
                    <w:tr2bl w:val="nil"/>
                  </w:tcBorders>
                  <w:vAlign w:val="center"/>
                </w:tcPr>
                <w:p w14:paraId="265D646B">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6FAA47F4">
                  <w:pPr>
                    <w:jc w:val="center"/>
                    <w:rPr>
                      <w:rFonts w:hint="default" w:ascii="Times New Roman" w:hAnsi="Times New Roman" w:cs="Times New Roman"/>
                      <w:b w:val="0"/>
                      <w:bCs w:val="0"/>
                      <w:color w:val="auto"/>
                      <w:sz w:val="21"/>
                      <w:szCs w:val="21"/>
                      <w:highlight w:val="none"/>
                    </w:rPr>
                  </w:pPr>
                </w:p>
              </w:tc>
              <w:tc>
                <w:tcPr>
                  <w:tcW w:w="4692" w:type="dxa"/>
                  <w:gridSpan w:val="5"/>
                  <w:tcBorders>
                    <w:tl2br w:val="nil"/>
                    <w:tr2bl w:val="nil"/>
                  </w:tcBorders>
                  <w:vAlign w:val="center"/>
                </w:tcPr>
                <w:p w14:paraId="5C696131">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采样日期：2023.04.14</w:t>
                  </w:r>
                </w:p>
              </w:tc>
              <w:tc>
                <w:tcPr>
                  <w:tcW w:w="880" w:type="dxa"/>
                  <w:vMerge w:val="continue"/>
                  <w:tcBorders>
                    <w:tl2br w:val="nil"/>
                    <w:tr2bl w:val="nil"/>
                  </w:tcBorders>
                  <w:vAlign w:val="center"/>
                </w:tcPr>
                <w:p w14:paraId="7C5BFCFE">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184D19AB">
                  <w:pPr>
                    <w:jc w:val="center"/>
                    <w:rPr>
                      <w:rFonts w:hint="eastAsia" w:ascii="Times New Roman" w:hAnsi="Times New Roman" w:cs="Times New Roman"/>
                      <w:b w:val="0"/>
                      <w:bCs w:val="0"/>
                      <w:color w:val="auto"/>
                      <w:sz w:val="21"/>
                      <w:szCs w:val="21"/>
                      <w:highlight w:val="none"/>
                      <w:lang w:val="en-US" w:eastAsia="zh-CN"/>
                    </w:rPr>
                  </w:pPr>
                </w:p>
              </w:tc>
            </w:tr>
            <w:tr w14:paraId="54CFA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continue"/>
                  <w:tcBorders>
                    <w:tl2br w:val="nil"/>
                    <w:tr2bl w:val="nil"/>
                  </w:tcBorders>
                  <w:vAlign w:val="center"/>
                </w:tcPr>
                <w:p w14:paraId="7E3E3153">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4541FCC9">
                  <w:pPr>
                    <w:jc w:val="center"/>
                    <w:rPr>
                      <w:rFonts w:hint="default" w:ascii="Times New Roman" w:hAnsi="Times New Roman" w:cs="Times New Roman"/>
                      <w:b w:val="0"/>
                      <w:bCs w:val="0"/>
                      <w:color w:val="auto"/>
                      <w:sz w:val="21"/>
                      <w:szCs w:val="21"/>
                      <w:highlight w:val="none"/>
                    </w:rPr>
                  </w:pPr>
                </w:p>
              </w:tc>
              <w:tc>
                <w:tcPr>
                  <w:tcW w:w="4692" w:type="dxa"/>
                  <w:gridSpan w:val="5"/>
                  <w:tcBorders>
                    <w:tl2br w:val="nil"/>
                    <w:tr2bl w:val="nil"/>
                  </w:tcBorders>
                  <w:vAlign w:val="center"/>
                </w:tcPr>
                <w:p w14:paraId="5BFF9378">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污水排放口DW001</w:t>
                  </w:r>
                </w:p>
              </w:tc>
              <w:tc>
                <w:tcPr>
                  <w:tcW w:w="880" w:type="dxa"/>
                  <w:vMerge w:val="continue"/>
                  <w:tcBorders>
                    <w:tl2br w:val="nil"/>
                    <w:tr2bl w:val="nil"/>
                  </w:tcBorders>
                  <w:vAlign w:val="center"/>
                </w:tcPr>
                <w:p w14:paraId="2DB63F12">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42AE7484">
                  <w:pPr>
                    <w:jc w:val="center"/>
                    <w:rPr>
                      <w:rFonts w:hint="eastAsia" w:ascii="Times New Roman" w:hAnsi="Times New Roman" w:cs="Times New Roman"/>
                      <w:b w:val="0"/>
                      <w:bCs w:val="0"/>
                      <w:color w:val="auto"/>
                      <w:sz w:val="21"/>
                      <w:szCs w:val="21"/>
                      <w:highlight w:val="none"/>
                      <w:lang w:val="en-US" w:eastAsia="zh-CN"/>
                    </w:rPr>
                  </w:pPr>
                </w:p>
              </w:tc>
            </w:tr>
            <w:tr w14:paraId="35C66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continue"/>
                  <w:tcBorders>
                    <w:tl2br w:val="nil"/>
                    <w:tr2bl w:val="nil"/>
                  </w:tcBorders>
                  <w:vAlign w:val="center"/>
                </w:tcPr>
                <w:p w14:paraId="77FB1A81">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2BA37448">
                  <w:pPr>
                    <w:jc w:val="center"/>
                    <w:rPr>
                      <w:rFonts w:hint="default" w:ascii="Times New Roman" w:hAnsi="Times New Roman" w:cs="Times New Roman"/>
                      <w:b w:val="0"/>
                      <w:bCs w:val="0"/>
                      <w:color w:val="auto"/>
                      <w:sz w:val="21"/>
                      <w:szCs w:val="21"/>
                      <w:highlight w:val="none"/>
                    </w:rPr>
                  </w:pPr>
                </w:p>
              </w:tc>
              <w:tc>
                <w:tcPr>
                  <w:tcW w:w="945" w:type="dxa"/>
                  <w:tcBorders>
                    <w:tl2br w:val="nil"/>
                    <w:tr2bl w:val="nil"/>
                  </w:tcBorders>
                  <w:vAlign w:val="center"/>
                </w:tcPr>
                <w:p w14:paraId="61FA8906">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第一次</w:t>
                  </w:r>
                </w:p>
              </w:tc>
              <w:tc>
                <w:tcPr>
                  <w:tcW w:w="915" w:type="dxa"/>
                  <w:tcBorders>
                    <w:tl2br w:val="nil"/>
                    <w:tr2bl w:val="nil"/>
                  </w:tcBorders>
                  <w:vAlign w:val="center"/>
                </w:tcPr>
                <w:p w14:paraId="5285427C">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第二次</w:t>
                  </w:r>
                </w:p>
              </w:tc>
              <w:tc>
                <w:tcPr>
                  <w:tcW w:w="1072" w:type="dxa"/>
                  <w:tcBorders>
                    <w:tl2br w:val="nil"/>
                    <w:tr2bl w:val="nil"/>
                  </w:tcBorders>
                  <w:vAlign w:val="center"/>
                </w:tcPr>
                <w:p w14:paraId="376F0941">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第三次</w:t>
                  </w:r>
                </w:p>
              </w:tc>
              <w:tc>
                <w:tcPr>
                  <w:tcW w:w="968" w:type="dxa"/>
                  <w:tcBorders>
                    <w:tl2br w:val="nil"/>
                    <w:tr2bl w:val="nil"/>
                  </w:tcBorders>
                  <w:vAlign w:val="center"/>
                </w:tcPr>
                <w:p w14:paraId="47E677A0">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第四次</w:t>
                  </w:r>
                </w:p>
              </w:tc>
              <w:tc>
                <w:tcPr>
                  <w:tcW w:w="792" w:type="dxa"/>
                  <w:vMerge w:val="restart"/>
                  <w:tcBorders>
                    <w:tl2br w:val="nil"/>
                    <w:tr2bl w:val="nil"/>
                  </w:tcBorders>
                  <w:vAlign w:val="center"/>
                </w:tcPr>
                <w:p w14:paraId="5D9F4644">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均值</w:t>
                  </w:r>
                </w:p>
              </w:tc>
              <w:tc>
                <w:tcPr>
                  <w:tcW w:w="880" w:type="dxa"/>
                  <w:vMerge w:val="continue"/>
                  <w:tcBorders>
                    <w:tl2br w:val="nil"/>
                    <w:tr2bl w:val="nil"/>
                  </w:tcBorders>
                  <w:vAlign w:val="center"/>
                </w:tcPr>
                <w:p w14:paraId="623AED94">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7240ABB5">
                  <w:pPr>
                    <w:jc w:val="center"/>
                    <w:rPr>
                      <w:rFonts w:hint="eastAsia" w:ascii="Times New Roman" w:hAnsi="Times New Roman" w:cs="Times New Roman"/>
                      <w:b w:val="0"/>
                      <w:bCs w:val="0"/>
                      <w:color w:val="auto"/>
                      <w:sz w:val="21"/>
                      <w:szCs w:val="21"/>
                      <w:highlight w:val="none"/>
                      <w:lang w:val="en-US" w:eastAsia="zh-CN"/>
                    </w:rPr>
                  </w:pPr>
                </w:p>
              </w:tc>
            </w:tr>
            <w:tr w14:paraId="321F3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continue"/>
                  <w:tcBorders>
                    <w:tl2br w:val="nil"/>
                    <w:tr2bl w:val="nil"/>
                  </w:tcBorders>
                  <w:vAlign w:val="center"/>
                </w:tcPr>
                <w:p w14:paraId="370D6363">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2CF0A6D3">
                  <w:pPr>
                    <w:jc w:val="center"/>
                    <w:rPr>
                      <w:rFonts w:hint="default" w:ascii="Times New Roman" w:hAnsi="Times New Roman" w:cs="Times New Roman"/>
                      <w:b w:val="0"/>
                      <w:bCs w:val="0"/>
                      <w:color w:val="auto"/>
                      <w:sz w:val="21"/>
                      <w:szCs w:val="21"/>
                      <w:highlight w:val="none"/>
                    </w:rPr>
                  </w:pPr>
                </w:p>
              </w:tc>
              <w:tc>
                <w:tcPr>
                  <w:tcW w:w="945" w:type="dxa"/>
                  <w:tcBorders>
                    <w:tl2br w:val="nil"/>
                    <w:tr2bl w:val="nil"/>
                  </w:tcBorders>
                  <w:vAlign w:val="center"/>
                </w:tcPr>
                <w:p w14:paraId="0F6F7149">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HED1401WA0101</w:t>
                  </w:r>
                </w:p>
              </w:tc>
              <w:tc>
                <w:tcPr>
                  <w:tcW w:w="915" w:type="dxa"/>
                  <w:tcBorders>
                    <w:tl2br w:val="nil"/>
                    <w:tr2bl w:val="nil"/>
                  </w:tcBorders>
                  <w:vAlign w:val="center"/>
                </w:tcPr>
                <w:p w14:paraId="5DEBEAE5">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HED1401WA0102</w:t>
                  </w:r>
                </w:p>
              </w:tc>
              <w:tc>
                <w:tcPr>
                  <w:tcW w:w="1072" w:type="dxa"/>
                  <w:tcBorders>
                    <w:tl2br w:val="nil"/>
                    <w:tr2bl w:val="nil"/>
                  </w:tcBorders>
                  <w:vAlign w:val="center"/>
                </w:tcPr>
                <w:p w14:paraId="513D4151">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HED1401WA0103</w:t>
                  </w:r>
                </w:p>
              </w:tc>
              <w:tc>
                <w:tcPr>
                  <w:tcW w:w="968" w:type="dxa"/>
                  <w:tcBorders>
                    <w:tl2br w:val="nil"/>
                    <w:tr2bl w:val="nil"/>
                  </w:tcBorders>
                  <w:vAlign w:val="center"/>
                </w:tcPr>
                <w:p w14:paraId="41D6828F">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HED1401WA0104</w:t>
                  </w:r>
                </w:p>
              </w:tc>
              <w:tc>
                <w:tcPr>
                  <w:tcW w:w="792" w:type="dxa"/>
                  <w:vMerge w:val="continue"/>
                  <w:tcBorders>
                    <w:tl2br w:val="nil"/>
                    <w:tr2bl w:val="nil"/>
                  </w:tcBorders>
                  <w:vAlign w:val="center"/>
                </w:tcPr>
                <w:p w14:paraId="0D36B17F">
                  <w:pPr>
                    <w:jc w:val="center"/>
                    <w:rPr>
                      <w:rFonts w:hint="eastAsia" w:ascii="Times New Roman" w:hAnsi="Times New Roman" w:cs="Times New Roman"/>
                      <w:b w:val="0"/>
                      <w:bCs w:val="0"/>
                      <w:color w:val="auto"/>
                      <w:sz w:val="21"/>
                      <w:szCs w:val="21"/>
                      <w:highlight w:val="none"/>
                      <w:lang w:val="en-US" w:eastAsia="zh-CN"/>
                    </w:rPr>
                  </w:pPr>
                </w:p>
              </w:tc>
              <w:tc>
                <w:tcPr>
                  <w:tcW w:w="880" w:type="dxa"/>
                  <w:vMerge w:val="continue"/>
                  <w:tcBorders>
                    <w:tl2br w:val="nil"/>
                    <w:tr2bl w:val="nil"/>
                  </w:tcBorders>
                  <w:vAlign w:val="center"/>
                </w:tcPr>
                <w:p w14:paraId="6D3DB639">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620277CB">
                  <w:pPr>
                    <w:jc w:val="center"/>
                    <w:rPr>
                      <w:rFonts w:hint="eastAsia" w:ascii="Times New Roman" w:hAnsi="Times New Roman" w:cs="Times New Roman"/>
                      <w:b w:val="0"/>
                      <w:bCs w:val="0"/>
                      <w:color w:val="auto"/>
                      <w:sz w:val="21"/>
                      <w:szCs w:val="21"/>
                      <w:highlight w:val="none"/>
                      <w:lang w:val="en-US" w:eastAsia="zh-CN"/>
                    </w:rPr>
                  </w:pPr>
                </w:p>
              </w:tc>
            </w:tr>
            <w:tr w14:paraId="09A91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continue"/>
                  <w:tcBorders>
                    <w:tl2br w:val="nil"/>
                    <w:tr2bl w:val="nil"/>
                  </w:tcBorders>
                  <w:vAlign w:val="center"/>
                </w:tcPr>
                <w:p w14:paraId="661994DB">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302B5A22">
                  <w:pPr>
                    <w:jc w:val="center"/>
                    <w:rPr>
                      <w:rFonts w:hint="default" w:ascii="Times New Roman" w:hAnsi="Times New Roman" w:cs="Times New Roman"/>
                      <w:b w:val="0"/>
                      <w:bCs w:val="0"/>
                      <w:color w:val="auto"/>
                      <w:sz w:val="21"/>
                      <w:szCs w:val="21"/>
                      <w:highlight w:val="none"/>
                    </w:rPr>
                  </w:pPr>
                </w:p>
              </w:tc>
              <w:tc>
                <w:tcPr>
                  <w:tcW w:w="4692" w:type="dxa"/>
                  <w:gridSpan w:val="5"/>
                  <w:tcBorders>
                    <w:tl2br w:val="nil"/>
                    <w:tr2bl w:val="nil"/>
                  </w:tcBorders>
                  <w:vAlign w:val="center"/>
                </w:tcPr>
                <w:p w14:paraId="192BD795">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微黄、微臭、微浑浊</w:t>
                  </w:r>
                </w:p>
              </w:tc>
              <w:tc>
                <w:tcPr>
                  <w:tcW w:w="880" w:type="dxa"/>
                  <w:vMerge w:val="continue"/>
                  <w:tcBorders>
                    <w:tl2br w:val="nil"/>
                    <w:tr2bl w:val="nil"/>
                  </w:tcBorders>
                  <w:vAlign w:val="center"/>
                </w:tcPr>
                <w:p w14:paraId="6D5761F5">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3E7863E3">
                  <w:pPr>
                    <w:jc w:val="center"/>
                    <w:rPr>
                      <w:rFonts w:hint="eastAsia" w:ascii="Times New Roman" w:hAnsi="Times New Roman" w:cs="Times New Roman"/>
                      <w:b w:val="0"/>
                      <w:bCs w:val="0"/>
                      <w:color w:val="auto"/>
                      <w:sz w:val="21"/>
                      <w:szCs w:val="21"/>
                      <w:highlight w:val="none"/>
                      <w:lang w:val="en-US" w:eastAsia="zh-CN"/>
                    </w:rPr>
                  </w:pPr>
                </w:p>
              </w:tc>
            </w:tr>
            <w:tr w14:paraId="19481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tcBorders>
                    <w:tl2br w:val="nil"/>
                    <w:tr2bl w:val="nil"/>
                  </w:tcBorders>
                  <w:vAlign w:val="center"/>
                </w:tcPr>
                <w:p w14:paraId="1BE2D609">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pH</w:t>
                  </w:r>
                </w:p>
              </w:tc>
              <w:tc>
                <w:tcPr>
                  <w:tcW w:w="750" w:type="dxa"/>
                  <w:tcBorders>
                    <w:tl2br w:val="nil"/>
                    <w:tr2bl w:val="nil"/>
                  </w:tcBorders>
                  <w:vAlign w:val="center"/>
                </w:tcPr>
                <w:p w14:paraId="7F786C7C">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无量纲</w:t>
                  </w:r>
                </w:p>
              </w:tc>
              <w:tc>
                <w:tcPr>
                  <w:tcW w:w="945" w:type="dxa"/>
                  <w:tcBorders>
                    <w:tl2br w:val="nil"/>
                    <w:tr2bl w:val="nil"/>
                  </w:tcBorders>
                  <w:vAlign w:val="center"/>
                </w:tcPr>
                <w:p w14:paraId="6166B8BA">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7.5</w:t>
                  </w:r>
                </w:p>
              </w:tc>
              <w:tc>
                <w:tcPr>
                  <w:tcW w:w="915" w:type="dxa"/>
                  <w:tcBorders>
                    <w:tl2br w:val="nil"/>
                    <w:tr2bl w:val="nil"/>
                  </w:tcBorders>
                  <w:vAlign w:val="center"/>
                </w:tcPr>
                <w:p w14:paraId="7578D668">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7.5</w:t>
                  </w:r>
                </w:p>
              </w:tc>
              <w:tc>
                <w:tcPr>
                  <w:tcW w:w="1072" w:type="dxa"/>
                  <w:tcBorders>
                    <w:tl2br w:val="nil"/>
                    <w:tr2bl w:val="nil"/>
                  </w:tcBorders>
                  <w:vAlign w:val="center"/>
                </w:tcPr>
                <w:p w14:paraId="11DE98FF">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7.6</w:t>
                  </w:r>
                </w:p>
              </w:tc>
              <w:tc>
                <w:tcPr>
                  <w:tcW w:w="968" w:type="dxa"/>
                  <w:tcBorders>
                    <w:tl2br w:val="nil"/>
                    <w:tr2bl w:val="nil"/>
                  </w:tcBorders>
                  <w:vAlign w:val="center"/>
                </w:tcPr>
                <w:p w14:paraId="0ABA5735">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7.4</w:t>
                  </w:r>
                </w:p>
              </w:tc>
              <w:tc>
                <w:tcPr>
                  <w:tcW w:w="792" w:type="dxa"/>
                  <w:tcBorders>
                    <w:tl2br w:val="nil"/>
                    <w:tr2bl w:val="nil"/>
                  </w:tcBorders>
                  <w:vAlign w:val="center"/>
                </w:tcPr>
                <w:p w14:paraId="30C22221">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7.5</w:t>
                  </w:r>
                </w:p>
              </w:tc>
              <w:tc>
                <w:tcPr>
                  <w:tcW w:w="880" w:type="dxa"/>
                  <w:tcBorders>
                    <w:tl2br w:val="nil"/>
                    <w:tr2bl w:val="nil"/>
                  </w:tcBorders>
                  <w:vAlign w:val="center"/>
                </w:tcPr>
                <w:p w14:paraId="19F5CBE0">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6~9</w:t>
                  </w:r>
                </w:p>
              </w:tc>
              <w:tc>
                <w:tcPr>
                  <w:tcW w:w="881" w:type="dxa"/>
                  <w:tcBorders>
                    <w:tl2br w:val="nil"/>
                    <w:tr2bl w:val="nil"/>
                  </w:tcBorders>
                  <w:vAlign w:val="center"/>
                </w:tcPr>
                <w:p w14:paraId="2666C406">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w:t>
                  </w:r>
                </w:p>
              </w:tc>
            </w:tr>
            <w:tr w14:paraId="71B1D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tcBorders>
                    <w:tl2br w:val="nil"/>
                    <w:tr2bl w:val="nil"/>
                  </w:tcBorders>
                  <w:vAlign w:val="center"/>
                </w:tcPr>
                <w:p w14:paraId="6BA132DA">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悬浮物</w:t>
                  </w:r>
                </w:p>
              </w:tc>
              <w:tc>
                <w:tcPr>
                  <w:tcW w:w="750" w:type="dxa"/>
                  <w:tcBorders>
                    <w:tl2br w:val="nil"/>
                    <w:tr2bl w:val="nil"/>
                  </w:tcBorders>
                  <w:vAlign w:val="center"/>
                </w:tcPr>
                <w:p w14:paraId="5C5C8CBC">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mg/L</w:t>
                  </w:r>
                </w:p>
              </w:tc>
              <w:tc>
                <w:tcPr>
                  <w:tcW w:w="945" w:type="dxa"/>
                  <w:tcBorders>
                    <w:tl2br w:val="nil"/>
                    <w:tr2bl w:val="nil"/>
                  </w:tcBorders>
                  <w:vAlign w:val="center"/>
                </w:tcPr>
                <w:p w14:paraId="2F1680F5">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31</w:t>
                  </w:r>
                </w:p>
              </w:tc>
              <w:tc>
                <w:tcPr>
                  <w:tcW w:w="915" w:type="dxa"/>
                  <w:tcBorders>
                    <w:tl2br w:val="nil"/>
                    <w:tr2bl w:val="nil"/>
                  </w:tcBorders>
                  <w:vAlign w:val="center"/>
                </w:tcPr>
                <w:p w14:paraId="7102C6B3">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37</w:t>
                  </w:r>
                </w:p>
              </w:tc>
              <w:tc>
                <w:tcPr>
                  <w:tcW w:w="1072" w:type="dxa"/>
                  <w:tcBorders>
                    <w:tl2br w:val="nil"/>
                    <w:tr2bl w:val="nil"/>
                  </w:tcBorders>
                  <w:vAlign w:val="center"/>
                </w:tcPr>
                <w:p w14:paraId="721A35F5">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35</w:t>
                  </w:r>
                </w:p>
              </w:tc>
              <w:tc>
                <w:tcPr>
                  <w:tcW w:w="968" w:type="dxa"/>
                  <w:tcBorders>
                    <w:tl2br w:val="nil"/>
                    <w:tr2bl w:val="nil"/>
                  </w:tcBorders>
                  <w:vAlign w:val="center"/>
                </w:tcPr>
                <w:p w14:paraId="1AC4535A">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38</w:t>
                  </w:r>
                </w:p>
              </w:tc>
              <w:tc>
                <w:tcPr>
                  <w:tcW w:w="792" w:type="dxa"/>
                  <w:tcBorders>
                    <w:tl2br w:val="nil"/>
                    <w:tr2bl w:val="nil"/>
                  </w:tcBorders>
                  <w:vAlign w:val="center"/>
                </w:tcPr>
                <w:p w14:paraId="4BED67BD">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35.25</w:t>
                  </w:r>
                </w:p>
              </w:tc>
              <w:tc>
                <w:tcPr>
                  <w:tcW w:w="880" w:type="dxa"/>
                  <w:tcBorders>
                    <w:tl2br w:val="nil"/>
                    <w:tr2bl w:val="nil"/>
                  </w:tcBorders>
                  <w:vAlign w:val="center"/>
                </w:tcPr>
                <w:p w14:paraId="2AE09621">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180</w:t>
                  </w:r>
                </w:p>
              </w:tc>
              <w:tc>
                <w:tcPr>
                  <w:tcW w:w="881" w:type="dxa"/>
                  <w:tcBorders>
                    <w:tl2br w:val="nil"/>
                    <w:tr2bl w:val="nil"/>
                  </w:tcBorders>
                  <w:vAlign w:val="center"/>
                </w:tcPr>
                <w:p w14:paraId="0BE9614B">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w:t>
                  </w:r>
                </w:p>
              </w:tc>
            </w:tr>
            <w:tr w14:paraId="0CC83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tcBorders>
                    <w:tl2br w:val="nil"/>
                    <w:tr2bl w:val="nil"/>
                  </w:tcBorders>
                  <w:vAlign w:val="center"/>
                </w:tcPr>
                <w:p w14:paraId="18D772B6">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BOD</w:t>
                  </w:r>
                  <w:r>
                    <w:rPr>
                      <w:rFonts w:hint="eastAsia" w:cs="Times New Roman"/>
                      <w:b w:val="0"/>
                      <w:bCs w:val="0"/>
                      <w:color w:val="auto"/>
                      <w:sz w:val="21"/>
                      <w:szCs w:val="21"/>
                      <w:highlight w:val="none"/>
                      <w:vertAlign w:val="subscript"/>
                      <w:lang w:val="en-US" w:eastAsia="zh-CN"/>
                    </w:rPr>
                    <w:t>5</w:t>
                  </w:r>
                </w:p>
              </w:tc>
              <w:tc>
                <w:tcPr>
                  <w:tcW w:w="750" w:type="dxa"/>
                  <w:tcBorders>
                    <w:tl2br w:val="nil"/>
                    <w:tr2bl w:val="nil"/>
                  </w:tcBorders>
                  <w:vAlign w:val="center"/>
                </w:tcPr>
                <w:p w14:paraId="38203762">
                  <w:pPr>
                    <w:jc w:val="center"/>
                    <w:rPr>
                      <w:rFonts w:hint="default" w:ascii="Times New Roman" w:hAnsi="Times New Roman" w:cs="Times New Roman"/>
                      <w:b w:val="0"/>
                      <w:bCs w:val="0"/>
                      <w:color w:val="auto"/>
                      <w:sz w:val="21"/>
                      <w:szCs w:val="21"/>
                      <w:highlight w:val="none"/>
                    </w:rPr>
                  </w:pPr>
                  <w:r>
                    <w:rPr>
                      <w:rFonts w:hint="eastAsia" w:cs="Times New Roman"/>
                      <w:b w:val="0"/>
                      <w:bCs w:val="0"/>
                      <w:color w:val="auto"/>
                      <w:sz w:val="21"/>
                      <w:szCs w:val="21"/>
                      <w:highlight w:val="none"/>
                      <w:lang w:val="en-US" w:eastAsia="zh-CN"/>
                    </w:rPr>
                    <w:t>mg/L</w:t>
                  </w:r>
                </w:p>
              </w:tc>
              <w:tc>
                <w:tcPr>
                  <w:tcW w:w="945" w:type="dxa"/>
                  <w:tcBorders>
                    <w:tl2br w:val="nil"/>
                    <w:tr2bl w:val="nil"/>
                  </w:tcBorders>
                  <w:vAlign w:val="center"/>
                </w:tcPr>
                <w:p w14:paraId="46FF4868">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11.9</w:t>
                  </w:r>
                </w:p>
              </w:tc>
              <w:tc>
                <w:tcPr>
                  <w:tcW w:w="915" w:type="dxa"/>
                  <w:tcBorders>
                    <w:tl2br w:val="nil"/>
                    <w:tr2bl w:val="nil"/>
                  </w:tcBorders>
                  <w:vAlign w:val="center"/>
                </w:tcPr>
                <w:p w14:paraId="3F529E3B">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10.6</w:t>
                  </w:r>
                </w:p>
              </w:tc>
              <w:tc>
                <w:tcPr>
                  <w:tcW w:w="1072" w:type="dxa"/>
                  <w:tcBorders>
                    <w:tl2br w:val="nil"/>
                    <w:tr2bl w:val="nil"/>
                  </w:tcBorders>
                  <w:vAlign w:val="center"/>
                </w:tcPr>
                <w:p w14:paraId="3F94F544">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11.4</w:t>
                  </w:r>
                </w:p>
              </w:tc>
              <w:tc>
                <w:tcPr>
                  <w:tcW w:w="968" w:type="dxa"/>
                  <w:tcBorders>
                    <w:tl2br w:val="nil"/>
                    <w:tr2bl w:val="nil"/>
                  </w:tcBorders>
                  <w:vAlign w:val="center"/>
                </w:tcPr>
                <w:p w14:paraId="691E0507">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11.1</w:t>
                  </w:r>
                </w:p>
              </w:tc>
              <w:tc>
                <w:tcPr>
                  <w:tcW w:w="792" w:type="dxa"/>
                  <w:tcBorders>
                    <w:tl2br w:val="nil"/>
                    <w:tr2bl w:val="nil"/>
                  </w:tcBorders>
                  <w:vAlign w:val="center"/>
                </w:tcPr>
                <w:p w14:paraId="7AC58755">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11.25</w:t>
                  </w:r>
                </w:p>
              </w:tc>
              <w:tc>
                <w:tcPr>
                  <w:tcW w:w="880" w:type="dxa"/>
                  <w:tcBorders>
                    <w:tl2br w:val="nil"/>
                    <w:tr2bl w:val="nil"/>
                  </w:tcBorders>
                  <w:vAlign w:val="center"/>
                </w:tcPr>
                <w:p w14:paraId="04D5745E">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160</w:t>
                  </w:r>
                </w:p>
              </w:tc>
              <w:tc>
                <w:tcPr>
                  <w:tcW w:w="881" w:type="dxa"/>
                  <w:tcBorders>
                    <w:tl2br w:val="nil"/>
                    <w:tr2bl w:val="nil"/>
                  </w:tcBorders>
                  <w:vAlign w:val="center"/>
                </w:tcPr>
                <w:p w14:paraId="35B8191B">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w:t>
                  </w:r>
                </w:p>
              </w:tc>
            </w:tr>
            <w:tr w14:paraId="1FECC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tcBorders>
                    <w:tl2br w:val="nil"/>
                    <w:tr2bl w:val="nil"/>
                  </w:tcBorders>
                  <w:vAlign w:val="center"/>
                </w:tcPr>
                <w:p w14:paraId="6105853E">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COD</w:t>
                  </w:r>
                </w:p>
              </w:tc>
              <w:tc>
                <w:tcPr>
                  <w:tcW w:w="750" w:type="dxa"/>
                  <w:tcBorders>
                    <w:tl2br w:val="nil"/>
                    <w:tr2bl w:val="nil"/>
                  </w:tcBorders>
                  <w:vAlign w:val="center"/>
                </w:tcPr>
                <w:p w14:paraId="54D729CA">
                  <w:pPr>
                    <w:jc w:val="center"/>
                    <w:rPr>
                      <w:rFonts w:hint="default" w:ascii="Times New Roman" w:hAnsi="Times New Roman" w:cs="Times New Roman"/>
                      <w:b w:val="0"/>
                      <w:bCs w:val="0"/>
                      <w:color w:val="auto"/>
                      <w:sz w:val="21"/>
                      <w:szCs w:val="21"/>
                      <w:highlight w:val="none"/>
                    </w:rPr>
                  </w:pPr>
                  <w:r>
                    <w:rPr>
                      <w:rFonts w:hint="eastAsia" w:cs="Times New Roman"/>
                      <w:b w:val="0"/>
                      <w:bCs w:val="0"/>
                      <w:color w:val="auto"/>
                      <w:sz w:val="21"/>
                      <w:szCs w:val="21"/>
                      <w:highlight w:val="none"/>
                      <w:lang w:val="en-US" w:eastAsia="zh-CN"/>
                    </w:rPr>
                    <w:t>mg/L</w:t>
                  </w:r>
                </w:p>
              </w:tc>
              <w:tc>
                <w:tcPr>
                  <w:tcW w:w="945" w:type="dxa"/>
                  <w:tcBorders>
                    <w:tl2br w:val="nil"/>
                    <w:tr2bl w:val="nil"/>
                  </w:tcBorders>
                  <w:vAlign w:val="center"/>
                </w:tcPr>
                <w:p w14:paraId="170241DA">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46</w:t>
                  </w:r>
                </w:p>
              </w:tc>
              <w:tc>
                <w:tcPr>
                  <w:tcW w:w="915" w:type="dxa"/>
                  <w:tcBorders>
                    <w:tl2br w:val="nil"/>
                    <w:tr2bl w:val="nil"/>
                  </w:tcBorders>
                  <w:vAlign w:val="center"/>
                </w:tcPr>
                <w:p w14:paraId="594CB759">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41</w:t>
                  </w:r>
                </w:p>
              </w:tc>
              <w:tc>
                <w:tcPr>
                  <w:tcW w:w="1072" w:type="dxa"/>
                  <w:tcBorders>
                    <w:tl2br w:val="nil"/>
                    <w:tr2bl w:val="nil"/>
                  </w:tcBorders>
                  <w:vAlign w:val="center"/>
                </w:tcPr>
                <w:p w14:paraId="7E69F782">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44</w:t>
                  </w:r>
                </w:p>
              </w:tc>
              <w:tc>
                <w:tcPr>
                  <w:tcW w:w="968" w:type="dxa"/>
                  <w:tcBorders>
                    <w:tl2br w:val="nil"/>
                    <w:tr2bl w:val="nil"/>
                  </w:tcBorders>
                  <w:vAlign w:val="center"/>
                </w:tcPr>
                <w:p w14:paraId="433BE832">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42</w:t>
                  </w:r>
                </w:p>
              </w:tc>
              <w:tc>
                <w:tcPr>
                  <w:tcW w:w="792" w:type="dxa"/>
                  <w:tcBorders>
                    <w:tl2br w:val="nil"/>
                    <w:tr2bl w:val="nil"/>
                  </w:tcBorders>
                  <w:vAlign w:val="center"/>
                </w:tcPr>
                <w:p w14:paraId="7C1C6BA4">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43.25</w:t>
                  </w:r>
                </w:p>
              </w:tc>
              <w:tc>
                <w:tcPr>
                  <w:tcW w:w="880" w:type="dxa"/>
                  <w:tcBorders>
                    <w:tl2br w:val="nil"/>
                    <w:tr2bl w:val="nil"/>
                  </w:tcBorders>
                  <w:vAlign w:val="center"/>
                </w:tcPr>
                <w:p w14:paraId="502526B1">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280</w:t>
                  </w:r>
                </w:p>
              </w:tc>
              <w:tc>
                <w:tcPr>
                  <w:tcW w:w="881" w:type="dxa"/>
                  <w:tcBorders>
                    <w:tl2br w:val="nil"/>
                    <w:tr2bl w:val="nil"/>
                  </w:tcBorders>
                  <w:vAlign w:val="center"/>
                </w:tcPr>
                <w:p w14:paraId="1687A793">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w:t>
                  </w:r>
                </w:p>
              </w:tc>
            </w:tr>
            <w:tr w14:paraId="5E3E5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tcBorders>
                    <w:tl2br w:val="nil"/>
                    <w:tr2bl w:val="nil"/>
                  </w:tcBorders>
                  <w:vAlign w:val="center"/>
                </w:tcPr>
                <w:p w14:paraId="5C20529D">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氨氮</w:t>
                  </w:r>
                </w:p>
              </w:tc>
              <w:tc>
                <w:tcPr>
                  <w:tcW w:w="750" w:type="dxa"/>
                  <w:tcBorders>
                    <w:tl2br w:val="nil"/>
                    <w:tr2bl w:val="nil"/>
                  </w:tcBorders>
                  <w:vAlign w:val="center"/>
                </w:tcPr>
                <w:p w14:paraId="4DB037F4">
                  <w:pPr>
                    <w:jc w:val="center"/>
                    <w:rPr>
                      <w:rFonts w:hint="default" w:ascii="Times New Roman" w:hAnsi="Times New Roman" w:cs="Times New Roman"/>
                      <w:b w:val="0"/>
                      <w:bCs w:val="0"/>
                      <w:color w:val="auto"/>
                      <w:sz w:val="21"/>
                      <w:szCs w:val="21"/>
                      <w:highlight w:val="none"/>
                    </w:rPr>
                  </w:pPr>
                  <w:r>
                    <w:rPr>
                      <w:rFonts w:hint="eastAsia" w:cs="Times New Roman"/>
                      <w:b w:val="0"/>
                      <w:bCs w:val="0"/>
                      <w:color w:val="auto"/>
                      <w:sz w:val="21"/>
                      <w:szCs w:val="21"/>
                      <w:highlight w:val="none"/>
                      <w:lang w:val="en-US" w:eastAsia="zh-CN"/>
                    </w:rPr>
                    <w:t>mg/L</w:t>
                  </w:r>
                </w:p>
              </w:tc>
              <w:tc>
                <w:tcPr>
                  <w:tcW w:w="945" w:type="dxa"/>
                  <w:tcBorders>
                    <w:tl2br w:val="nil"/>
                    <w:tr2bl w:val="nil"/>
                  </w:tcBorders>
                  <w:vAlign w:val="center"/>
                </w:tcPr>
                <w:p w14:paraId="7DC0382A">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1.14</w:t>
                  </w:r>
                </w:p>
              </w:tc>
              <w:tc>
                <w:tcPr>
                  <w:tcW w:w="915" w:type="dxa"/>
                  <w:tcBorders>
                    <w:tl2br w:val="nil"/>
                    <w:tr2bl w:val="nil"/>
                  </w:tcBorders>
                  <w:vAlign w:val="center"/>
                </w:tcPr>
                <w:p w14:paraId="43CF3E8E">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1.06</w:t>
                  </w:r>
                </w:p>
              </w:tc>
              <w:tc>
                <w:tcPr>
                  <w:tcW w:w="1072" w:type="dxa"/>
                  <w:tcBorders>
                    <w:tl2br w:val="nil"/>
                    <w:tr2bl w:val="nil"/>
                  </w:tcBorders>
                  <w:vAlign w:val="center"/>
                </w:tcPr>
                <w:p w14:paraId="0D6971F9">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1.04</w:t>
                  </w:r>
                </w:p>
              </w:tc>
              <w:tc>
                <w:tcPr>
                  <w:tcW w:w="968" w:type="dxa"/>
                  <w:tcBorders>
                    <w:tl2br w:val="nil"/>
                    <w:tr2bl w:val="nil"/>
                  </w:tcBorders>
                  <w:vAlign w:val="center"/>
                </w:tcPr>
                <w:p w14:paraId="3965BB32">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1.10</w:t>
                  </w:r>
                </w:p>
              </w:tc>
              <w:tc>
                <w:tcPr>
                  <w:tcW w:w="792" w:type="dxa"/>
                  <w:tcBorders>
                    <w:tl2br w:val="nil"/>
                    <w:tr2bl w:val="nil"/>
                  </w:tcBorders>
                  <w:vAlign w:val="center"/>
                </w:tcPr>
                <w:p w14:paraId="7DA5CE13">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1.085</w:t>
                  </w:r>
                </w:p>
              </w:tc>
              <w:tc>
                <w:tcPr>
                  <w:tcW w:w="880" w:type="dxa"/>
                  <w:tcBorders>
                    <w:tl2br w:val="nil"/>
                    <w:tr2bl w:val="nil"/>
                  </w:tcBorders>
                  <w:vAlign w:val="center"/>
                </w:tcPr>
                <w:p w14:paraId="79ED69F9">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35</w:t>
                  </w:r>
                </w:p>
              </w:tc>
              <w:tc>
                <w:tcPr>
                  <w:tcW w:w="881" w:type="dxa"/>
                  <w:tcBorders>
                    <w:tl2br w:val="nil"/>
                    <w:tr2bl w:val="nil"/>
                  </w:tcBorders>
                  <w:vAlign w:val="center"/>
                </w:tcPr>
                <w:p w14:paraId="171E71DF">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w:t>
                  </w:r>
                </w:p>
              </w:tc>
            </w:tr>
            <w:tr w14:paraId="67473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tcBorders>
                    <w:tl2br w:val="nil"/>
                    <w:tr2bl w:val="nil"/>
                  </w:tcBorders>
                  <w:vAlign w:val="center"/>
                </w:tcPr>
                <w:p w14:paraId="7B759F37">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总磷</w:t>
                  </w:r>
                </w:p>
              </w:tc>
              <w:tc>
                <w:tcPr>
                  <w:tcW w:w="750" w:type="dxa"/>
                  <w:tcBorders>
                    <w:tl2br w:val="nil"/>
                    <w:tr2bl w:val="nil"/>
                  </w:tcBorders>
                  <w:vAlign w:val="center"/>
                </w:tcPr>
                <w:p w14:paraId="29993F6C">
                  <w:pPr>
                    <w:jc w:val="center"/>
                    <w:rPr>
                      <w:rFonts w:hint="default" w:ascii="Times New Roman" w:hAnsi="Times New Roman" w:cs="Times New Roman"/>
                      <w:b w:val="0"/>
                      <w:bCs w:val="0"/>
                      <w:color w:val="auto"/>
                      <w:sz w:val="21"/>
                      <w:szCs w:val="21"/>
                      <w:highlight w:val="none"/>
                    </w:rPr>
                  </w:pPr>
                  <w:r>
                    <w:rPr>
                      <w:rFonts w:hint="eastAsia" w:cs="Times New Roman"/>
                      <w:b w:val="0"/>
                      <w:bCs w:val="0"/>
                      <w:color w:val="auto"/>
                      <w:sz w:val="21"/>
                      <w:szCs w:val="21"/>
                      <w:highlight w:val="none"/>
                      <w:lang w:val="en-US" w:eastAsia="zh-CN"/>
                    </w:rPr>
                    <w:t>mg/L</w:t>
                  </w:r>
                </w:p>
              </w:tc>
              <w:tc>
                <w:tcPr>
                  <w:tcW w:w="945" w:type="dxa"/>
                  <w:tcBorders>
                    <w:tl2br w:val="nil"/>
                    <w:tr2bl w:val="nil"/>
                  </w:tcBorders>
                  <w:vAlign w:val="center"/>
                </w:tcPr>
                <w:p w14:paraId="2D97461B">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0.20</w:t>
                  </w:r>
                </w:p>
              </w:tc>
              <w:tc>
                <w:tcPr>
                  <w:tcW w:w="915" w:type="dxa"/>
                  <w:tcBorders>
                    <w:tl2br w:val="nil"/>
                    <w:tr2bl w:val="nil"/>
                  </w:tcBorders>
                  <w:vAlign w:val="center"/>
                </w:tcPr>
                <w:p w14:paraId="31641B66">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0.22</w:t>
                  </w:r>
                </w:p>
              </w:tc>
              <w:tc>
                <w:tcPr>
                  <w:tcW w:w="1072" w:type="dxa"/>
                  <w:tcBorders>
                    <w:tl2br w:val="nil"/>
                    <w:tr2bl w:val="nil"/>
                  </w:tcBorders>
                  <w:vAlign w:val="center"/>
                </w:tcPr>
                <w:p w14:paraId="4CDCE0A9">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0.20</w:t>
                  </w:r>
                </w:p>
              </w:tc>
              <w:tc>
                <w:tcPr>
                  <w:tcW w:w="968" w:type="dxa"/>
                  <w:tcBorders>
                    <w:tl2br w:val="nil"/>
                    <w:tr2bl w:val="nil"/>
                  </w:tcBorders>
                  <w:vAlign w:val="center"/>
                </w:tcPr>
                <w:p w14:paraId="28F547E8">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0.22</w:t>
                  </w:r>
                </w:p>
              </w:tc>
              <w:tc>
                <w:tcPr>
                  <w:tcW w:w="792" w:type="dxa"/>
                  <w:tcBorders>
                    <w:tl2br w:val="nil"/>
                    <w:tr2bl w:val="nil"/>
                  </w:tcBorders>
                  <w:vAlign w:val="center"/>
                </w:tcPr>
                <w:p w14:paraId="5EBEBAFD">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0.21</w:t>
                  </w:r>
                </w:p>
              </w:tc>
              <w:tc>
                <w:tcPr>
                  <w:tcW w:w="880" w:type="dxa"/>
                  <w:tcBorders>
                    <w:tl2br w:val="nil"/>
                    <w:tr2bl w:val="nil"/>
                  </w:tcBorders>
                  <w:vAlign w:val="center"/>
                </w:tcPr>
                <w:p w14:paraId="40C48BB4">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881" w:type="dxa"/>
                  <w:tcBorders>
                    <w:tl2br w:val="nil"/>
                    <w:tr2bl w:val="nil"/>
                  </w:tcBorders>
                  <w:vAlign w:val="center"/>
                </w:tcPr>
                <w:p w14:paraId="30B37901">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w:t>
                  </w:r>
                </w:p>
              </w:tc>
            </w:tr>
            <w:tr w14:paraId="089D7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tcBorders>
                    <w:tl2br w:val="nil"/>
                    <w:tr2bl w:val="nil"/>
                  </w:tcBorders>
                  <w:vAlign w:val="center"/>
                </w:tcPr>
                <w:p w14:paraId="3CFEF634">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石油类</w:t>
                  </w:r>
                </w:p>
              </w:tc>
              <w:tc>
                <w:tcPr>
                  <w:tcW w:w="750" w:type="dxa"/>
                  <w:tcBorders>
                    <w:tl2br w:val="nil"/>
                    <w:tr2bl w:val="nil"/>
                  </w:tcBorders>
                  <w:vAlign w:val="center"/>
                </w:tcPr>
                <w:p w14:paraId="4FBD4A7C">
                  <w:pPr>
                    <w:jc w:val="center"/>
                    <w:rPr>
                      <w:rFonts w:hint="default" w:ascii="Times New Roman" w:hAnsi="Times New Roman" w:cs="Times New Roman"/>
                      <w:b w:val="0"/>
                      <w:bCs w:val="0"/>
                      <w:color w:val="auto"/>
                      <w:sz w:val="21"/>
                      <w:szCs w:val="21"/>
                      <w:highlight w:val="none"/>
                    </w:rPr>
                  </w:pPr>
                  <w:r>
                    <w:rPr>
                      <w:rFonts w:hint="eastAsia" w:cs="Times New Roman"/>
                      <w:b w:val="0"/>
                      <w:bCs w:val="0"/>
                      <w:color w:val="auto"/>
                      <w:sz w:val="21"/>
                      <w:szCs w:val="21"/>
                      <w:highlight w:val="none"/>
                      <w:lang w:val="en-US" w:eastAsia="zh-CN"/>
                    </w:rPr>
                    <w:t>mg/L</w:t>
                  </w:r>
                </w:p>
              </w:tc>
              <w:tc>
                <w:tcPr>
                  <w:tcW w:w="945" w:type="dxa"/>
                  <w:tcBorders>
                    <w:tl2br w:val="nil"/>
                    <w:tr2bl w:val="nil"/>
                  </w:tcBorders>
                  <w:vAlign w:val="center"/>
                </w:tcPr>
                <w:p w14:paraId="18B0E5D0">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0.28</w:t>
                  </w:r>
                </w:p>
              </w:tc>
              <w:tc>
                <w:tcPr>
                  <w:tcW w:w="915" w:type="dxa"/>
                  <w:tcBorders>
                    <w:tl2br w:val="nil"/>
                    <w:tr2bl w:val="nil"/>
                  </w:tcBorders>
                  <w:vAlign w:val="center"/>
                </w:tcPr>
                <w:p w14:paraId="3C3A3934">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0.24</w:t>
                  </w:r>
                </w:p>
              </w:tc>
              <w:tc>
                <w:tcPr>
                  <w:tcW w:w="1072" w:type="dxa"/>
                  <w:tcBorders>
                    <w:tl2br w:val="nil"/>
                    <w:tr2bl w:val="nil"/>
                  </w:tcBorders>
                  <w:vAlign w:val="center"/>
                </w:tcPr>
                <w:p w14:paraId="11158CED">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0.27</w:t>
                  </w:r>
                </w:p>
              </w:tc>
              <w:tc>
                <w:tcPr>
                  <w:tcW w:w="968" w:type="dxa"/>
                  <w:tcBorders>
                    <w:tl2br w:val="nil"/>
                    <w:tr2bl w:val="nil"/>
                  </w:tcBorders>
                  <w:vAlign w:val="center"/>
                </w:tcPr>
                <w:p w14:paraId="35558AD8">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0.23</w:t>
                  </w:r>
                </w:p>
              </w:tc>
              <w:tc>
                <w:tcPr>
                  <w:tcW w:w="792" w:type="dxa"/>
                  <w:tcBorders>
                    <w:tl2br w:val="nil"/>
                    <w:tr2bl w:val="nil"/>
                  </w:tcBorders>
                  <w:vAlign w:val="center"/>
                </w:tcPr>
                <w:p w14:paraId="5464C37E">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0.255</w:t>
                  </w:r>
                </w:p>
              </w:tc>
              <w:tc>
                <w:tcPr>
                  <w:tcW w:w="880" w:type="dxa"/>
                  <w:tcBorders>
                    <w:tl2br w:val="nil"/>
                    <w:tr2bl w:val="nil"/>
                  </w:tcBorders>
                  <w:vAlign w:val="center"/>
                </w:tcPr>
                <w:p w14:paraId="34B14A68">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881" w:type="dxa"/>
                  <w:tcBorders>
                    <w:tl2br w:val="nil"/>
                    <w:tr2bl w:val="nil"/>
                  </w:tcBorders>
                  <w:vAlign w:val="center"/>
                </w:tcPr>
                <w:p w14:paraId="5F1770EC">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w:t>
                  </w:r>
                </w:p>
              </w:tc>
            </w:tr>
            <w:tr w14:paraId="0FB39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tcBorders>
                    <w:tl2br w:val="nil"/>
                    <w:tr2bl w:val="nil"/>
                  </w:tcBorders>
                  <w:vAlign w:val="center"/>
                </w:tcPr>
                <w:p w14:paraId="47C8D902">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总氮</w:t>
                  </w:r>
                </w:p>
              </w:tc>
              <w:tc>
                <w:tcPr>
                  <w:tcW w:w="750" w:type="dxa"/>
                  <w:tcBorders>
                    <w:tl2br w:val="nil"/>
                    <w:tr2bl w:val="nil"/>
                  </w:tcBorders>
                  <w:vAlign w:val="center"/>
                </w:tcPr>
                <w:p w14:paraId="3D9E3100">
                  <w:pPr>
                    <w:jc w:val="center"/>
                    <w:rPr>
                      <w:rFonts w:hint="default" w:ascii="Times New Roman" w:hAnsi="Times New Roman" w:cs="Times New Roman"/>
                      <w:b w:val="0"/>
                      <w:bCs w:val="0"/>
                      <w:color w:val="auto"/>
                      <w:sz w:val="21"/>
                      <w:szCs w:val="21"/>
                      <w:highlight w:val="none"/>
                    </w:rPr>
                  </w:pPr>
                  <w:r>
                    <w:rPr>
                      <w:rFonts w:hint="eastAsia" w:cs="Times New Roman"/>
                      <w:b w:val="0"/>
                      <w:bCs w:val="0"/>
                      <w:color w:val="auto"/>
                      <w:sz w:val="21"/>
                      <w:szCs w:val="21"/>
                      <w:highlight w:val="none"/>
                      <w:lang w:val="en-US" w:eastAsia="zh-CN"/>
                    </w:rPr>
                    <w:t>mg/L</w:t>
                  </w:r>
                </w:p>
              </w:tc>
              <w:tc>
                <w:tcPr>
                  <w:tcW w:w="945" w:type="dxa"/>
                  <w:tcBorders>
                    <w:tl2br w:val="nil"/>
                    <w:tr2bl w:val="nil"/>
                  </w:tcBorders>
                  <w:vAlign w:val="center"/>
                </w:tcPr>
                <w:p w14:paraId="0B0AEEE0">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3.18</w:t>
                  </w:r>
                </w:p>
              </w:tc>
              <w:tc>
                <w:tcPr>
                  <w:tcW w:w="915" w:type="dxa"/>
                  <w:tcBorders>
                    <w:tl2br w:val="nil"/>
                    <w:tr2bl w:val="nil"/>
                  </w:tcBorders>
                  <w:vAlign w:val="center"/>
                </w:tcPr>
                <w:p w14:paraId="42CDC625">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3.31</w:t>
                  </w:r>
                </w:p>
              </w:tc>
              <w:tc>
                <w:tcPr>
                  <w:tcW w:w="1072" w:type="dxa"/>
                  <w:tcBorders>
                    <w:tl2br w:val="nil"/>
                    <w:tr2bl w:val="nil"/>
                  </w:tcBorders>
                  <w:vAlign w:val="center"/>
                </w:tcPr>
                <w:p w14:paraId="48952DE4">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3.31</w:t>
                  </w:r>
                </w:p>
              </w:tc>
              <w:tc>
                <w:tcPr>
                  <w:tcW w:w="968" w:type="dxa"/>
                  <w:tcBorders>
                    <w:tl2br w:val="nil"/>
                    <w:tr2bl w:val="nil"/>
                  </w:tcBorders>
                  <w:vAlign w:val="center"/>
                </w:tcPr>
                <w:p w14:paraId="67933157">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3.57</w:t>
                  </w:r>
                </w:p>
              </w:tc>
              <w:tc>
                <w:tcPr>
                  <w:tcW w:w="792" w:type="dxa"/>
                  <w:tcBorders>
                    <w:tl2br w:val="nil"/>
                    <w:tr2bl w:val="nil"/>
                  </w:tcBorders>
                  <w:vAlign w:val="center"/>
                </w:tcPr>
                <w:p w14:paraId="68001215">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3.3425</w:t>
                  </w:r>
                </w:p>
              </w:tc>
              <w:tc>
                <w:tcPr>
                  <w:tcW w:w="880" w:type="dxa"/>
                  <w:tcBorders>
                    <w:tl2br w:val="nil"/>
                    <w:tr2bl w:val="nil"/>
                  </w:tcBorders>
                  <w:vAlign w:val="center"/>
                </w:tcPr>
                <w:p w14:paraId="65F45E2F">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w:t>
                  </w:r>
                </w:p>
              </w:tc>
              <w:tc>
                <w:tcPr>
                  <w:tcW w:w="881" w:type="dxa"/>
                  <w:tcBorders>
                    <w:tl2br w:val="nil"/>
                    <w:tr2bl w:val="nil"/>
                  </w:tcBorders>
                  <w:vAlign w:val="center"/>
                </w:tcPr>
                <w:p w14:paraId="432C0265">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w:t>
                  </w:r>
                </w:p>
              </w:tc>
            </w:tr>
          </w:tbl>
          <w:p w14:paraId="408FA014">
            <w:pPr>
              <w:pStyle w:val="28"/>
              <w:keepNext w:val="0"/>
              <w:keepLines w:val="0"/>
              <w:pageBreakBefore w:val="0"/>
              <w:widowControl/>
              <w:kinsoku/>
              <w:wordWrap/>
              <w:overflowPunct/>
              <w:topLinePunct w:val="0"/>
              <w:autoSpaceDE/>
              <w:autoSpaceDN/>
              <w:bidi w:val="0"/>
              <w:adjustRightInd/>
              <w:snapToGrid/>
              <w:spacing w:before="157" w:beforeLines="50" w:after="0" w:line="360" w:lineRule="auto"/>
              <w:ind w:left="0" w:leftChars="0" w:right="0" w:firstLine="420" w:firstLineChars="200"/>
              <w:textAlignment w:val="auto"/>
              <w:rPr>
                <w:rFonts w:hint="default" w:ascii="Times New Roman" w:hAnsi="Times New Roman" w:eastAsia="宋体" w:cs="Times New Roman"/>
                <w:color w:val="auto"/>
                <w:sz w:val="21"/>
                <w:szCs w:val="16"/>
                <w:highlight w:val="none"/>
                <w:lang w:val="en-US" w:eastAsia="zh-CN"/>
              </w:rPr>
            </w:pPr>
            <w:r>
              <w:rPr>
                <w:rFonts w:hint="eastAsia" w:ascii="Times New Roman" w:hAnsi="Times New Roman" w:eastAsia="宋体" w:cs="Times New Roman"/>
                <w:color w:val="auto"/>
                <w:sz w:val="21"/>
                <w:szCs w:val="16"/>
                <w:highlight w:val="none"/>
                <w:lang w:val="en-US" w:eastAsia="zh-CN"/>
              </w:rPr>
              <w:t>监测结果表明，</w:t>
            </w:r>
            <w:r>
              <w:rPr>
                <w:rFonts w:hint="eastAsia" w:eastAsia="宋体" w:cs="Times New Roman"/>
                <w:color w:val="auto"/>
                <w:sz w:val="21"/>
                <w:szCs w:val="16"/>
                <w:highlight w:val="none"/>
                <w:lang w:val="en-US" w:eastAsia="zh-CN"/>
              </w:rPr>
              <w:t>企业污水排放满足李口镇污水处理厂</w:t>
            </w:r>
            <w:r>
              <w:rPr>
                <w:rFonts w:hint="eastAsia" w:ascii="Times New Roman" w:hAnsi="Times New Roman" w:eastAsia="宋体" w:cs="Times New Roman"/>
                <w:color w:val="auto"/>
                <w:sz w:val="21"/>
                <w:szCs w:val="16"/>
                <w:highlight w:val="none"/>
                <w:lang w:val="en-US" w:eastAsia="zh-CN"/>
              </w:rPr>
              <w:t>接管标准</w:t>
            </w:r>
            <w:r>
              <w:rPr>
                <w:rFonts w:hint="eastAsia" w:eastAsia="宋体" w:cs="Times New Roman"/>
                <w:color w:val="auto"/>
                <w:sz w:val="21"/>
                <w:szCs w:val="16"/>
                <w:highlight w:val="none"/>
                <w:lang w:val="en-US" w:eastAsia="zh-CN"/>
              </w:rPr>
              <w:t>要求</w:t>
            </w:r>
            <w:r>
              <w:rPr>
                <w:rFonts w:hint="eastAsia" w:ascii="Times New Roman" w:hAnsi="Times New Roman" w:eastAsia="宋体" w:cs="Times New Roman"/>
                <w:color w:val="auto"/>
                <w:sz w:val="21"/>
                <w:szCs w:val="16"/>
                <w:highlight w:val="none"/>
                <w:lang w:val="en-US" w:eastAsia="zh-CN"/>
              </w:rPr>
              <w:t>。</w:t>
            </w:r>
          </w:p>
          <w:p w14:paraId="5FBAF123">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0000FF"/>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bidi="ar-SA"/>
              </w:rPr>
              <w:t>根据委托检测报告（报告编号：HW202302008N03），现有项目雨水排放情况如下。</w:t>
            </w:r>
          </w:p>
          <w:p w14:paraId="702410F2">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表</w:t>
            </w:r>
            <w:r>
              <w:rPr>
                <w:rFonts w:hint="eastAsia" w:cs="Times New Roman"/>
                <w:b/>
                <w:bCs/>
                <w:color w:val="auto"/>
                <w:sz w:val="21"/>
                <w:szCs w:val="21"/>
                <w:highlight w:val="none"/>
                <w:lang w:val="en-US" w:eastAsia="zh-CN"/>
              </w:rPr>
              <w:t>2-16</w:t>
            </w:r>
            <w:r>
              <w:rPr>
                <w:rFonts w:hint="eastAsia"/>
                <w:b/>
                <w:bCs/>
                <w:color w:val="auto"/>
                <w:sz w:val="21"/>
                <w:szCs w:val="21"/>
                <w:highlight w:val="none"/>
                <w:lang w:val="en-US" w:eastAsia="zh-CN"/>
              </w:rPr>
              <w:t xml:space="preserve"> 现有项目雨水监测结果</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8"/>
              <w:gridCol w:w="750"/>
              <w:gridCol w:w="945"/>
              <w:gridCol w:w="915"/>
              <w:gridCol w:w="1072"/>
              <w:gridCol w:w="968"/>
              <w:gridCol w:w="792"/>
              <w:gridCol w:w="880"/>
              <w:gridCol w:w="881"/>
            </w:tblGrid>
            <w:tr w14:paraId="35DB5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restart"/>
                  <w:tcBorders>
                    <w:tl2br w:val="nil"/>
                    <w:tr2bl w:val="nil"/>
                  </w:tcBorders>
                  <w:vAlign w:val="center"/>
                </w:tcPr>
                <w:p w14:paraId="1B59B4CD">
                  <w:pPr>
                    <w:jc w:val="center"/>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检测</w:t>
                  </w:r>
                  <w:r>
                    <w:rPr>
                      <w:rFonts w:hint="default" w:ascii="Times New Roman" w:hAnsi="Times New Roman" w:cs="Times New Roman"/>
                      <w:b w:val="0"/>
                      <w:bCs w:val="0"/>
                      <w:color w:val="auto"/>
                      <w:sz w:val="21"/>
                      <w:szCs w:val="21"/>
                      <w:highlight w:val="none"/>
                    </w:rPr>
                    <w:t>点位</w:t>
                  </w:r>
                </w:p>
              </w:tc>
              <w:tc>
                <w:tcPr>
                  <w:tcW w:w="750" w:type="dxa"/>
                  <w:vMerge w:val="restart"/>
                  <w:tcBorders>
                    <w:tl2br w:val="nil"/>
                    <w:tr2bl w:val="nil"/>
                  </w:tcBorders>
                  <w:vAlign w:val="center"/>
                </w:tcPr>
                <w:p w14:paraId="7336DC7B">
                  <w:pPr>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单位</w:t>
                  </w:r>
                </w:p>
              </w:tc>
              <w:tc>
                <w:tcPr>
                  <w:tcW w:w="4692" w:type="dxa"/>
                  <w:gridSpan w:val="5"/>
                  <w:tcBorders>
                    <w:tl2br w:val="nil"/>
                    <w:tr2bl w:val="nil"/>
                  </w:tcBorders>
                  <w:vAlign w:val="center"/>
                </w:tcPr>
                <w:p w14:paraId="4E780427">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结果</w:t>
                  </w:r>
                </w:p>
              </w:tc>
              <w:tc>
                <w:tcPr>
                  <w:tcW w:w="880" w:type="dxa"/>
                  <w:vMerge w:val="restart"/>
                  <w:tcBorders>
                    <w:tl2br w:val="nil"/>
                    <w:tr2bl w:val="nil"/>
                  </w:tcBorders>
                  <w:vAlign w:val="center"/>
                </w:tcPr>
                <w:p w14:paraId="2ED1D461">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标准限值</w:t>
                  </w:r>
                </w:p>
              </w:tc>
              <w:tc>
                <w:tcPr>
                  <w:tcW w:w="881" w:type="dxa"/>
                  <w:vMerge w:val="restart"/>
                  <w:tcBorders>
                    <w:tl2br w:val="nil"/>
                    <w:tr2bl w:val="nil"/>
                  </w:tcBorders>
                  <w:vAlign w:val="center"/>
                </w:tcPr>
                <w:p w14:paraId="074DFFFB">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达标情况</w:t>
                  </w:r>
                </w:p>
              </w:tc>
            </w:tr>
            <w:tr w14:paraId="26280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continue"/>
                  <w:tcBorders>
                    <w:tl2br w:val="nil"/>
                    <w:tr2bl w:val="nil"/>
                  </w:tcBorders>
                  <w:vAlign w:val="center"/>
                </w:tcPr>
                <w:p w14:paraId="3D01F29F">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17197C46">
                  <w:pPr>
                    <w:jc w:val="center"/>
                    <w:rPr>
                      <w:rFonts w:hint="default" w:ascii="Times New Roman" w:hAnsi="Times New Roman" w:cs="Times New Roman"/>
                      <w:b w:val="0"/>
                      <w:bCs w:val="0"/>
                      <w:color w:val="auto"/>
                      <w:sz w:val="21"/>
                      <w:szCs w:val="21"/>
                      <w:highlight w:val="none"/>
                    </w:rPr>
                  </w:pPr>
                </w:p>
              </w:tc>
              <w:tc>
                <w:tcPr>
                  <w:tcW w:w="4692" w:type="dxa"/>
                  <w:gridSpan w:val="5"/>
                  <w:tcBorders>
                    <w:tl2br w:val="nil"/>
                    <w:tr2bl w:val="nil"/>
                  </w:tcBorders>
                  <w:vAlign w:val="center"/>
                </w:tcPr>
                <w:p w14:paraId="611C5BF0">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采样日期：2023.04.14</w:t>
                  </w:r>
                </w:p>
              </w:tc>
              <w:tc>
                <w:tcPr>
                  <w:tcW w:w="880" w:type="dxa"/>
                  <w:vMerge w:val="continue"/>
                  <w:tcBorders>
                    <w:tl2br w:val="nil"/>
                    <w:tr2bl w:val="nil"/>
                  </w:tcBorders>
                  <w:vAlign w:val="center"/>
                </w:tcPr>
                <w:p w14:paraId="532A9FEB">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1999C969">
                  <w:pPr>
                    <w:jc w:val="center"/>
                    <w:rPr>
                      <w:rFonts w:hint="eastAsia" w:ascii="Times New Roman" w:hAnsi="Times New Roman" w:cs="Times New Roman"/>
                      <w:b w:val="0"/>
                      <w:bCs w:val="0"/>
                      <w:color w:val="auto"/>
                      <w:sz w:val="21"/>
                      <w:szCs w:val="21"/>
                      <w:highlight w:val="none"/>
                      <w:lang w:val="en-US" w:eastAsia="zh-CN"/>
                    </w:rPr>
                  </w:pPr>
                </w:p>
              </w:tc>
            </w:tr>
            <w:tr w14:paraId="493B4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continue"/>
                  <w:tcBorders>
                    <w:tl2br w:val="nil"/>
                    <w:tr2bl w:val="nil"/>
                  </w:tcBorders>
                  <w:vAlign w:val="center"/>
                </w:tcPr>
                <w:p w14:paraId="1D4BFEDD">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5E5086ED">
                  <w:pPr>
                    <w:jc w:val="center"/>
                    <w:rPr>
                      <w:rFonts w:hint="default" w:ascii="Times New Roman" w:hAnsi="Times New Roman" w:cs="Times New Roman"/>
                      <w:b w:val="0"/>
                      <w:bCs w:val="0"/>
                      <w:color w:val="auto"/>
                      <w:sz w:val="21"/>
                      <w:szCs w:val="21"/>
                      <w:highlight w:val="none"/>
                    </w:rPr>
                  </w:pPr>
                </w:p>
              </w:tc>
              <w:tc>
                <w:tcPr>
                  <w:tcW w:w="4692" w:type="dxa"/>
                  <w:gridSpan w:val="5"/>
                  <w:tcBorders>
                    <w:tl2br w:val="nil"/>
                    <w:tr2bl w:val="nil"/>
                  </w:tcBorders>
                  <w:vAlign w:val="center"/>
                </w:tcPr>
                <w:p w14:paraId="429CF01C">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雨水排口</w:t>
                  </w:r>
                </w:p>
              </w:tc>
              <w:tc>
                <w:tcPr>
                  <w:tcW w:w="880" w:type="dxa"/>
                  <w:vMerge w:val="continue"/>
                  <w:tcBorders>
                    <w:tl2br w:val="nil"/>
                    <w:tr2bl w:val="nil"/>
                  </w:tcBorders>
                  <w:vAlign w:val="center"/>
                </w:tcPr>
                <w:p w14:paraId="3DECAAF2">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5D42EDDB">
                  <w:pPr>
                    <w:jc w:val="center"/>
                    <w:rPr>
                      <w:rFonts w:hint="eastAsia" w:ascii="Times New Roman" w:hAnsi="Times New Roman" w:cs="Times New Roman"/>
                      <w:b w:val="0"/>
                      <w:bCs w:val="0"/>
                      <w:color w:val="auto"/>
                      <w:sz w:val="21"/>
                      <w:szCs w:val="21"/>
                      <w:highlight w:val="none"/>
                      <w:lang w:val="en-US" w:eastAsia="zh-CN"/>
                    </w:rPr>
                  </w:pPr>
                </w:p>
              </w:tc>
            </w:tr>
            <w:tr w14:paraId="24AE4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continue"/>
                  <w:tcBorders>
                    <w:tl2br w:val="nil"/>
                    <w:tr2bl w:val="nil"/>
                  </w:tcBorders>
                  <w:vAlign w:val="center"/>
                </w:tcPr>
                <w:p w14:paraId="6151551F">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1A92BA99">
                  <w:pPr>
                    <w:jc w:val="center"/>
                    <w:rPr>
                      <w:rFonts w:hint="default" w:ascii="Times New Roman" w:hAnsi="Times New Roman" w:cs="Times New Roman"/>
                      <w:b w:val="0"/>
                      <w:bCs w:val="0"/>
                      <w:color w:val="auto"/>
                      <w:sz w:val="21"/>
                      <w:szCs w:val="21"/>
                      <w:highlight w:val="none"/>
                    </w:rPr>
                  </w:pPr>
                </w:p>
              </w:tc>
              <w:tc>
                <w:tcPr>
                  <w:tcW w:w="945" w:type="dxa"/>
                  <w:tcBorders>
                    <w:tl2br w:val="nil"/>
                    <w:tr2bl w:val="nil"/>
                  </w:tcBorders>
                  <w:vAlign w:val="center"/>
                </w:tcPr>
                <w:p w14:paraId="707B9F88">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第一次</w:t>
                  </w:r>
                </w:p>
              </w:tc>
              <w:tc>
                <w:tcPr>
                  <w:tcW w:w="915" w:type="dxa"/>
                  <w:tcBorders>
                    <w:tl2br w:val="nil"/>
                    <w:tr2bl w:val="nil"/>
                  </w:tcBorders>
                  <w:vAlign w:val="center"/>
                </w:tcPr>
                <w:p w14:paraId="2546A6BD">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第二次</w:t>
                  </w:r>
                </w:p>
              </w:tc>
              <w:tc>
                <w:tcPr>
                  <w:tcW w:w="1072" w:type="dxa"/>
                  <w:tcBorders>
                    <w:tl2br w:val="nil"/>
                    <w:tr2bl w:val="nil"/>
                  </w:tcBorders>
                  <w:vAlign w:val="center"/>
                </w:tcPr>
                <w:p w14:paraId="711D8D2E">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第三次</w:t>
                  </w:r>
                </w:p>
              </w:tc>
              <w:tc>
                <w:tcPr>
                  <w:tcW w:w="968" w:type="dxa"/>
                  <w:tcBorders>
                    <w:tl2br w:val="nil"/>
                    <w:tr2bl w:val="nil"/>
                  </w:tcBorders>
                  <w:vAlign w:val="center"/>
                </w:tcPr>
                <w:p w14:paraId="3F7B9602">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第四次</w:t>
                  </w:r>
                </w:p>
              </w:tc>
              <w:tc>
                <w:tcPr>
                  <w:tcW w:w="792" w:type="dxa"/>
                  <w:vMerge w:val="restart"/>
                  <w:tcBorders>
                    <w:tl2br w:val="nil"/>
                    <w:tr2bl w:val="nil"/>
                  </w:tcBorders>
                  <w:vAlign w:val="center"/>
                </w:tcPr>
                <w:p w14:paraId="0488A867">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均值</w:t>
                  </w:r>
                </w:p>
              </w:tc>
              <w:tc>
                <w:tcPr>
                  <w:tcW w:w="880" w:type="dxa"/>
                  <w:vMerge w:val="continue"/>
                  <w:tcBorders>
                    <w:tl2br w:val="nil"/>
                    <w:tr2bl w:val="nil"/>
                  </w:tcBorders>
                  <w:vAlign w:val="center"/>
                </w:tcPr>
                <w:p w14:paraId="6609DA95">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7FAD6338">
                  <w:pPr>
                    <w:jc w:val="center"/>
                    <w:rPr>
                      <w:rFonts w:hint="eastAsia" w:ascii="Times New Roman" w:hAnsi="Times New Roman" w:cs="Times New Roman"/>
                      <w:b w:val="0"/>
                      <w:bCs w:val="0"/>
                      <w:color w:val="auto"/>
                      <w:sz w:val="21"/>
                      <w:szCs w:val="21"/>
                      <w:highlight w:val="none"/>
                      <w:lang w:val="en-US" w:eastAsia="zh-CN"/>
                    </w:rPr>
                  </w:pPr>
                </w:p>
              </w:tc>
            </w:tr>
            <w:tr w14:paraId="60DA9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718" w:type="dxa"/>
                  <w:vMerge w:val="continue"/>
                  <w:tcBorders>
                    <w:tl2br w:val="nil"/>
                    <w:tr2bl w:val="nil"/>
                  </w:tcBorders>
                  <w:vAlign w:val="center"/>
                </w:tcPr>
                <w:p w14:paraId="0492D1BA">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26A208C8">
                  <w:pPr>
                    <w:jc w:val="center"/>
                    <w:rPr>
                      <w:rFonts w:hint="default" w:ascii="Times New Roman" w:hAnsi="Times New Roman" w:cs="Times New Roman"/>
                      <w:b w:val="0"/>
                      <w:bCs w:val="0"/>
                      <w:color w:val="auto"/>
                      <w:sz w:val="21"/>
                      <w:szCs w:val="21"/>
                      <w:highlight w:val="none"/>
                    </w:rPr>
                  </w:pPr>
                </w:p>
              </w:tc>
              <w:tc>
                <w:tcPr>
                  <w:tcW w:w="945" w:type="dxa"/>
                  <w:tcBorders>
                    <w:tl2br w:val="nil"/>
                    <w:tr2bl w:val="nil"/>
                  </w:tcBorders>
                  <w:vAlign w:val="center"/>
                </w:tcPr>
                <w:p w14:paraId="6792052A">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HED1401HA0101</w:t>
                  </w:r>
                </w:p>
              </w:tc>
              <w:tc>
                <w:tcPr>
                  <w:tcW w:w="915" w:type="dxa"/>
                  <w:tcBorders>
                    <w:tl2br w:val="nil"/>
                    <w:tr2bl w:val="nil"/>
                  </w:tcBorders>
                  <w:vAlign w:val="center"/>
                </w:tcPr>
                <w:p w14:paraId="13F31080">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HED1401HA0102</w:t>
                  </w:r>
                </w:p>
              </w:tc>
              <w:tc>
                <w:tcPr>
                  <w:tcW w:w="1072" w:type="dxa"/>
                  <w:tcBorders>
                    <w:tl2br w:val="nil"/>
                    <w:tr2bl w:val="nil"/>
                  </w:tcBorders>
                  <w:vAlign w:val="center"/>
                </w:tcPr>
                <w:p w14:paraId="092B3C45">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HED1401HA0103</w:t>
                  </w:r>
                </w:p>
              </w:tc>
              <w:tc>
                <w:tcPr>
                  <w:tcW w:w="968" w:type="dxa"/>
                  <w:tcBorders>
                    <w:tl2br w:val="nil"/>
                    <w:tr2bl w:val="nil"/>
                  </w:tcBorders>
                  <w:vAlign w:val="center"/>
                </w:tcPr>
                <w:p w14:paraId="26B48AD7">
                  <w:pPr>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HED1401HA0104</w:t>
                  </w:r>
                </w:p>
              </w:tc>
              <w:tc>
                <w:tcPr>
                  <w:tcW w:w="792" w:type="dxa"/>
                  <w:vMerge w:val="continue"/>
                  <w:tcBorders>
                    <w:tl2br w:val="nil"/>
                    <w:tr2bl w:val="nil"/>
                  </w:tcBorders>
                  <w:vAlign w:val="center"/>
                </w:tcPr>
                <w:p w14:paraId="2CF2068F">
                  <w:pPr>
                    <w:jc w:val="center"/>
                    <w:rPr>
                      <w:rFonts w:hint="eastAsia" w:ascii="Times New Roman" w:hAnsi="Times New Roman" w:cs="Times New Roman"/>
                      <w:b w:val="0"/>
                      <w:bCs w:val="0"/>
                      <w:color w:val="auto"/>
                      <w:sz w:val="21"/>
                      <w:szCs w:val="21"/>
                      <w:highlight w:val="none"/>
                      <w:lang w:val="en-US" w:eastAsia="zh-CN"/>
                    </w:rPr>
                  </w:pPr>
                </w:p>
              </w:tc>
              <w:tc>
                <w:tcPr>
                  <w:tcW w:w="880" w:type="dxa"/>
                  <w:vMerge w:val="continue"/>
                  <w:tcBorders>
                    <w:tl2br w:val="nil"/>
                    <w:tr2bl w:val="nil"/>
                  </w:tcBorders>
                  <w:vAlign w:val="center"/>
                </w:tcPr>
                <w:p w14:paraId="72CCD65C">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3D4DB55F">
                  <w:pPr>
                    <w:jc w:val="center"/>
                    <w:rPr>
                      <w:rFonts w:hint="eastAsia" w:ascii="Times New Roman" w:hAnsi="Times New Roman" w:cs="Times New Roman"/>
                      <w:b w:val="0"/>
                      <w:bCs w:val="0"/>
                      <w:color w:val="auto"/>
                      <w:sz w:val="21"/>
                      <w:szCs w:val="21"/>
                      <w:highlight w:val="none"/>
                      <w:lang w:val="en-US" w:eastAsia="zh-CN"/>
                    </w:rPr>
                  </w:pPr>
                </w:p>
              </w:tc>
            </w:tr>
            <w:tr w14:paraId="295C4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18" w:type="dxa"/>
                  <w:vMerge w:val="continue"/>
                  <w:tcBorders>
                    <w:tl2br w:val="nil"/>
                    <w:tr2bl w:val="nil"/>
                  </w:tcBorders>
                  <w:vAlign w:val="center"/>
                </w:tcPr>
                <w:p w14:paraId="5B70B303">
                  <w:pPr>
                    <w:jc w:val="center"/>
                    <w:rPr>
                      <w:rFonts w:hint="eastAsia" w:ascii="Times New Roman" w:hAnsi="Times New Roman" w:cs="Times New Roman"/>
                      <w:b w:val="0"/>
                      <w:bCs w:val="0"/>
                      <w:color w:val="auto"/>
                      <w:sz w:val="21"/>
                      <w:szCs w:val="21"/>
                      <w:highlight w:val="none"/>
                      <w:lang w:val="en-US" w:eastAsia="zh-CN"/>
                    </w:rPr>
                  </w:pPr>
                </w:p>
              </w:tc>
              <w:tc>
                <w:tcPr>
                  <w:tcW w:w="750" w:type="dxa"/>
                  <w:vMerge w:val="continue"/>
                  <w:tcBorders>
                    <w:tl2br w:val="nil"/>
                    <w:tr2bl w:val="nil"/>
                  </w:tcBorders>
                  <w:vAlign w:val="center"/>
                </w:tcPr>
                <w:p w14:paraId="6FC206D7">
                  <w:pPr>
                    <w:jc w:val="center"/>
                    <w:rPr>
                      <w:rFonts w:hint="default" w:ascii="Times New Roman" w:hAnsi="Times New Roman" w:cs="Times New Roman"/>
                      <w:b w:val="0"/>
                      <w:bCs w:val="0"/>
                      <w:color w:val="auto"/>
                      <w:sz w:val="21"/>
                      <w:szCs w:val="21"/>
                      <w:highlight w:val="none"/>
                    </w:rPr>
                  </w:pPr>
                </w:p>
              </w:tc>
              <w:tc>
                <w:tcPr>
                  <w:tcW w:w="4692" w:type="dxa"/>
                  <w:gridSpan w:val="5"/>
                  <w:tcBorders>
                    <w:tl2br w:val="nil"/>
                    <w:tr2bl w:val="nil"/>
                  </w:tcBorders>
                  <w:vAlign w:val="center"/>
                </w:tcPr>
                <w:p w14:paraId="49F0000A">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无色、无味、透明</w:t>
                  </w:r>
                </w:p>
              </w:tc>
              <w:tc>
                <w:tcPr>
                  <w:tcW w:w="880" w:type="dxa"/>
                  <w:vMerge w:val="continue"/>
                  <w:tcBorders>
                    <w:tl2br w:val="nil"/>
                    <w:tr2bl w:val="nil"/>
                  </w:tcBorders>
                  <w:vAlign w:val="center"/>
                </w:tcPr>
                <w:p w14:paraId="525A37F1">
                  <w:pPr>
                    <w:jc w:val="center"/>
                    <w:rPr>
                      <w:rFonts w:hint="eastAsia" w:ascii="Times New Roman" w:hAnsi="Times New Roman" w:cs="Times New Roman"/>
                      <w:b w:val="0"/>
                      <w:bCs w:val="0"/>
                      <w:color w:val="auto"/>
                      <w:sz w:val="21"/>
                      <w:szCs w:val="21"/>
                      <w:highlight w:val="none"/>
                      <w:lang w:val="en-US" w:eastAsia="zh-CN"/>
                    </w:rPr>
                  </w:pPr>
                </w:p>
              </w:tc>
              <w:tc>
                <w:tcPr>
                  <w:tcW w:w="881" w:type="dxa"/>
                  <w:vMerge w:val="continue"/>
                  <w:tcBorders>
                    <w:tl2br w:val="nil"/>
                    <w:tr2bl w:val="nil"/>
                  </w:tcBorders>
                  <w:vAlign w:val="center"/>
                </w:tcPr>
                <w:p w14:paraId="65D48B2D">
                  <w:pPr>
                    <w:jc w:val="center"/>
                    <w:rPr>
                      <w:rFonts w:hint="eastAsia" w:ascii="Times New Roman" w:hAnsi="Times New Roman" w:cs="Times New Roman"/>
                      <w:b w:val="0"/>
                      <w:bCs w:val="0"/>
                      <w:color w:val="auto"/>
                      <w:sz w:val="21"/>
                      <w:szCs w:val="21"/>
                      <w:highlight w:val="none"/>
                      <w:lang w:val="en-US" w:eastAsia="zh-CN"/>
                    </w:rPr>
                  </w:pPr>
                </w:p>
              </w:tc>
            </w:tr>
            <w:tr w14:paraId="0D2B4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718" w:type="dxa"/>
                  <w:tcBorders>
                    <w:tl2br w:val="nil"/>
                    <w:tr2bl w:val="nil"/>
                  </w:tcBorders>
                  <w:vAlign w:val="center"/>
                </w:tcPr>
                <w:p w14:paraId="61621AFB">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pH</w:t>
                  </w:r>
                </w:p>
              </w:tc>
              <w:tc>
                <w:tcPr>
                  <w:tcW w:w="750" w:type="dxa"/>
                  <w:tcBorders>
                    <w:tl2br w:val="nil"/>
                    <w:tr2bl w:val="nil"/>
                  </w:tcBorders>
                  <w:vAlign w:val="center"/>
                </w:tcPr>
                <w:p w14:paraId="4DFB1D33">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无量纲</w:t>
                  </w:r>
                </w:p>
              </w:tc>
              <w:tc>
                <w:tcPr>
                  <w:tcW w:w="945" w:type="dxa"/>
                  <w:tcBorders>
                    <w:tl2br w:val="nil"/>
                    <w:tr2bl w:val="nil"/>
                  </w:tcBorders>
                  <w:vAlign w:val="center"/>
                </w:tcPr>
                <w:p w14:paraId="1E245CD5">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7.4</w:t>
                  </w:r>
                </w:p>
              </w:tc>
              <w:tc>
                <w:tcPr>
                  <w:tcW w:w="915" w:type="dxa"/>
                  <w:tcBorders>
                    <w:tl2br w:val="nil"/>
                    <w:tr2bl w:val="nil"/>
                  </w:tcBorders>
                  <w:vAlign w:val="center"/>
                </w:tcPr>
                <w:p w14:paraId="1C302361">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7.3</w:t>
                  </w:r>
                </w:p>
              </w:tc>
              <w:tc>
                <w:tcPr>
                  <w:tcW w:w="1072" w:type="dxa"/>
                  <w:tcBorders>
                    <w:tl2br w:val="nil"/>
                    <w:tr2bl w:val="nil"/>
                  </w:tcBorders>
                  <w:vAlign w:val="center"/>
                </w:tcPr>
                <w:p w14:paraId="0BBF3450">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7.5</w:t>
                  </w:r>
                </w:p>
              </w:tc>
              <w:tc>
                <w:tcPr>
                  <w:tcW w:w="968" w:type="dxa"/>
                  <w:tcBorders>
                    <w:tl2br w:val="nil"/>
                    <w:tr2bl w:val="nil"/>
                  </w:tcBorders>
                  <w:vAlign w:val="center"/>
                </w:tcPr>
                <w:p w14:paraId="3A81144E">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7.6</w:t>
                  </w:r>
                </w:p>
              </w:tc>
              <w:tc>
                <w:tcPr>
                  <w:tcW w:w="792" w:type="dxa"/>
                  <w:tcBorders>
                    <w:tl2br w:val="nil"/>
                    <w:tr2bl w:val="nil"/>
                  </w:tcBorders>
                  <w:vAlign w:val="center"/>
                </w:tcPr>
                <w:p w14:paraId="397A9B1E">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7.5</w:t>
                  </w:r>
                </w:p>
              </w:tc>
              <w:tc>
                <w:tcPr>
                  <w:tcW w:w="880" w:type="dxa"/>
                  <w:tcBorders>
                    <w:tl2br w:val="nil"/>
                    <w:tr2bl w:val="nil"/>
                  </w:tcBorders>
                  <w:vAlign w:val="center"/>
                </w:tcPr>
                <w:p w14:paraId="62D3DE06">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6~9</w:t>
                  </w:r>
                </w:p>
              </w:tc>
              <w:tc>
                <w:tcPr>
                  <w:tcW w:w="881" w:type="dxa"/>
                  <w:tcBorders>
                    <w:tl2br w:val="nil"/>
                    <w:tr2bl w:val="nil"/>
                  </w:tcBorders>
                  <w:vAlign w:val="center"/>
                </w:tcPr>
                <w:p w14:paraId="2BB804D5">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达标</w:t>
                  </w:r>
                </w:p>
              </w:tc>
            </w:tr>
          </w:tbl>
          <w:p w14:paraId="4F2E3463">
            <w:pPr>
              <w:pStyle w:val="28"/>
              <w:keepNext w:val="0"/>
              <w:keepLines w:val="0"/>
              <w:pageBreakBefore w:val="0"/>
              <w:widowControl/>
              <w:kinsoku/>
              <w:wordWrap/>
              <w:overflowPunct/>
              <w:topLinePunct w:val="0"/>
              <w:autoSpaceDE/>
              <w:autoSpaceDN/>
              <w:bidi w:val="0"/>
              <w:adjustRightInd/>
              <w:snapToGrid/>
              <w:spacing w:before="157" w:beforeLines="50" w:after="0" w:line="360" w:lineRule="auto"/>
              <w:ind w:left="0" w:leftChars="0" w:right="0" w:firstLine="420" w:firstLineChars="200"/>
              <w:textAlignment w:val="auto"/>
              <w:rPr>
                <w:rFonts w:hint="default" w:ascii="Times New Roman" w:hAnsi="Times New Roman" w:eastAsia="宋体" w:cs="Times New Roman"/>
                <w:color w:val="auto"/>
                <w:sz w:val="21"/>
                <w:szCs w:val="16"/>
                <w:highlight w:val="none"/>
                <w:lang w:val="en-US" w:eastAsia="zh-CN"/>
              </w:rPr>
            </w:pPr>
            <w:r>
              <w:rPr>
                <w:rFonts w:hint="eastAsia" w:ascii="Times New Roman" w:hAnsi="Times New Roman" w:eastAsia="宋体" w:cs="Times New Roman"/>
                <w:color w:val="auto"/>
                <w:sz w:val="21"/>
                <w:szCs w:val="16"/>
                <w:highlight w:val="none"/>
                <w:lang w:val="en-US" w:eastAsia="zh-CN"/>
              </w:rPr>
              <w:t>监测结果表明，</w:t>
            </w:r>
            <w:r>
              <w:rPr>
                <w:rFonts w:hint="eastAsia" w:eastAsia="宋体" w:cs="Times New Roman"/>
                <w:color w:val="auto"/>
                <w:sz w:val="21"/>
                <w:szCs w:val="16"/>
                <w:highlight w:val="none"/>
                <w:lang w:val="en-US" w:eastAsia="zh-CN"/>
              </w:rPr>
              <w:t>企业雨水排放满足《污水综合排放标准》（GB8978-1996）</w:t>
            </w:r>
            <w:r>
              <w:rPr>
                <w:rFonts w:hint="eastAsia" w:ascii="Times New Roman" w:hAnsi="Times New Roman" w:eastAsia="宋体" w:cs="Times New Roman"/>
                <w:color w:val="auto"/>
                <w:sz w:val="21"/>
                <w:szCs w:val="16"/>
                <w:highlight w:val="none"/>
                <w:lang w:val="en-US" w:eastAsia="zh-CN"/>
              </w:rPr>
              <w:t>标准</w:t>
            </w:r>
            <w:r>
              <w:rPr>
                <w:rFonts w:hint="eastAsia" w:eastAsia="宋体" w:cs="Times New Roman"/>
                <w:color w:val="auto"/>
                <w:sz w:val="21"/>
                <w:szCs w:val="16"/>
                <w:highlight w:val="none"/>
                <w:lang w:val="en-US" w:eastAsia="zh-CN"/>
              </w:rPr>
              <w:t>要求</w:t>
            </w:r>
            <w:r>
              <w:rPr>
                <w:rFonts w:hint="eastAsia" w:ascii="Times New Roman" w:hAnsi="Times New Roman" w:eastAsia="宋体" w:cs="Times New Roman"/>
                <w:color w:val="auto"/>
                <w:sz w:val="21"/>
                <w:szCs w:val="16"/>
                <w:highlight w:val="none"/>
                <w:lang w:val="en-US" w:eastAsia="zh-CN"/>
              </w:rPr>
              <w:t>。</w:t>
            </w:r>
          </w:p>
          <w:p w14:paraId="497FE5BA">
            <w:pPr>
              <w:pStyle w:val="28"/>
              <w:keepNext w:val="0"/>
              <w:keepLines w:val="0"/>
              <w:pageBreakBefore w:val="0"/>
              <w:kinsoku/>
              <w:wordWrap/>
              <w:overflowPunct/>
              <w:topLinePunct w:val="0"/>
              <w:autoSpaceDE/>
              <w:autoSpaceDN/>
              <w:bidi w:val="0"/>
              <w:adjustRightInd/>
              <w:snapToGrid/>
              <w:spacing w:before="0" w:after="0" w:line="360" w:lineRule="auto"/>
              <w:ind w:right="0" w:firstLineChars="200"/>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3</w:t>
            </w:r>
            <w:r>
              <w:rPr>
                <w:rFonts w:hint="eastAsia" w:eastAsia="宋体" w:cs="Times New Roman"/>
                <w:bCs/>
                <w:color w:val="auto"/>
                <w:sz w:val="21"/>
                <w:szCs w:val="21"/>
                <w:highlight w:val="none"/>
                <w:lang w:eastAsia="zh-CN"/>
              </w:rPr>
              <w:t>）</w:t>
            </w:r>
            <w:r>
              <w:rPr>
                <w:rFonts w:hint="eastAsia" w:eastAsia="宋体" w:cs="Times New Roman"/>
                <w:bCs/>
                <w:color w:val="auto"/>
                <w:sz w:val="21"/>
                <w:szCs w:val="21"/>
                <w:highlight w:val="none"/>
                <w:lang w:val="en-US" w:eastAsia="zh-CN"/>
              </w:rPr>
              <w:t>噪声排放达标情况</w:t>
            </w:r>
          </w:p>
          <w:p w14:paraId="29493226">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hint="eastAsia"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根据委托检测告（报告编号：HW202302008N03）</w:t>
            </w:r>
            <w:r>
              <w:rPr>
                <w:rFonts w:hint="eastAsia" w:cs="Times New Roman"/>
                <w:bCs/>
                <w:color w:val="auto"/>
                <w:sz w:val="21"/>
                <w:szCs w:val="21"/>
                <w:highlight w:val="none"/>
                <w:lang w:val="en-US" w:eastAsia="zh-CN"/>
              </w:rPr>
              <w:t>，现有项目厂界噪声排放情况如下。</w:t>
            </w:r>
          </w:p>
          <w:p w14:paraId="6BAAB023">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outlineLvl w:val="9"/>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表</w:t>
            </w:r>
            <w:r>
              <w:rPr>
                <w:rFonts w:hint="eastAsia"/>
                <w:b/>
                <w:bCs/>
                <w:color w:val="auto"/>
                <w:sz w:val="21"/>
                <w:szCs w:val="21"/>
                <w:highlight w:val="none"/>
                <w:lang w:val="en-US" w:eastAsia="zh-CN"/>
              </w:rPr>
              <w:t>2-17</w:t>
            </w:r>
            <w:r>
              <w:rPr>
                <w:rFonts w:hint="eastAsia" w:ascii="Times New Roman" w:hAnsi="Times New Roman" w:eastAsia="宋体"/>
                <w:b/>
                <w:bCs/>
                <w:color w:val="auto"/>
                <w:sz w:val="21"/>
                <w:szCs w:val="21"/>
                <w:highlight w:val="none"/>
                <w:lang w:val="en-US" w:eastAsia="zh-CN"/>
              </w:rPr>
              <w:t xml:space="preserve"> </w:t>
            </w:r>
            <w:r>
              <w:rPr>
                <w:rFonts w:hint="eastAsia"/>
                <w:b/>
                <w:bCs/>
                <w:color w:val="auto"/>
                <w:sz w:val="21"/>
                <w:szCs w:val="21"/>
                <w:highlight w:val="none"/>
                <w:lang w:val="en-US" w:eastAsia="zh-CN"/>
              </w:rPr>
              <w:t>现有项目</w:t>
            </w:r>
            <w:r>
              <w:rPr>
                <w:rFonts w:hint="eastAsia" w:ascii="Times New Roman" w:hAnsi="Times New Roman" w:eastAsia="宋体"/>
                <w:b/>
                <w:bCs/>
                <w:color w:val="auto"/>
                <w:sz w:val="21"/>
                <w:szCs w:val="21"/>
                <w:highlight w:val="none"/>
                <w:lang w:val="en-US" w:eastAsia="zh-CN"/>
              </w:rPr>
              <w:t>厂界噪声监测结果与评价</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63"/>
              <w:gridCol w:w="1380"/>
              <w:gridCol w:w="1875"/>
              <w:gridCol w:w="3004"/>
            </w:tblGrid>
            <w:tr w14:paraId="185AE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663" w:type="dxa"/>
                  <w:vMerge w:val="restart"/>
                  <w:tcBorders>
                    <w:tl2br w:val="nil"/>
                    <w:tr2bl w:val="nil"/>
                  </w:tcBorders>
                  <w:vAlign w:val="center"/>
                </w:tcPr>
                <w:p w14:paraId="37D0D4D6">
                  <w:pPr>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检测点位</w:t>
                  </w:r>
                </w:p>
              </w:tc>
              <w:tc>
                <w:tcPr>
                  <w:tcW w:w="1380" w:type="dxa"/>
                  <w:vMerge w:val="restart"/>
                  <w:tcBorders>
                    <w:tl2br w:val="nil"/>
                    <w:tr2bl w:val="nil"/>
                  </w:tcBorders>
                  <w:vAlign w:val="center"/>
                </w:tcPr>
                <w:p w14:paraId="73F2E139">
                  <w:pPr>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主要噪声源</w:t>
                  </w:r>
                </w:p>
              </w:tc>
              <w:tc>
                <w:tcPr>
                  <w:tcW w:w="1875" w:type="dxa"/>
                  <w:vMerge w:val="restart"/>
                  <w:tcBorders>
                    <w:tl2br w:val="nil"/>
                    <w:tr2bl w:val="nil"/>
                  </w:tcBorders>
                  <w:vAlign w:val="center"/>
                </w:tcPr>
                <w:p w14:paraId="2BD64A38">
                  <w:pPr>
                    <w:jc w:val="center"/>
                    <w:rPr>
                      <w:rFonts w:hint="eastAsia"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检测时间（2024.04.14）</w:t>
                  </w:r>
                </w:p>
              </w:tc>
              <w:tc>
                <w:tcPr>
                  <w:tcW w:w="3004" w:type="dxa"/>
                  <w:tcBorders>
                    <w:tl2br w:val="nil"/>
                    <w:tr2bl w:val="nil"/>
                  </w:tcBorders>
                  <w:vAlign w:val="center"/>
                </w:tcPr>
                <w:p w14:paraId="08E59EDE">
                  <w:pPr>
                    <w:jc w:val="center"/>
                    <w:rPr>
                      <w:rFonts w:hint="eastAsia"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eastAsia="zh-CN"/>
                    </w:rPr>
                    <w:t>检测</w:t>
                  </w:r>
                  <w:r>
                    <w:rPr>
                      <w:rFonts w:hint="default" w:ascii="Times New Roman" w:hAnsi="Times New Roman" w:cs="Times New Roman"/>
                      <w:b w:val="0"/>
                      <w:bCs/>
                      <w:color w:val="auto"/>
                      <w:highlight w:val="none"/>
                    </w:rPr>
                    <w:t>结果dB(A)</w:t>
                  </w:r>
                </w:p>
              </w:tc>
            </w:tr>
            <w:tr w14:paraId="0FECF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0" w:hRule="atLeast"/>
                <w:jc w:val="center"/>
              </w:trPr>
              <w:tc>
                <w:tcPr>
                  <w:tcW w:w="1663" w:type="dxa"/>
                  <w:vMerge w:val="continue"/>
                  <w:tcBorders>
                    <w:tl2br w:val="nil"/>
                    <w:tr2bl w:val="nil"/>
                  </w:tcBorders>
                  <w:vAlign w:val="center"/>
                </w:tcPr>
                <w:p w14:paraId="1B27E833">
                  <w:pPr>
                    <w:jc w:val="center"/>
                    <w:rPr>
                      <w:rFonts w:hint="default" w:ascii="Times New Roman" w:hAnsi="Times New Roman" w:cs="Times New Roman"/>
                      <w:b w:val="0"/>
                      <w:bCs/>
                      <w:color w:val="auto"/>
                      <w:highlight w:val="none"/>
                    </w:rPr>
                  </w:pPr>
                </w:p>
              </w:tc>
              <w:tc>
                <w:tcPr>
                  <w:tcW w:w="1380" w:type="dxa"/>
                  <w:vMerge w:val="continue"/>
                  <w:tcBorders>
                    <w:tl2br w:val="nil"/>
                    <w:tr2bl w:val="nil"/>
                  </w:tcBorders>
                  <w:vAlign w:val="center"/>
                </w:tcPr>
                <w:p w14:paraId="4509C9D9">
                  <w:pPr>
                    <w:jc w:val="center"/>
                    <w:rPr>
                      <w:rFonts w:hint="default" w:ascii="Times New Roman" w:hAnsi="Times New Roman" w:cs="Times New Roman"/>
                      <w:b w:val="0"/>
                      <w:bCs/>
                      <w:color w:val="auto"/>
                      <w:highlight w:val="none"/>
                    </w:rPr>
                  </w:pPr>
                </w:p>
              </w:tc>
              <w:tc>
                <w:tcPr>
                  <w:tcW w:w="1875" w:type="dxa"/>
                  <w:vMerge w:val="continue"/>
                  <w:tcBorders>
                    <w:tl2br w:val="nil"/>
                    <w:tr2bl w:val="nil"/>
                  </w:tcBorders>
                  <w:vAlign w:val="center"/>
                </w:tcPr>
                <w:p w14:paraId="66FB47F5">
                  <w:pPr>
                    <w:jc w:val="center"/>
                    <w:rPr>
                      <w:rFonts w:hint="default" w:ascii="Times New Roman" w:hAnsi="Times New Roman" w:cs="Times New Roman"/>
                      <w:b w:val="0"/>
                      <w:bCs/>
                      <w:color w:val="auto"/>
                      <w:highlight w:val="none"/>
                    </w:rPr>
                  </w:pPr>
                </w:p>
              </w:tc>
              <w:tc>
                <w:tcPr>
                  <w:tcW w:w="3004" w:type="dxa"/>
                  <w:tcBorders>
                    <w:tl2br w:val="nil"/>
                    <w:tr2bl w:val="nil"/>
                  </w:tcBorders>
                  <w:vAlign w:val="center"/>
                </w:tcPr>
                <w:p w14:paraId="15089A40">
                  <w:pPr>
                    <w:jc w:val="center"/>
                    <w:rPr>
                      <w:rFonts w:hint="default" w:ascii="Times New Roman" w:hAnsi="Times New Roman" w:cs="Times New Roman"/>
                      <w:b w:val="0"/>
                      <w:bCs/>
                      <w:color w:val="auto"/>
                      <w:highlight w:val="none"/>
                      <w:lang w:val="en-US"/>
                    </w:rPr>
                  </w:pPr>
                  <w:r>
                    <w:rPr>
                      <w:rFonts w:hint="eastAsia" w:cs="Times New Roman"/>
                      <w:b w:val="0"/>
                      <w:bCs/>
                      <w:color w:val="auto"/>
                      <w:szCs w:val="21"/>
                      <w:highlight w:val="none"/>
                      <w:lang w:val="en-US" w:eastAsia="zh-CN"/>
                    </w:rPr>
                    <w:t>Leq</w:t>
                  </w:r>
                </w:p>
              </w:tc>
            </w:tr>
            <w:tr w14:paraId="0B00B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663" w:type="dxa"/>
                  <w:tcBorders>
                    <w:tl2br w:val="nil"/>
                    <w:tr2bl w:val="nil"/>
                  </w:tcBorders>
                  <w:vAlign w:val="center"/>
                </w:tcPr>
                <w:p w14:paraId="5301FD53">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380" w:type="dxa"/>
                  <w:vMerge w:val="restart"/>
                  <w:tcBorders>
                    <w:tl2br w:val="nil"/>
                    <w:tr2bl w:val="nil"/>
                  </w:tcBorders>
                  <w:vAlign w:val="center"/>
                </w:tcPr>
                <w:p w14:paraId="4E997B7F">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设备噪声</w:t>
                  </w:r>
                </w:p>
              </w:tc>
              <w:tc>
                <w:tcPr>
                  <w:tcW w:w="1875" w:type="dxa"/>
                  <w:vMerge w:val="restart"/>
                  <w:tcBorders>
                    <w:tl2br w:val="nil"/>
                    <w:tr2bl w:val="nil"/>
                  </w:tcBorders>
                  <w:vAlign w:val="center"/>
                </w:tcPr>
                <w:p w14:paraId="00837721">
                  <w:pPr>
                    <w:jc w:val="center"/>
                    <w:rPr>
                      <w:rFonts w:hint="default" w:cs="Times New Roman"/>
                      <w:color w:val="auto"/>
                      <w:highlight w:val="none"/>
                      <w:lang w:val="en-US" w:eastAsia="zh-CN"/>
                    </w:rPr>
                  </w:pPr>
                  <w:r>
                    <w:rPr>
                      <w:rFonts w:hint="eastAsia" w:cs="Times New Roman"/>
                      <w:color w:val="auto"/>
                      <w:highlight w:val="none"/>
                      <w:lang w:val="en-US" w:eastAsia="zh-CN"/>
                    </w:rPr>
                    <w:t>14:39~14:59（昼）</w:t>
                  </w:r>
                </w:p>
              </w:tc>
              <w:tc>
                <w:tcPr>
                  <w:tcW w:w="3004" w:type="dxa"/>
                  <w:tcBorders>
                    <w:tl2br w:val="nil"/>
                    <w:tr2bl w:val="nil"/>
                  </w:tcBorders>
                  <w:vAlign w:val="center"/>
                </w:tcPr>
                <w:p w14:paraId="08A23648">
                  <w:pPr>
                    <w:keepNext w:val="0"/>
                    <w:keepLines w:val="0"/>
                    <w:pageBreakBefore w:val="0"/>
                    <w:widowControl/>
                    <w:shd w:val="clear"/>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olor w:val="auto"/>
                      <w:highlight w:val="none"/>
                      <w:vertAlign w:val="baseline"/>
                      <w:lang w:val="en-US" w:eastAsia="zh-CN"/>
                    </w:rPr>
                    <w:t>58.1</w:t>
                  </w:r>
                </w:p>
              </w:tc>
            </w:tr>
            <w:tr w14:paraId="20E89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663" w:type="dxa"/>
                  <w:tcBorders>
                    <w:tl2br w:val="nil"/>
                    <w:tr2bl w:val="nil"/>
                  </w:tcBorders>
                  <w:vAlign w:val="center"/>
                </w:tcPr>
                <w:p w14:paraId="10054D8B">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380" w:type="dxa"/>
                  <w:vMerge w:val="continue"/>
                  <w:tcBorders>
                    <w:tl2br w:val="nil"/>
                    <w:tr2bl w:val="nil"/>
                  </w:tcBorders>
                  <w:vAlign w:val="center"/>
                </w:tcPr>
                <w:p w14:paraId="60529960">
                  <w:pPr>
                    <w:jc w:val="center"/>
                    <w:rPr>
                      <w:rFonts w:hint="default" w:ascii="Times New Roman" w:hAnsi="Times New Roman" w:cs="Times New Roman" w:eastAsiaTheme="minorEastAsia"/>
                      <w:color w:val="auto"/>
                      <w:highlight w:val="none"/>
                      <w:lang w:val="en-US" w:eastAsia="zh-CN"/>
                    </w:rPr>
                  </w:pPr>
                </w:p>
              </w:tc>
              <w:tc>
                <w:tcPr>
                  <w:tcW w:w="1875" w:type="dxa"/>
                  <w:vMerge w:val="continue"/>
                  <w:tcBorders>
                    <w:tl2br w:val="nil"/>
                    <w:tr2bl w:val="nil"/>
                  </w:tcBorders>
                  <w:vAlign w:val="center"/>
                </w:tcPr>
                <w:p w14:paraId="68663255">
                  <w:pPr>
                    <w:jc w:val="center"/>
                    <w:rPr>
                      <w:rFonts w:hint="default" w:ascii="Times New Roman" w:hAnsi="Times New Roman" w:cs="Times New Roman" w:eastAsiaTheme="minorEastAsia"/>
                      <w:color w:val="auto"/>
                      <w:highlight w:val="none"/>
                      <w:lang w:val="en-US" w:eastAsia="zh-CN"/>
                    </w:rPr>
                  </w:pPr>
                </w:p>
              </w:tc>
              <w:tc>
                <w:tcPr>
                  <w:tcW w:w="3004" w:type="dxa"/>
                  <w:tcBorders>
                    <w:tl2br w:val="nil"/>
                    <w:tr2bl w:val="nil"/>
                  </w:tcBorders>
                  <w:vAlign w:val="center"/>
                </w:tcPr>
                <w:p w14:paraId="0D1B83CB">
                  <w:pPr>
                    <w:keepNext w:val="0"/>
                    <w:keepLines w:val="0"/>
                    <w:pageBreakBefore w:val="0"/>
                    <w:widowControl/>
                    <w:shd w:val="clear"/>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olor w:val="auto"/>
                      <w:highlight w:val="none"/>
                      <w:vertAlign w:val="baseline"/>
                      <w:lang w:val="en-US" w:eastAsia="zh-CN"/>
                    </w:rPr>
                    <w:t>57.9</w:t>
                  </w:r>
                </w:p>
              </w:tc>
            </w:tr>
            <w:tr w14:paraId="01DF4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663" w:type="dxa"/>
                  <w:tcBorders>
                    <w:tl2br w:val="nil"/>
                    <w:tr2bl w:val="nil"/>
                  </w:tcBorders>
                  <w:vAlign w:val="center"/>
                </w:tcPr>
                <w:p w14:paraId="4B258E59">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380" w:type="dxa"/>
                  <w:vMerge w:val="continue"/>
                  <w:tcBorders>
                    <w:tl2br w:val="nil"/>
                    <w:tr2bl w:val="nil"/>
                  </w:tcBorders>
                  <w:vAlign w:val="center"/>
                </w:tcPr>
                <w:p w14:paraId="12F81860">
                  <w:pPr>
                    <w:jc w:val="center"/>
                    <w:rPr>
                      <w:rFonts w:hint="eastAsia" w:ascii="Times New Roman" w:hAnsi="Times New Roman" w:cs="Times New Roman" w:eastAsiaTheme="minorEastAsia"/>
                      <w:color w:val="auto"/>
                      <w:highlight w:val="none"/>
                      <w:lang w:val="en-US" w:eastAsia="zh-CN"/>
                    </w:rPr>
                  </w:pPr>
                </w:p>
              </w:tc>
              <w:tc>
                <w:tcPr>
                  <w:tcW w:w="1875" w:type="dxa"/>
                  <w:vMerge w:val="continue"/>
                  <w:tcBorders>
                    <w:tl2br w:val="nil"/>
                    <w:tr2bl w:val="nil"/>
                  </w:tcBorders>
                  <w:vAlign w:val="center"/>
                </w:tcPr>
                <w:p w14:paraId="71CF8198">
                  <w:pPr>
                    <w:jc w:val="center"/>
                    <w:rPr>
                      <w:rFonts w:hint="eastAsia" w:ascii="Times New Roman" w:hAnsi="Times New Roman" w:cs="Times New Roman" w:eastAsiaTheme="minorEastAsia"/>
                      <w:color w:val="auto"/>
                      <w:highlight w:val="none"/>
                      <w:lang w:val="en-US" w:eastAsia="zh-CN"/>
                    </w:rPr>
                  </w:pPr>
                </w:p>
              </w:tc>
              <w:tc>
                <w:tcPr>
                  <w:tcW w:w="3004" w:type="dxa"/>
                  <w:tcBorders>
                    <w:tl2br w:val="nil"/>
                    <w:tr2bl w:val="nil"/>
                  </w:tcBorders>
                  <w:vAlign w:val="center"/>
                </w:tcPr>
                <w:p w14:paraId="4F1324BE">
                  <w:pPr>
                    <w:keepNext w:val="0"/>
                    <w:keepLines w:val="0"/>
                    <w:pageBreakBefore w:val="0"/>
                    <w:widowControl/>
                    <w:shd w:val="clear"/>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olor w:val="auto"/>
                      <w:highlight w:val="none"/>
                      <w:vertAlign w:val="baseline"/>
                      <w:lang w:val="en-US" w:eastAsia="zh-CN"/>
                    </w:rPr>
                    <w:t>57.8</w:t>
                  </w:r>
                </w:p>
              </w:tc>
            </w:tr>
            <w:tr w14:paraId="6D94C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663" w:type="dxa"/>
                  <w:tcBorders>
                    <w:tl2br w:val="nil"/>
                    <w:tr2bl w:val="nil"/>
                  </w:tcBorders>
                  <w:vAlign w:val="center"/>
                </w:tcPr>
                <w:p w14:paraId="6C434708">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380" w:type="dxa"/>
                  <w:vMerge w:val="continue"/>
                  <w:tcBorders>
                    <w:tl2br w:val="nil"/>
                    <w:tr2bl w:val="nil"/>
                  </w:tcBorders>
                  <w:vAlign w:val="center"/>
                </w:tcPr>
                <w:p w14:paraId="29156A61">
                  <w:pPr>
                    <w:jc w:val="center"/>
                    <w:rPr>
                      <w:rFonts w:hint="default" w:ascii="Times New Roman" w:hAnsi="Times New Roman" w:cs="Times New Roman"/>
                      <w:color w:val="auto"/>
                      <w:highlight w:val="none"/>
                    </w:rPr>
                  </w:pPr>
                </w:p>
              </w:tc>
              <w:tc>
                <w:tcPr>
                  <w:tcW w:w="1875" w:type="dxa"/>
                  <w:vMerge w:val="continue"/>
                  <w:tcBorders>
                    <w:tl2br w:val="nil"/>
                    <w:tr2bl w:val="nil"/>
                  </w:tcBorders>
                  <w:vAlign w:val="center"/>
                </w:tcPr>
                <w:p w14:paraId="43D7F0BE">
                  <w:pPr>
                    <w:jc w:val="center"/>
                    <w:rPr>
                      <w:rFonts w:hint="default" w:ascii="Times New Roman" w:hAnsi="Times New Roman" w:cs="Times New Roman"/>
                      <w:color w:val="auto"/>
                      <w:highlight w:val="none"/>
                    </w:rPr>
                  </w:pPr>
                </w:p>
              </w:tc>
              <w:tc>
                <w:tcPr>
                  <w:tcW w:w="3004" w:type="dxa"/>
                  <w:tcBorders>
                    <w:tl2br w:val="nil"/>
                    <w:tr2bl w:val="nil"/>
                  </w:tcBorders>
                  <w:vAlign w:val="center"/>
                </w:tcPr>
                <w:p w14:paraId="39DF3FD5">
                  <w:pPr>
                    <w:keepNext w:val="0"/>
                    <w:keepLines w:val="0"/>
                    <w:pageBreakBefore w:val="0"/>
                    <w:widowControl/>
                    <w:shd w:val="clear"/>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olor w:val="auto"/>
                      <w:highlight w:val="none"/>
                      <w:vertAlign w:val="baseline"/>
                      <w:lang w:val="en-US" w:eastAsia="zh-CN"/>
                    </w:rPr>
                    <w:t>57.7</w:t>
                  </w:r>
                </w:p>
              </w:tc>
            </w:tr>
            <w:tr w14:paraId="0A72F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18" w:type="dxa"/>
                  <w:gridSpan w:val="3"/>
                  <w:tcBorders>
                    <w:tl2br w:val="nil"/>
                    <w:tr2bl w:val="nil"/>
                  </w:tcBorders>
                  <w:vAlign w:val="center"/>
                </w:tcPr>
                <w:p w14:paraId="7EC5754F">
                  <w:pPr>
                    <w:jc w:val="center"/>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标准限值</w:t>
                  </w:r>
                </w:p>
              </w:tc>
              <w:tc>
                <w:tcPr>
                  <w:tcW w:w="3004" w:type="dxa"/>
                  <w:tcBorders>
                    <w:tl2br w:val="nil"/>
                    <w:tr2bl w:val="nil"/>
                  </w:tcBorders>
                  <w:vAlign w:val="center"/>
                </w:tcPr>
                <w:p w14:paraId="02F57D72">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65</w:t>
                  </w:r>
                </w:p>
              </w:tc>
            </w:tr>
            <w:tr w14:paraId="20CDF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18" w:type="dxa"/>
                  <w:gridSpan w:val="3"/>
                  <w:tcBorders>
                    <w:tl2br w:val="nil"/>
                    <w:tr2bl w:val="nil"/>
                  </w:tcBorders>
                  <w:vAlign w:val="center"/>
                </w:tcPr>
                <w:p w14:paraId="2EE647FC">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w:t>
                  </w:r>
                </w:p>
              </w:tc>
              <w:tc>
                <w:tcPr>
                  <w:tcW w:w="3004" w:type="dxa"/>
                  <w:tcBorders>
                    <w:tl2br w:val="nil"/>
                    <w:tr2bl w:val="nil"/>
                  </w:tcBorders>
                  <w:vAlign w:val="center"/>
                </w:tcPr>
                <w:p w14:paraId="658A4B73">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bl>
          <w:p w14:paraId="16B9F12C">
            <w:pPr>
              <w:pStyle w:val="28"/>
              <w:keepNext w:val="0"/>
              <w:keepLines w:val="0"/>
              <w:pageBreakBefore w:val="0"/>
              <w:widowControl/>
              <w:kinsoku/>
              <w:wordWrap/>
              <w:overflowPunct/>
              <w:topLinePunct w:val="0"/>
              <w:autoSpaceDE/>
              <w:autoSpaceDN/>
              <w:bidi w:val="0"/>
              <w:adjustRightInd/>
              <w:snapToGrid/>
              <w:spacing w:after="0" w:line="360" w:lineRule="auto"/>
              <w:ind w:left="0" w:leftChars="0" w:right="0" w:firstLine="420" w:firstLineChars="200"/>
              <w:textAlignment w:val="auto"/>
              <w:rPr>
                <w:rFonts w:hint="eastAsia" w:ascii="宋体" w:hAnsi="宋体" w:eastAsia="宋体"/>
                <w:bCs/>
                <w:color w:val="auto"/>
                <w:szCs w:val="21"/>
                <w:highlight w:val="none"/>
                <w:lang w:eastAsia="zh-CN"/>
              </w:rPr>
            </w:pPr>
            <w:r>
              <w:rPr>
                <w:rFonts w:hint="eastAsia" w:ascii="Times New Roman" w:hAnsi="Times New Roman" w:eastAsia="宋体"/>
                <w:b w:val="0"/>
                <w:bCs w:val="0"/>
                <w:color w:val="auto"/>
                <w:sz w:val="21"/>
                <w:szCs w:val="21"/>
                <w:highlight w:val="none"/>
                <w:lang w:val="en-US" w:eastAsia="zh-CN"/>
              </w:rPr>
              <w:t>监测结果表明，</w:t>
            </w:r>
            <w:r>
              <w:rPr>
                <w:rFonts w:hint="eastAsia" w:eastAsia="宋体"/>
                <w:b w:val="0"/>
                <w:bCs w:val="0"/>
                <w:color w:val="auto"/>
                <w:sz w:val="21"/>
                <w:szCs w:val="21"/>
                <w:highlight w:val="none"/>
                <w:lang w:val="en-US" w:eastAsia="zh-CN"/>
              </w:rPr>
              <w:t>现有项目</w:t>
            </w:r>
            <w:r>
              <w:rPr>
                <w:rFonts w:hint="eastAsia" w:ascii="Times New Roman" w:hAnsi="Times New Roman" w:eastAsia="宋体"/>
                <w:b w:val="0"/>
                <w:bCs w:val="0"/>
                <w:color w:val="auto"/>
                <w:sz w:val="21"/>
                <w:szCs w:val="21"/>
                <w:highlight w:val="none"/>
                <w:lang w:val="en-US" w:eastAsia="zh-CN"/>
              </w:rPr>
              <w:t>厂界</w:t>
            </w:r>
            <w:r>
              <w:rPr>
                <w:rFonts w:hint="eastAsia" w:eastAsia="宋体"/>
                <w:b w:val="0"/>
                <w:bCs w:val="0"/>
                <w:color w:val="auto"/>
                <w:sz w:val="21"/>
                <w:szCs w:val="21"/>
                <w:highlight w:val="none"/>
                <w:lang w:val="en-US" w:eastAsia="zh-CN"/>
              </w:rPr>
              <w:t>噪声排放</w:t>
            </w:r>
            <w:r>
              <w:rPr>
                <w:rFonts w:hint="eastAsia" w:ascii="Times New Roman" w:hAnsi="Times New Roman" w:eastAsia="宋体"/>
                <w:b w:val="0"/>
                <w:bCs w:val="0"/>
                <w:color w:val="auto"/>
                <w:sz w:val="21"/>
                <w:szCs w:val="21"/>
                <w:highlight w:val="none"/>
                <w:lang w:val="en-US" w:eastAsia="zh-CN"/>
              </w:rPr>
              <w:t>满足《工业企业厂界环境噪声排放标准》（GB12348-2008）3类标准</w:t>
            </w:r>
            <w:r>
              <w:rPr>
                <w:rFonts w:hint="eastAsia" w:ascii="宋体" w:hAnsi="宋体" w:eastAsia="宋体"/>
                <w:bCs/>
                <w:color w:val="auto"/>
                <w:sz w:val="21"/>
                <w:szCs w:val="18"/>
                <w:highlight w:val="none"/>
                <w:lang w:eastAsia="zh-CN"/>
              </w:rPr>
              <w:t>。</w:t>
            </w:r>
          </w:p>
          <w:p w14:paraId="3979FE88">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宋体" w:hAnsi="宋体" w:eastAsia="宋体"/>
                <w:bCs/>
                <w:color w:val="auto"/>
                <w:sz w:val="21"/>
                <w:szCs w:val="21"/>
                <w:highlight w:val="none"/>
                <w:lang w:val="en-US" w:eastAsia="zh-CN"/>
              </w:rPr>
            </w:pPr>
            <w:r>
              <w:rPr>
                <w:rFonts w:hint="eastAsia" w:eastAsia="宋体"/>
                <w:b w:val="0"/>
                <w:bCs w:val="0"/>
                <w:color w:val="auto"/>
                <w:sz w:val="21"/>
                <w:szCs w:val="21"/>
                <w:highlight w:val="none"/>
                <w:lang w:val="en-US" w:eastAsia="zh-CN"/>
              </w:rPr>
              <w:t>5、现有项目存在环保问题及改进措施建议</w:t>
            </w:r>
          </w:p>
          <w:p w14:paraId="1EE9AB94">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（1）现有项目喷塑前处理所用原料皮膜液中含有磷酸锌盐、无磷转化剂中含有氟锆酸，废水污染物中未考虑特征因子总锌和氟化物。</w:t>
            </w:r>
          </w:p>
          <w:p w14:paraId="0BED7676">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本次环评对现有项目排放的总锌和氟化物进行补充核算，并对现有项目监测计划进行完善。</w:t>
            </w:r>
          </w:p>
          <w:p w14:paraId="3B8E1E6A">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2024年01月24日企业委托江苏举世检测有限公司对污水处理站TW002出水口处污染物总锌和氟化物进行检测（报告编号：JSHJ-2024W-0011），检测结果显示总锌最高排放浓度0.052mg/L，氟化物最高浓度为0.37mg/L。</w:t>
            </w:r>
            <w:r>
              <w:rPr>
                <w:rFonts w:hint="eastAsia" w:ascii="Times New Roman" w:hAnsi="Times New Roman" w:eastAsia="宋体" w:cs="Times New Roman"/>
                <w:bCs/>
                <w:color w:val="auto"/>
                <w:sz w:val="21"/>
                <w:szCs w:val="21"/>
                <w:highlight w:val="none"/>
                <w:lang w:val="en-US" w:eastAsia="zh-CN"/>
              </w:rPr>
              <w:t>满足《城镇污水处理厂污染物排放标准》（DB32/4440-2022）中标准要求。</w:t>
            </w:r>
            <w:r>
              <w:rPr>
                <w:rFonts w:hint="default" w:ascii="Times New Roman" w:hAnsi="Times New Roman" w:eastAsia="宋体" w:cs="Times New Roman"/>
                <w:bCs/>
                <w:color w:val="auto"/>
                <w:sz w:val="21"/>
                <w:szCs w:val="21"/>
                <w:highlight w:val="none"/>
                <w:lang w:val="en-US" w:eastAsia="zh-CN"/>
              </w:rPr>
              <w:t>现有项目喷塑前处理废水排放量约为696t/a，则总锌排放量约为0.00004t/a，氟化物排放量约为0.00026t/a</w:t>
            </w:r>
            <w:r>
              <w:rPr>
                <w:rFonts w:hint="eastAsia" w:ascii="Times New Roman" w:hAnsi="Times New Roman" w:eastAsia="宋体" w:cs="Times New Roman"/>
                <w:bCs/>
                <w:color w:val="auto"/>
                <w:sz w:val="21"/>
                <w:szCs w:val="21"/>
                <w:highlight w:val="none"/>
                <w:lang w:val="en-US" w:eastAsia="zh-CN"/>
              </w:rPr>
              <w:t>。</w:t>
            </w:r>
          </w:p>
          <w:p w14:paraId="6DB54B2B">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根据企业根据《排污单位自行监测技术指南 总则》（HJ819-2017）、《排污单位自行监测技术指南 涂装》（HJ1086-2020），现有项目</w:t>
            </w:r>
            <w:r>
              <w:rPr>
                <w:rFonts w:hint="eastAsia" w:eastAsia="宋体" w:cs="Times New Roman"/>
                <w:bCs/>
                <w:color w:val="auto"/>
                <w:sz w:val="21"/>
                <w:szCs w:val="21"/>
                <w:highlight w:val="none"/>
                <w:lang w:val="en-US" w:eastAsia="zh-CN"/>
              </w:rPr>
              <w:t>废水</w:t>
            </w:r>
            <w:r>
              <w:rPr>
                <w:rFonts w:hint="default" w:ascii="Times New Roman" w:hAnsi="Times New Roman" w:eastAsia="宋体" w:cs="Times New Roman"/>
                <w:bCs/>
                <w:color w:val="auto"/>
                <w:sz w:val="21"/>
                <w:szCs w:val="21"/>
                <w:highlight w:val="none"/>
                <w:lang w:val="en-US" w:eastAsia="zh-CN"/>
              </w:rPr>
              <w:t>污染物监测计划需进行完善，</w:t>
            </w:r>
            <w:r>
              <w:rPr>
                <w:rFonts w:hint="eastAsia" w:eastAsia="宋体" w:cs="Times New Roman"/>
                <w:bCs/>
                <w:color w:val="auto"/>
                <w:sz w:val="21"/>
                <w:szCs w:val="21"/>
                <w:highlight w:val="none"/>
                <w:lang w:val="en-US" w:eastAsia="zh-CN"/>
              </w:rPr>
              <w:t>废水总排口</w:t>
            </w:r>
            <w:r>
              <w:rPr>
                <w:rFonts w:hint="default" w:ascii="Times New Roman" w:hAnsi="Times New Roman" w:eastAsia="宋体" w:cs="Times New Roman"/>
                <w:bCs/>
                <w:color w:val="auto"/>
                <w:sz w:val="21"/>
                <w:szCs w:val="21"/>
                <w:highlight w:val="none"/>
                <w:lang w:val="en-US" w:eastAsia="zh-CN"/>
              </w:rPr>
              <w:t>需将</w:t>
            </w:r>
            <w:r>
              <w:rPr>
                <w:rFonts w:hint="eastAsia" w:eastAsia="宋体" w:cs="Times New Roman"/>
                <w:bCs/>
                <w:color w:val="auto"/>
                <w:sz w:val="21"/>
                <w:szCs w:val="21"/>
                <w:highlight w:val="none"/>
                <w:lang w:val="en-US" w:eastAsia="zh-CN"/>
              </w:rPr>
              <w:t>总锌、氟化物</w:t>
            </w:r>
            <w:r>
              <w:rPr>
                <w:rFonts w:hint="eastAsia" w:ascii="Times New Roman" w:hAnsi="Times New Roman" w:eastAsia="宋体" w:cs="Times New Roman"/>
                <w:bCs/>
                <w:color w:val="auto"/>
                <w:sz w:val="21"/>
                <w:szCs w:val="21"/>
                <w:highlight w:val="none"/>
                <w:lang w:val="en-US" w:eastAsia="zh-CN"/>
              </w:rPr>
              <w:t>补充</w:t>
            </w:r>
            <w:r>
              <w:rPr>
                <w:rFonts w:hint="default" w:ascii="Times New Roman" w:hAnsi="Times New Roman" w:eastAsia="宋体" w:cs="Times New Roman"/>
                <w:bCs/>
                <w:color w:val="auto"/>
                <w:sz w:val="21"/>
                <w:szCs w:val="21"/>
                <w:highlight w:val="none"/>
                <w:lang w:val="en-US" w:eastAsia="zh-CN"/>
              </w:rPr>
              <w:t>列为监测因子，监测频次为</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1次/</w:t>
            </w:r>
            <w:r>
              <w:rPr>
                <w:rFonts w:hint="eastAsia" w:eastAsia="宋体" w:cs="Times New Roman"/>
                <w:bCs/>
                <w:color w:val="auto"/>
                <w:sz w:val="21"/>
                <w:szCs w:val="21"/>
                <w:highlight w:val="none"/>
                <w:lang w:val="en-US" w:eastAsia="zh-CN"/>
              </w:rPr>
              <w:t>半年</w:t>
            </w:r>
            <w:r>
              <w:rPr>
                <w:rFonts w:hint="eastAsia" w:ascii="Times New Roman" w:hAnsi="Times New Roman" w:eastAsia="宋体" w:cs="Times New Roman"/>
                <w:bCs/>
                <w:color w:val="auto"/>
                <w:sz w:val="21"/>
                <w:szCs w:val="21"/>
                <w:highlight w:val="none"/>
                <w:lang w:val="en-US" w:eastAsia="zh-CN"/>
              </w:rPr>
              <w:t>，执行标准参照《城镇污水处理厂污染物排放标准》（DB32/4440-2022）。</w:t>
            </w:r>
          </w:p>
          <w:p w14:paraId="7EC58E5D">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r>
              <w:rPr>
                <w:rFonts w:hint="eastAsia"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val="en-US" w:eastAsia="zh-CN"/>
              </w:rPr>
              <w:t>）现有项目</w:t>
            </w:r>
            <w:r>
              <w:rPr>
                <w:rFonts w:hint="eastAsia" w:eastAsia="宋体" w:cs="Times New Roman"/>
                <w:bCs/>
                <w:color w:val="auto"/>
                <w:sz w:val="21"/>
                <w:szCs w:val="21"/>
                <w:highlight w:val="none"/>
                <w:lang w:val="en-US" w:eastAsia="zh-CN"/>
              </w:rPr>
              <w:t>纯水制备设备反冲洗废水经中和后进入清下水管网，不符合要求</w:t>
            </w:r>
            <w:r>
              <w:rPr>
                <w:rFonts w:hint="default" w:ascii="Times New Roman" w:hAnsi="Times New Roman" w:eastAsia="宋体" w:cs="Times New Roman"/>
                <w:bCs/>
                <w:color w:val="auto"/>
                <w:sz w:val="21"/>
                <w:szCs w:val="21"/>
                <w:highlight w:val="none"/>
                <w:lang w:val="en-US" w:eastAsia="zh-CN"/>
              </w:rPr>
              <w:t>。</w:t>
            </w:r>
          </w:p>
          <w:p w14:paraId="774E81E6">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eastAsia"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本次环评要求将纯水制备设备反冲洗废水排入污水管网，与预处理后的企业废水一起接管至李口镇污水处理厂</w:t>
            </w:r>
            <w:r>
              <w:rPr>
                <w:rFonts w:hint="default" w:ascii="Times New Roman" w:hAnsi="Times New Roman" w:eastAsia="宋体" w:cs="Times New Roman"/>
                <w:bCs/>
                <w:color w:val="auto"/>
                <w:sz w:val="21"/>
                <w:szCs w:val="21"/>
                <w:highlight w:val="none"/>
                <w:lang w:val="en-US" w:eastAsia="zh-CN"/>
              </w:rPr>
              <w:t>。</w:t>
            </w:r>
            <w:r>
              <w:rPr>
                <w:rFonts w:hint="eastAsia" w:eastAsia="宋体" w:cs="Times New Roman"/>
                <w:bCs/>
                <w:color w:val="auto"/>
                <w:sz w:val="21"/>
                <w:szCs w:val="21"/>
                <w:highlight w:val="none"/>
                <w:lang w:val="en-US" w:eastAsia="zh-CN"/>
              </w:rPr>
              <w:t>该部分排放废水量为200m</w:t>
            </w:r>
            <w:r>
              <w:rPr>
                <w:rFonts w:hint="eastAsia" w:eastAsia="宋体" w:cs="Times New Roman"/>
                <w:bCs/>
                <w:color w:val="auto"/>
                <w:sz w:val="21"/>
                <w:szCs w:val="21"/>
                <w:highlight w:val="none"/>
                <w:vertAlign w:val="superscript"/>
                <w:lang w:val="en-US" w:eastAsia="zh-CN"/>
              </w:rPr>
              <w:t>3</w:t>
            </w:r>
            <w:r>
              <w:rPr>
                <w:rFonts w:hint="eastAsia" w:eastAsia="宋体" w:cs="Times New Roman"/>
                <w:bCs/>
                <w:color w:val="auto"/>
                <w:sz w:val="21"/>
                <w:szCs w:val="21"/>
                <w:highlight w:val="none"/>
                <w:lang w:val="en-US" w:eastAsia="zh-CN"/>
              </w:rPr>
              <w:t>/a，污染物浓度约为pH6~9、COD100mg/L，SS40mg/L，则污染物排放量为COD0.02t/a，SS0.008t/a。</w:t>
            </w:r>
          </w:p>
          <w:p w14:paraId="4D1FEF6C">
            <w:pPr>
              <w:pStyle w:val="28"/>
              <w:keepNext w:val="0"/>
              <w:keepLines w:val="0"/>
              <w:pageBreakBefore w:val="0"/>
              <w:widowControl/>
              <w:numPr>
                <w:ilvl w:val="0"/>
                <w:numId w:val="3"/>
              </w:numPr>
              <w:kinsoku/>
              <w:wordWrap/>
              <w:overflowPunct/>
              <w:topLinePunct w:val="0"/>
              <w:autoSpaceDE/>
              <w:autoSpaceDN/>
              <w:bidi w:val="0"/>
              <w:adjustRightInd/>
              <w:snapToGrid/>
              <w:spacing w:before="0" w:after="0" w:line="360" w:lineRule="auto"/>
              <w:ind w:left="0" w:leftChars="0" w:right="0" w:firstLine="420" w:firstLineChars="200"/>
              <w:textAlignment w:val="auto"/>
              <w:rPr>
                <w:rFonts w:hint="eastAsia"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现有项目DA002排气筒高度15m，周围200m范围内最高建筑物18m，排气筒高度不满足高出周围200m范围内最高建筑物3m以上，大气污染物最高允许排放浓度应按排放标准值的50%执行，根据自行监测结果颗粒物浓度不满足标准值的50%。</w:t>
            </w:r>
          </w:p>
          <w:p w14:paraId="0274C4D8">
            <w:pPr>
              <w:pStyle w:val="28"/>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20" w:firstLineChars="200"/>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本次环评采取改进措施，将DA002排气筒高度增高至21m，以减少污染物排放对周边环境的影响。</w:t>
            </w:r>
          </w:p>
          <w:p w14:paraId="6E0AFF2E">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203397CE">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7012E7BD">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18F3ACB3">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2B3F4905">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33103356">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3356F396">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250B5157">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79B46BB2">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4E3C506B">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735CE620">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2AF83282">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1FEFC89D">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10A8409C">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5F94E064">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3759C601">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420" w:firstLineChars="200"/>
              <w:textAlignment w:val="auto"/>
              <w:rPr>
                <w:rFonts w:hint="default" w:ascii="Times New Roman" w:hAnsi="Times New Roman" w:eastAsia="宋体" w:cs="Times New Roman"/>
                <w:bCs/>
                <w:color w:val="auto"/>
                <w:sz w:val="21"/>
                <w:szCs w:val="21"/>
                <w:highlight w:val="none"/>
                <w:lang w:val="en-US" w:eastAsia="zh-CN"/>
              </w:rPr>
            </w:pPr>
          </w:p>
          <w:p w14:paraId="4CACA12B">
            <w:pPr>
              <w:pStyle w:val="28"/>
              <w:keepNext w:val="0"/>
              <w:keepLines w:val="0"/>
              <w:pageBreakBefore w:val="0"/>
              <w:widowControl/>
              <w:kinsoku/>
              <w:wordWrap/>
              <w:overflowPunct/>
              <w:topLinePunct w:val="0"/>
              <w:autoSpaceDE/>
              <w:autoSpaceDN/>
              <w:bidi w:val="0"/>
              <w:adjustRightInd/>
              <w:snapToGrid/>
              <w:spacing w:before="0" w:after="0" w:line="360" w:lineRule="auto"/>
              <w:ind w:right="0"/>
              <w:textAlignment w:val="auto"/>
              <w:rPr>
                <w:rFonts w:hint="default" w:ascii="Times New Roman" w:hAnsi="Times New Roman" w:eastAsia="宋体" w:cs="Times New Roman"/>
                <w:bCs/>
                <w:color w:val="auto"/>
                <w:sz w:val="21"/>
                <w:szCs w:val="21"/>
                <w:highlight w:val="none"/>
                <w:lang w:val="en-US" w:eastAsia="zh-CN"/>
              </w:rPr>
            </w:pPr>
          </w:p>
          <w:p w14:paraId="06282BD8">
            <w:pPr>
              <w:pStyle w:val="28"/>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0" w:firstLineChars="0"/>
              <w:textAlignment w:val="auto"/>
              <w:rPr>
                <w:rFonts w:hint="default" w:ascii="Times New Roman" w:hAnsi="Times New Roman" w:eastAsia="宋体" w:cs="Times New Roman"/>
                <w:bCs/>
                <w:color w:val="auto"/>
                <w:sz w:val="21"/>
                <w:szCs w:val="21"/>
                <w:highlight w:val="none"/>
                <w:lang w:val="en-US" w:eastAsia="zh-CN"/>
              </w:rPr>
            </w:pPr>
          </w:p>
        </w:tc>
      </w:tr>
    </w:tbl>
    <w:p w14:paraId="798ACAFE">
      <w:pPr>
        <w:pStyle w:val="25"/>
        <w:jc w:val="center"/>
        <w:rPr>
          <w:rFonts w:ascii="黑体" w:hAnsi="黑体" w:eastAsia="黑体"/>
          <w:snapToGrid w:val="0"/>
          <w:color w:val="FF0000"/>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B169AC1">
      <w:pPr>
        <w:pStyle w:val="25"/>
        <w:adjustRightInd w:val="0"/>
        <w:snapToGrid w:val="0"/>
        <w:spacing w:before="0" w:beforeAutospacing="0" w:after="0" w:afterAutospacing="0" w:line="14" w:lineRule="auto"/>
        <w:jc w:val="center"/>
        <w:rPr>
          <w:rFonts w:ascii="黑体" w:hAnsi="黑体" w:eastAsia="黑体"/>
          <w:snapToGrid w:val="0"/>
          <w:color w:val="FF0000"/>
          <w:sz w:val="30"/>
          <w:szCs w:val="30"/>
          <w:highlight w:val="none"/>
        </w:rPr>
      </w:pPr>
    </w:p>
    <w:p w14:paraId="5EC80304">
      <w:pPr>
        <w:pStyle w:val="25"/>
        <w:jc w:val="center"/>
        <w:outlineLvl w:val="0"/>
        <w:rPr>
          <w:rFonts w:ascii="黑体" w:hAnsi="黑体" w:eastAsia="黑体"/>
          <w:snapToGrid w:val="0"/>
          <w:color w:val="auto"/>
          <w:sz w:val="30"/>
          <w:szCs w:val="30"/>
          <w:highlight w:val="none"/>
        </w:rPr>
      </w:pPr>
      <w:bookmarkStart w:id="21" w:name="_Toc14364"/>
      <w:bookmarkStart w:id="22" w:name="_Toc18434"/>
      <w:r>
        <w:rPr>
          <w:rFonts w:hint="eastAsia" w:ascii="黑体" w:hAnsi="黑体" w:eastAsia="黑体"/>
          <w:snapToGrid w:val="0"/>
          <w:color w:val="auto"/>
          <w:sz w:val="30"/>
          <w:szCs w:val="30"/>
          <w:highlight w:val="none"/>
        </w:rPr>
        <w:t>三、区域环境质量现状、环境保护目标及评价标准</w:t>
      </w:r>
      <w:bookmarkEnd w:id="21"/>
      <w:bookmarkEnd w:id="2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AEE5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800" w:type="dxa"/>
            <w:vAlign w:val="center"/>
          </w:tcPr>
          <w:p w14:paraId="75C5A031">
            <w:pPr>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区域</w:t>
            </w:r>
          </w:p>
          <w:p w14:paraId="6BF795F0">
            <w:pPr>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环境</w:t>
            </w:r>
          </w:p>
          <w:p w14:paraId="12A7DF82">
            <w:pPr>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质量</w:t>
            </w:r>
          </w:p>
          <w:p w14:paraId="37F1A1AF">
            <w:pPr>
              <w:adjustRightInd w:val="0"/>
              <w:snapToGrid w:val="0"/>
              <w:jc w:val="center"/>
              <w:rPr>
                <w:rFonts w:ascii="宋体" w:hAnsi="宋体" w:cs="宋体"/>
                <w:color w:val="FF0000"/>
                <w:kern w:val="0"/>
                <w:sz w:val="21"/>
                <w:szCs w:val="21"/>
                <w:highlight w:val="none"/>
              </w:rPr>
            </w:pPr>
            <w:r>
              <w:rPr>
                <w:rFonts w:hint="eastAsia" w:ascii="宋体" w:hAnsi="宋体" w:cs="宋体"/>
                <w:color w:val="auto"/>
                <w:kern w:val="0"/>
                <w:sz w:val="21"/>
                <w:szCs w:val="21"/>
                <w:highlight w:val="none"/>
              </w:rPr>
              <w:t>现状</w:t>
            </w:r>
          </w:p>
        </w:tc>
        <w:tc>
          <w:tcPr>
            <w:tcW w:w="8190" w:type="dxa"/>
            <w:vAlign w:val="center"/>
          </w:tcPr>
          <w:p w14:paraId="28C553FC">
            <w:pPr>
              <w:spacing w:line="360" w:lineRule="auto"/>
              <w:ind w:firstLine="420" w:firstLineChars="200"/>
              <w:rPr>
                <w:color w:val="auto"/>
                <w:sz w:val="21"/>
                <w:szCs w:val="21"/>
                <w:highlight w:val="none"/>
                <w:lang w:bidi="ar"/>
              </w:rPr>
            </w:pPr>
            <w:r>
              <w:rPr>
                <w:rFonts w:hint="eastAsia"/>
                <w:color w:val="auto"/>
                <w:sz w:val="21"/>
                <w:szCs w:val="21"/>
                <w:highlight w:val="none"/>
                <w:lang w:bidi="ar"/>
              </w:rPr>
              <w:t>一、环境空气质量</w:t>
            </w:r>
          </w:p>
          <w:p w14:paraId="3CE479E4">
            <w:pPr>
              <w:tabs>
                <w:tab w:val="left" w:pos="276"/>
              </w:tabs>
              <w:autoSpaceDE w:val="0"/>
              <w:autoSpaceDN w:val="0"/>
              <w:adjustRightInd w:val="0"/>
              <w:snapToGrid w:val="0"/>
              <w:spacing w:line="360" w:lineRule="auto"/>
              <w:ind w:firstLine="420" w:firstLineChars="200"/>
              <w:rPr>
                <w:rFonts w:hint="eastAsia"/>
                <w:color w:val="auto"/>
                <w:sz w:val="21"/>
                <w:szCs w:val="21"/>
                <w:highlight w:val="none"/>
              </w:rPr>
            </w:pPr>
            <w:r>
              <w:rPr>
                <w:rFonts w:hint="default" w:ascii="Times New Roman" w:hAnsi="Times New Roman" w:cs="Times New Roman"/>
                <w:color w:val="auto"/>
                <w:sz w:val="21"/>
                <w:szCs w:val="21"/>
                <w:highlight w:val="none"/>
              </w:rPr>
              <w:t>根据《宿迁市2022年度生态环境状况公报》，2022年，全市环境空气优良天数达280天，优良天数比例为76.7%；空气中PM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指标浓度同比下降，浓度均值分别37μg/m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、61μg/m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、23μg/m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，同比分别下降2.6%、7.6%、8%；SO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指标浓度为6μg/m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，同比持平；O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、CO指标浓度同比上升，浓度分别为169μg/m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、1mg/m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，同比分别上升7.6%、11.1%；其中，O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作为首要污染物的超标天数为49天，占全年超标天数比例达57.6%，已成为影响</w:t>
            </w:r>
            <w:r>
              <w:rPr>
                <w:rFonts w:hint="eastAsia"/>
                <w:color w:val="auto"/>
                <w:sz w:val="21"/>
                <w:szCs w:val="21"/>
                <w:highlight w:val="none"/>
              </w:rPr>
              <w:t>全市环境空气质量达标的主要指标。</w:t>
            </w:r>
          </w:p>
          <w:p w14:paraId="3D947866">
            <w:pPr>
              <w:tabs>
                <w:tab w:val="left" w:pos="276"/>
              </w:tabs>
              <w:autoSpaceDE w:val="0"/>
              <w:autoSpaceDN w:val="0"/>
              <w:adjustRightInd w:val="0"/>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沭阳县、泗阳县和泗洪县三县城市空气质量优良天数分别为290天、293天、292天，优良天数比例分别为79.5%、80.3%、80%。</w:t>
            </w:r>
          </w:p>
          <w:p w14:paraId="1BE1D081">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全市降水pH年均值为7.17，介于6.54-8.2之间，与2021年相比，雨水pH值稳定，未出现酸雨。</w:t>
            </w:r>
          </w:p>
          <w:p w14:paraId="4A6F37D8">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rFonts w:hint="eastAsia"/>
                <w:color w:val="auto"/>
                <w:sz w:val="21"/>
                <w:szCs w:val="21"/>
                <w:highlight w:val="none"/>
                <w:lang w:eastAsia="zh-CN"/>
              </w:rPr>
            </w:pPr>
            <w:r>
              <w:rPr>
                <w:rFonts w:hint="eastAsia"/>
                <w:color w:val="auto"/>
                <w:sz w:val="21"/>
                <w:szCs w:val="21"/>
                <w:highlight w:val="none"/>
                <w:lang w:eastAsia="zh-CN"/>
              </w:rPr>
              <w:t>为贯彻落实国家和省有关要求，持续深入打好蓝天保卫战，切实保障人民群众身体健康，以空气质量持续改善推动经济高质量发展，宿迁市人民政府结合市情于2024年8月21日发布《宿迁市空气质量持续改善行动计划实施方案》（宿政发〔2024〕97号），《实施方案》除明确目标任务外共八个部分，明确全省、各设区市空气质量改善目标和58项重点任务。</w:t>
            </w:r>
          </w:p>
          <w:p w14:paraId="2C7AA860">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一</w:t>
            </w:r>
            <w:r>
              <w:rPr>
                <w:rFonts w:hint="eastAsia"/>
                <w:color w:val="auto"/>
                <w:sz w:val="21"/>
                <w:szCs w:val="21"/>
                <w:highlight w:val="none"/>
                <w:lang w:eastAsia="zh-CN"/>
              </w:rPr>
              <w:t>）优化产业结构，促进产业绿色低碳升级。一是坚决遏制高耗能、高排放、低水平项目盲目上马；二是加快退出重点行业落后产能；三是推进传统产业升级和固定源提标改造；四是推进园区、产业集群绿色低碳化改造与综合整治；五是强化VOCs全环节、全流程综合治理。</w:t>
            </w:r>
          </w:p>
          <w:p w14:paraId="39A58B79">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二</w:t>
            </w:r>
            <w:r>
              <w:rPr>
                <w:rFonts w:hint="eastAsia"/>
                <w:color w:val="auto"/>
                <w:sz w:val="21"/>
                <w:szCs w:val="21"/>
                <w:highlight w:val="none"/>
                <w:lang w:eastAsia="zh-CN"/>
              </w:rPr>
              <w:t>）优化能源结构，加快能源清洁低碳高效发展。一是大力发展新能源和清洁能源；二是严格合理控制煤炭消费总量，提升利用效率；三是持续降低重点领域能耗强度；四是深入推进燃煤锅炉关停整合。</w:t>
            </w:r>
          </w:p>
          <w:p w14:paraId="081CBEA6">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三</w:t>
            </w:r>
            <w:r>
              <w:rPr>
                <w:rFonts w:hint="eastAsia"/>
                <w:color w:val="auto"/>
                <w:sz w:val="21"/>
                <w:szCs w:val="21"/>
                <w:highlight w:val="none"/>
                <w:lang w:eastAsia="zh-CN"/>
              </w:rPr>
              <w:t>）优化交通结构，大力发展绿色运输体系。一是持续优化调整货物运输结构；二是加快提升机动车清洁化水平；三是强化非道路移动源综合治理；四是全面保障成品油质量。</w:t>
            </w:r>
          </w:p>
          <w:p w14:paraId="60F5657D">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四</w:t>
            </w:r>
            <w:r>
              <w:rPr>
                <w:rFonts w:hint="eastAsia"/>
                <w:color w:val="auto"/>
                <w:sz w:val="21"/>
                <w:szCs w:val="21"/>
                <w:highlight w:val="none"/>
                <w:lang w:eastAsia="zh-CN"/>
              </w:rPr>
              <w:t>）强化面源污染治理，提升精细化管理水平。一是强化扬尘精细化管控；二是加强秸秆综合利用和禁烧；三是加强餐饮油烟防治；四是开展恶臭异味专项治理；五是稳步推进大气氨污染防控。</w:t>
            </w:r>
          </w:p>
          <w:p w14:paraId="390DA954">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五</w:t>
            </w:r>
            <w:r>
              <w:rPr>
                <w:rFonts w:hint="eastAsia"/>
                <w:color w:val="auto"/>
                <w:sz w:val="21"/>
                <w:szCs w:val="21"/>
                <w:highlight w:val="none"/>
                <w:lang w:eastAsia="zh-CN"/>
              </w:rPr>
              <w:t>）加强机制建设，完善大气环境管理体系。一是实施区域空气质量达标管理；二是完善重污染天气应对机制；三是推进A、B级绩效企业培育。</w:t>
            </w:r>
          </w:p>
          <w:p w14:paraId="0654061C">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六</w:t>
            </w:r>
            <w:r>
              <w:rPr>
                <w:rFonts w:hint="eastAsia"/>
                <w:color w:val="auto"/>
                <w:sz w:val="21"/>
                <w:szCs w:val="21"/>
                <w:highlight w:val="none"/>
                <w:lang w:eastAsia="zh-CN"/>
              </w:rPr>
              <w:t>）加强能力建设，严格执法监督。一是持续加强监测能力建设；二是强化执法监管能力建设。</w:t>
            </w:r>
          </w:p>
          <w:p w14:paraId="1D56067E">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七</w:t>
            </w:r>
            <w:r>
              <w:rPr>
                <w:rFonts w:hint="eastAsia"/>
                <w:color w:val="auto"/>
                <w:sz w:val="21"/>
                <w:szCs w:val="21"/>
                <w:highlight w:val="none"/>
                <w:lang w:eastAsia="zh-CN"/>
              </w:rPr>
              <w:t>）健全法律法规标准体系，完善环境经济政策。一是强化法规标准引领；二是完善价格税费激励约束机制；三是积极发挥财政金融引导作用。</w:t>
            </w:r>
          </w:p>
          <w:p w14:paraId="682CA7CD">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八</w:t>
            </w:r>
            <w:r>
              <w:rPr>
                <w:rFonts w:hint="eastAsia"/>
                <w:color w:val="auto"/>
                <w:sz w:val="21"/>
                <w:szCs w:val="21"/>
                <w:highlight w:val="none"/>
                <w:lang w:eastAsia="zh-CN"/>
              </w:rPr>
              <w:t>）落实各方责任，开展全民行动。一是加强组织领导；二是严格监督考核；三是推进信息公开；四是实施全民行动。</w:t>
            </w:r>
          </w:p>
          <w:p w14:paraId="36EC969F">
            <w:pPr>
              <w:keepNext w:val="0"/>
              <w:keepLines w:val="0"/>
              <w:suppressLineNumbers w:val="0"/>
              <w:tabs>
                <w:tab w:val="left" w:pos="276"/>
              </w:tabs>
              <w:autoSpaceDE w:val="0"/>
              <w:autoSpaceDN w:val="0"/>
              <w:adjustRightInd w:val="0"/>
              <w:snapToGrid w:val="0"/>
              <w:spacing w:before="0" w:beforeAutospacing="0" w:after="0" w:afterAutospacing="0" w:line="360" w:lineRule="auto"/>
              <w:ind w:left="0" w:right="0" w:firstLine="420" w:firstLineChars="200"/>
              <w:rPr>
                <w:color w:val="auto"/>
                <w:sz w:val="21"/>
                <w:szCs w:val="21"/>
                <w:highlight w:val="none"/>
              </w:rPr>
            </w:pPr>
            <w:r>
              <w:rPr>
                <w:rFonts w:hint="eastAsia"/>
                <w:color w:val="auto"/>
                <w:sz w:val="21"/>
                <w:szCs w:val="21"/>
                <w:highlight w:val="none"/>
                <w:lang w:eastAsia="zh-CN"/>
              </w:rPr>
              <w:t>采取上述措施后，大气环境质量状况可以得到有效的改善。</w:t>
            </w:r>
          </w:p>
          <w:p w14:paraId="2B73880B">
            <w:pPr>
              <w:widowControl/>
              <w:spacing w:line="360" w:lineRule="auto"/>
              <w:ind w:firstLine="420" w:firstLineChars="200"/>
              <w:jc w:val="left"/>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二、</w:t>
            </w:r>
            <w:r>
              <w:rPr>
                <w:rFonts w:hint="default" w:ascii="Times New Roman" w:hAnsi="Times New Roman" w:cs="Times New Roman"/>
                <w:color w:val="auto"/>
                <w:kern w:val="0"/>
                <w:sz w:val="21"/>
                <w:szCs w:val="21"/>
                <w:highlight w:val="none"/>
                <w:lang w:bidi="ar"/>
              </w:rPr>
              <w:t>地表水环境</w:t>
            </w:r>
            <w:r>
              <w:rPr>
                <w:rFonts w:hint="default" w:ascii="Times New Roman" w:hAnsi="Times New Roman" w:cs="Times New Roman"/>
                <w:color w:val="auto"/>
                <w:sz w:val="21"/>
                <w:szCs w:val="21"/>
                <w:highlight w:val="none"/>
                <w:lang w:bidi="ar"/>
              </w:rPr>
              <w:t>质量</w:t>
            </w:r>
          </w:p>
          <w:p w14:paraId="29E9A8B3">
            <w:pPr>
              <w:widowControl/>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根据《宿迁市2022年度生态环境状况公报》，全市11个县级以上集中式饮用水水源地水质优Ⅲ比例为100%。全市15个国考断面水质达标率为100%，优Ⅲ水体比例为 86.7%，无劣Ⅴ类水体。全市35个省考断面水质达标率为100%，优Ⅲ水体比例94.3%，无劣Ⅴ类水体。项目纳污河流为其葛河，执行《地表水环境质量标准》（GB3838-2002）Ⅲ类标准。</w:t>
            </w:r>
          </w:p>
          <w:p w14:paraId="0ACA0E5E">
            <w:pPr>
              <w:widowControl/>
              <w:spacing w:line="360" w:lineRule="auto"/>
              <w:ind w:firstLine="420" w:firstLineChars="200"/>
              <w:jc w:val="left"/>
              <w:rPr>
                <w:rFonts w:ascii="宋体" w:hAnsi="宋体" w:cs="宋体"/>
                <w:color w:val="auto"/>
                <w:kern w:val="0"/>
                <w:sz w:val="21"/>
                <w:szCs w:val="21"/>
                <w:highlight w:val="none"/>
                <w:lang w:bidi="ar"/>
              </w:rPr>
            </w:pPr>
            <w:r>
              <w:rPr>
                <w:rFonts w:hint="eastAsia"/>
                <w:color w:val="auto"/>
                <w:kern w:val="0"/>
                <w:sz w:val="21"/>
                <w:szCs w:val="21"/>
                <w:highlight w:val="none"/>
                <w:lang w:bidi="ar"/>
              </w:rPr>
              <w:t>三、声环境质量</w:t>
            </w:r>
          </w:p>
          <w:p w14:paraId="548070FD">
            <w:pPr>
              <w:widowControl/>
              <w:spacing w:line="360" w:lineRule="auto"/>
              <w:ind w:firstLine="420" w:firstLineChars="200"/>
              <w:rPr>
                <w:rFonts w:hint="eastAsia" w:ascii="Times New Roman" w:hAnsi="Times New Roman"/>
                <w:b w:val="0"/>
                <w:bCs w:val="0"/>
                <w:color w:val="auto"/>
                <w:sz w:val="21"/>
                <w:szCs w:val="21"/>
                <w:highlight w:val="none"/>
              </w:rPr>
            </w:pPr>
            <w:r>
              <w:rPr>
                <w:rFonts w:ascii="Times New Roman" w:hAnsi="Times New Roman"/>
                <w:b w:val="0"/>
                <w:bCs w:val="0"/>
                <w:color w:val="auto"/>
                <w:sz w:val="21"/>
                <w:szCs w:val="21"/>
                <w:highlight w:val="none"/>
              </w:rPr>
              <w:t>根据《宿迁市202</w:t>
            </w:r>
            <w:r>
              <w:rPr>
                <w:rFonts w:hint="eastAsia" w:ascii="Times New Roman" w:hAnsi="Times New Roman"/>
                <w:b w:val="0"/>
                <w:bCs w:val="0"/>
                <w:color w:val="auto"/>
                <w:sz w:val="21"/>
                <w:szCs w:val="21"/>
                <w:highlight w:val="none"/>
              </w:rPr>
              <w:t>2</w:t>
            </w:r>
            <w:r>
              <w:rPr>
                <w:rFonts w:ascii="Times New Roman" w:hAnsi="Times New Roman"/>
                <w:b w:val="0"/>
                <w:bCs w:val="0"/>
                <w:color w:val="auto"/>
                <w:sz w:val="21"/>
                <w:szCs w:val="21"/>
                <w:highlight w:val="none"/>
              </w:rPr>
              <w:t>年度环境状况公报》，全市声环境质量总体良好。</w:t>
            </w:r>
            <w:r>
              <w:rPr>
                <w:rFonts w:hint="eastAsia" w:ascii="Times New Roman" w:hAnsi="Times New Roman"/>
                <w:b w:val="0"/>
                <w:bCs w:val="0"/>
                <w:color w:val="auto"/>
                <w:sz w:val="21"/>
                <w:szCs w:val="21"/>
                <w:highlight w:val="none"/>
              </w:rPr>
              <w:t>功能区噪声方面，各类功能区昼、夜间噪声均达标；区域环境噪声方面，全市城区昼间平均等效声级56.5dB（A），达二级（较好）水平，与2021年相比，全市区域环境噪声状况总体保持稳定；城市道路交通噪声方面，全市昼间平均等效声级63.9dB（A），交通噪声强度为一级，声环境质量为好。</w:t>
            </w:r>
          </w:p>
          <w:p w14:paraId="67F87412">
            <w:pPr>
              <w:keepNext w:val="0"/>
              <w:keepLines w:val="0"/>
              <w:suppressLineNumbers w:val="0"/>
              <w:adjustRightInd w:val="0"/>
              <w:snapToGrid w:val="0"/>
              <w:spacing w:before="0" w:beforeAutospacing="0" w:after="0" w:afterAutospacing="0" w:line="360" w:lineRule="auto"/>
              <w:ind w:left="0" w:right="0" w:firstLine="420" w:firstLineChars="200"/>
              <w:jc w:val="left"/>
              <w:rPr>
                <w:kern w:val="0"/>
                <w:sz w:val="21"/>
                <w:szCs w:val="21"/>
              </w:rPr>
            </w:pPr>
            <w:r>
              <w:rPr>
                <w:rFonts w:hint="eastAsia"/>
                <w:kern w:val="0"/>
                <w:sz w:val="21"/>
                <w:szCs w:val="21"/>
              </w:rPr>
              <w:t>项目厂界50米范围内存在敏感目标，敏感目标类型为居民，故进行环境噪声现状监测。本项目区域声</w:t>
            </w:r>
            <w:r>
              <w:rPr>
                <w:rFonts w:hint="eastAsia"/>
                <w:kern w:val="0"/>
                <w:sz w:val="21"/>
                <w:szCs w:val="21"/>
                <w:highlight w:val="none"/>
              </w:rPr>
              <w:t>环境现状委托江苏举世检测有限公司对其进行现场监测（监测报告编号：JSHJ-2023W-</w:t>
            </w:r>
            <w:r>
              <w:rPr>
                <w:rFonts w:hint="eastAsia"/>
                <w:kern w:val="0"/>
                <w:sz w:val="21"/>
                <w:szCs w:val="21"/>
                <w:highlight w:val="none"/>
                <w:lang w:val="en-US" w:eastAsia="zh-CN"/>
              </w:rPr>
              <w:t>1089</w:t>
            </w:r>
            <w:r>
              <w:rPr>
                <w:rFonts w:hint="eastAsia"/>
                <w:kern w:val="0"/>
                <w:sz w:val="21"/>
                <w:szCs w:val="21"/>
                <w:highlight w:val="none"/>
              </w:rPr>
              <w:t>）</w:t>
            </w:r>
            <w:r>
              <w:rPr>
                <w:rFonts w:hint="eastAsia"/>
                <w:kern w:val="0"/>
                <w:sz w:val="21"/>
                <w:szCs w:val="21"/>
              </w:rPr>
              <w:t>，</w:t>
            </w:r>
            <w:r>
              <w:rPr>
                <w:rFonts w:hint="eastAsia"/>
                <w:sz w:val="21"/>
                <w:szCs w:val="21"/>
              </w:rPr>
              <w:t>检测结果如下表3-</w:t>
            </w:r>
            <w:r>
              <w:rPr>
                <w:rFonts w:hint="eastAsia"/>
                <w:sz w:val="21"/>
                <w:szCs w:val="21"/>
                <w:lang w:val="en-US" w:eastAsia="zh-CN"/>
              </w:rPr>
              <w:t>1</w:t>
            </w:r>
            <w:r>
              <w:rPr>
                <w:rFonts w:hint="eastAsia"/>
                <w:sz w:val="21"/>
                <w:szCs w:val="21"/>
              </w:rPr>
              <w:t>：</w:t>
            </w:r>
          </w:p>
          <w:p w14:paraId="6D8D43EC">
            <w:pPr>
              <w:keepNext w:val="0"/>
              <w:keepLines w:val="0"/>
              <w:suppressLineNumbers w:val="0"/>
              <w:adjustRightInd w:val="0"/>
              <w:snapToGrid w:val="0"/>
              <w:spacing w:before="120" w:beforeLines="50" w:beforeAutospacing="0" w:after="0" w:afterAutospacing="0"/>
              <w:ind w:left="0" w:right="0"/>
              <w:jc w:val="center"/>
              <w:rPr>
                <w:b/>
                <w:kern w:val="0"/>
                <w:sz w:val="21"/>
                <w:szCs w:val="21"/>
              </w:rPr>
            </w:pPr>
            <w:r>
              <w:rPr>
                <w:rFonts w:hint="eastAsia"/>
                <w:b/>
                <w:kern w:val="0"/>
                <w:sz w:val="21"/>
                <w:szCs w:val="21"/>
              </w:rPr>
              <w:t>表3</w:t>
            </w:r>
            <w:r>
              <w:rPr>
                <w:b/>
                <w:kern w:val="0"/>
                <w:sz w:val="21"/>
                <w:szCs w:val="21"/>
              </w:rPr>
              <w:t>-</w:t>
            </w:r>
            <w:r>
              <w:rPr>
                <w:rFonts w:hint="eastAsia"/>
                <w:b/>
                <w:kern w:val="0"/>
                <w:sz w:val="21"/>
                <w:szCs w:val="21"/>
                <w:lang w:val="en-US" w:eastAsia="zh-CN"/>
              </w:rPr>
              <w:t>1</w:t>
            </w:r>
            <w:r>
              <w:rPr>
                <w:b/>
                <w:kern w:val="0"/>
                <w:sz w:val="21"/>
                <w:szCs w:val="21"/>
              </w:rPr>
              <w:t xml:space="preserve"> </w:t>
            </w:r>
            <w:r>
              <w:rPr>
                <w:rFonts w:hint="eastAsia"/>
                <w:b/>
                <w:kern w:val="0"/>
                <w:sz w:val="21"/>
                <w:szCs w:val="21"/>
              </w:rPr>
              <w:t>环境噪声现状检测结果 dB(A)</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2981"/>
              <w:gridCol w:w="2496"/>
            </w:tblGrid>
            <w:tr w14:paraId="0FAEE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4" w:type="pct"/>
                  <w:vMerge w:val="restart"/>
                  <w:vAlign w:val="center"/>
                </w:tcPr>
                <w:p w14:paraId="615579F4">
                  <w:pPr>
                    <w:keepNext w:val="0"/>
                    <w:keepLines w:val="0"/>
                    <w:suppressLineNumbers w:val="0"/>
                    <w:adjustRightInd w:val="0"/>
                    <w:snapToGrid w:val="0"/>
                    <w:spacing w:before="0" w:beforeAutospacing="0" w:after="0" w:afterAutospacing="0"/>
                    <w:ind w:left="0" w:right="0"/>
                    <w:jc w:val="center"/>
                    <w:rPr>
                      <w:b/>
                      <w:kern w:val="0"/>
                      <w:sz w:val="21"/>
                      <w:szCs w:val="21"/>
                    </w:rPr>
                  </w:pPr>
                  <w:r>
                    <w:rPr>
                      <w:rFonts w:hint="eastAsia"/>
                      <w:b/>
                      <w:kern w:val="0"/>
                      <w:sz w:val="21"/>
                      <w:szCs w:val="21"/>
                    </w:rPr>
                    <w:t>检测日期</w:t>
                  </w:r>
                </w:p>
              </w:tc>
              <w:tc>
                <w:tcPr>
                  <w:tcW w:w="1869" w:type="pct"/>
                  <w:vMerge w:val="restart"/>
                  <w:vAlign w:val="center"/>
                </w:tcPr>
                <w:p w14:paraId="389F56EF">
                  <w:pPr>
                    <w:keepNext w:val="0"/>
                    <w:keepLines w:val="0"/>
                    <w:suppressLineNumbers w:val="0"/>
                    <w:adjustRightInd w:val="0"/>
                    <w:snapToGrid w:val="0"/>
                    <w:spacing w:before="0" w:beforeAutospacing="0" w:after="0" w:afterAutospacing="0"/>
                    <w:ind w:left="0" w:right="0"/>
                    <w:jc w:val="center"/>
                    <w:rPr>
                      <w:b/>
                      <w:kern w:val="0"/>
                      <w:sz w:val="21"/>
                      <w:szCs w:val="21"/>
                    </w:rPr>
                  </w:pPr>
                  <w:r>
                    <w:rPr>
                      <w:rFonts w:hint="eastAsia"/>
                      <w:b/>
                      <w:kern w:val="0"/>
                      <w:sz w:val="21"/>
                      <w:szCs w:val="21"/>
                    </w:rPr>
                    <w:t>检测点位</w:t>
                  </w:r>
                </w:p>
              </w:tc>
              <w:tc>
                <w:tcPr>
                  <w:tcW w:w="1565" w:type="pct"/>
                  <w:vAlign w:val="center"/>
                </w:tcPr>
                <w:p w14:paraId="6C6D8D60">
                  <w:pPr>
                    <w:keepNext w:val="0"/>
                    <w:keepLines w:val="0"/>
                    <w:suppressLineNumbers w:val="0"/>
                    <w:adjustRightInd w:val="0"/>
                    <w:snapToGrid w:val="0"/>
                    <w:spacing w:before="0" w:beforeAutospacing="0" w:after="0" w:afterAutospacing="0"/>
                    <w:ind w:left="0" w:right="0"/>
                    <w:jc w:val="center"/>
                    <w:rPr>
                      <w:b/>
                      <w:kern w:val="0"/>
                      <w:sz w:val="21"/>
                      <w:szCs w:val="21"/>
                    </w:rPr>
                  </w:pPr>
                  <w:r>
                    <w:rPr>
                      <w:rFonts w:hint="eastAsia"/>
                      <w:b/>
                      <w:kern w:val="0"/>
                      <w:sz w:val="21"/>
                      <w:szCs w:val="21"/>
                    </w:rPr>
                    <w:t>检测结果</w:t>
                  </w:r>
                </w:p>
              </w:tc>
            </w:tr>
            <w:tr w14:paraId="42CFB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4" w:type="pct"/>
                  <w:vMerge w:val="continue"/>
                  <w:vAlign w:val="center"/>
                </w:tcPr>
                <w:p w14:paraId="3C4A8226">
                  <w:pPr>
                    <w:keepNext w:val="0"/>
                    <w:keepLines w:val="0"/>
                    <w:suppressLineNumbers w:val="0"/>
                    <w:adjustRightInd w:val="0"/>
                    <w:snapToGrid w:val="0"/>
                    <w:spacing w:before="0" w:beforeAutospacing="0" w:after="0" w:afterAutospacing="0"/>
                    <w:ind w:left="0" w:right="0"/>
                    <w:jc w:val="center"/>
                    <w:rPr>
                      <w:sz w:val="21"/>
                      <w:szCs w:val="21"/>
                    </w:rPr>
                  </w:pPr>
                </w:p>
              </w:tc>
              <w:tc>
                <w:tcPr>
                  <w:tcW w:w="1869" w:type="pct"/>
                  <w:vMerge w:val="continue"/>
                  <w:vAlign w:val="center"/>
                </w:tcPr>
                <w:p w14:paraId="62F398CF">
                  <w:pPr>
                    <w:keepNext w:val="0"/>
                    <w:keepLines w:val="0"/>
                    <w:suppressLineNumbers w:val="0"/>
                    <w:adjustRightInd w:val="0"/>
                    <w:snapToGrid w:val="0"/>
                    <w:spacing w:before="0" w:beforeAutospacing="0" w:after="0" w:afterAutospacing="0"/>
                    <w:ind w:left="0" w:right="0"/>
                    <w:jc w:val="center"/>
                    <w:rPr>
                      <w:sz w:val="21"/>
                      <w:szCs w:val="21"/>
                    </w:rPr>
                  </w:pPr>
                </w:p>
              </w:tc>
              <w:tc>
                <w:tcPr>
                  <w:tcW w:w="1565" w:type="pct"/>
                  <w:vAlign w:val="center"/>
                </w:tcPr>
                <w:p w14:paraId="254476AC">
                  <w:pPr>
                    <w:keepNext w:val="0"/>
                    <w:keepLines w:val="0"/>
                    <w:suppressLineNumbers w:val="0"/>
                    <w:adjustRightInd w:val="0"/>
                    <w:snapToGrid w:val="0"/>
                    <w:spacing w:before="0" w:beforeAutospacing="0" w:after="0" w:afterAutospacing="0"/>
                    <w:ind w:left="0" w:right="0"/>
                    <w:jc w:val="center"/>
                    <w:rPr>
                      <w:b/>
                      <w:kern w:val="0"/>
                      <w:sz w:val="21"/>
                      <w:szCs w:val="21"/>
                    </w:rPr>
                  </w:pPr>
                  <w:r>
                    <w:rPr>
                      <w:rFonts w:hint="eastAsia"/>
                      <w:b/>
                      <w:kern w:val="0"/>
                      <w:sz w:val="21"/>
                      <w:szCs w:val="21"/>
                    </w:rPr>
                    <w:t>昼间</w:t>
                  </w:r>
                </w:p>
              </w:tc>
            </w:tr>
            <w:tr w14:paraId="63AA3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4" w:type="pct"/>
                  <w:vMerge w:val="restart"/>
                  <w:vAlign w:val="center"/>
                </w:tcPr>
                <w:p w14:paraId="0BCC02A3">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lang w:val="en-US" w:eastAsia="zh-CN"/>
                    </w:rPr>
                  </w:pPr>
                  <w:r>
                    <w:rPr>
                      <w:rFonts w:hint="eastAsia"/>
                      <w:kern w:val="0"/>
                      <w:sz w:val="21"/>
                      <w:szCs w:val="21"/>
                    </w:rPr>
                    <w:t>2023.</w:t>
                  </w:r>
                  <w:r>
                    <w:rPr>
                      <w:rFonts w:hint="eastAsia"/>
                      <w:kern w:val="0"/>
                      <w:sz w:val="21"/>
                      <w:szCs w:val="21"/>
                      <w:lang w:val="en-US" w:eastAsia="zh-CN"/>
                    </w:rPr>
                    <w:t>11.24</w:t>
                  </w:r>
                </w:p>
              </w:tc>
              <w:tc>
                <w:tcPr>
                  <w:tcW w:w="1869" w:type="pct"/>
                  <w:vAlign w:val="center"/>
                </w:tcPr>
                <w:p w14:paraId="42061C61">
                  <w:pPr>
                    <w:keepNext w:val="0"/>
                    <w:keepLines w:val="0"/>
                    <w:suppressLineNumbers w:val="0"/>
                    <w:adjustRightInd w:val="0"/>
                    <w:snapToGrid w:val="0"/>
                    <w:spacing w:before="0" w:beforeAutospacing="0" w:after="0" w:afterAutospacing="0"/>
                    <w:ind w:left="0" w:right="0"/>
                    <w:jc w:val="center"/>
                    <w:rPr>
                      <w:kern w:val="0"/>
                      <w:sz w:val="21"/>
                      <w:szCs w:val="21"/>
                    </w:rPr>
                  </w:pPr>
                  <w:r>
                    <w:rPr>
                      <w:rFonts w:hint="eastAsia"/>
                      <w:kern w:val="0"/>
                      <w:sz w:val="21"/>
                      <w:szCs w:val="21"/>
                      <w:lang w:val="en-US" w:eastAsia="zh-CN"/>
                    </w:rPr>
                    <w:t>曹葛村</w:t>
                  </w:r>
                  <w:r>
                    <w:rPr>
                      <w:rFonts w:hint="eastAsia"/>
                      <w:kern w:val="0"/>
                      <w:sz w:val="21"/>
                      <w:szCs w:val="21"/>
                    </w:rPr>
                    <w:t>▲1</w:t>
                  </w:r>
                </w:p>
              </w:tc>
              <w:tc>
                <w:tcPr>
                  <w:tcW w:w="1565" w:type="pct"/>
                  <w:vAlign w:val="center"/>
                </w:tcPr>
                <w:p w14:paraId="2BE48074">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lang w:val="en-US" w:eastAsia="zh-CN"/>
                    </w:rPr>
                  </w:pPr>
                  <w:r>
                    <w:rPr>
                      <w:rFonts w:hint="eastAsia"/>
                      <w:kern w:val="0"/>
                      <w:sz w:val="21"/>
                      <w:szCs w:val="21"/>
                      <w:lang w:val="en-US" w:eastAsia="zh-CN"/>
                    </w:rPr>
                    <w:t>51.9</w:t>
                  </w:r>
                </w:p>
              </w:tc>
            </w:tr>
            <w:tr w14:paraId="0F3E1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4" w:type="pct"/>
                  <w:vMerge w:val="continue"/>
                  <w:vAlign w:val="center"/>
                </w:tcPr>
                <w:p w14:paraId="335566F8">
                  <w:pPr>
                    <w:keepNext w:val="0"/>
                    <w:keepLines w:val="0"/>
                    <w:suppressLineNumbers w:val="0"/>
                    <w:adjustRightInd w:val="0"/>
                    <w:snapToGrid w:val="0"/>
                    <w:spacing w:before="0" w:beforeAutospacing="0" w:after="0" w:afterAutospacing="0"/>
                    <w:ind w:left="0" w:right="0"/>
                    <w:jc w:val="center"/>
                    <w:rPr>
                      <w:kern w:val="0"/>
                      <w:sz w:val="21"/>
                      <w:szCs w:val="21"/>
                    </w:rPr>
                  </w:pPr>
                </w:p>
              </w:tc>
              <w:tc>
                <w:tcPr>
                  <w:tcW w:w="1869" w:type="pct"/>
                  <w:vAlign w:val="center"/>
                </w:tcPr>
                <w:p w14:paraId="3A0A8B4A">
                  <w:pPr>
                    <w:keepNext w:val="0"/>
                    <w:keepLines w:val="0"/>
                    <w:suppressLineNumbers w:val="0"/>
                    <w:adjustRightInd w:val="0"/>
                    <w:snapToGrid w:val="0"/>
                    <w:spacing w:before="0" w:beforeAutospacing="0" w:after="0" w:afterAutospacing="0"/>
                    <w:ind w:left="0" w:right="0"/>
                    <w:jc w:val="center"/>
                    <w:rPr>
                      <w:kern w:val="0"/>
                      <w:sz w:val="21"/>
                      <w:szCs w:val="21"/>
                    </w:rPr>
                  </w:pPr>
                  <w:r>
                    <w:rPr>
                      <w:rFonts w:hint="eastAsia"/>
                      <w:kern w:val="0"/>
                      <w:sz w:val="21"/>
                      <w:szCs w:val="21"/>
                      <w:lang w:val="en-US" w:eastAsia="zh-CN"/>
                    </w:rPr>
                    <w:t>丽舍名都幼儿园</w:t>
                  </w:r>
                  <w:r>
                    <w:rPr>
                      <w:rFonts w:hint="eastAsia"/>
                      <w:kern w:val="0"/>
                      <w:sz w:val="21"/>
                      <w:szCs w:val="21"/>
                    </w:rPr>
                    <w:t>▲2</w:t>
                  </w:r>
                </w:p>
              </w:tc>
              <w:tc>
                <w:tcPr>
                  <w:tcW w:w="1565" w:type="pct"/>
                  <w:vAlign w:val="center"/>
                </w:tcPr>
                <w:p w14:paraId="4911AFA1">
                  <w:pPr>
                    <w:keepNext w:val="0"/>
                    <w:keepLines w:val="0"/>
                    <w:suppressLineNumbers w:val="0"/>
                    <w:adjustRightInd w:val="0"/>
                    <w:snapToGrid w:val="0"/>
                    <w:spacing w:before="0" w:beforeAutospacing="0" w:after="0" w:afterAutospacing="0"/>
                    <w:ind w:left="0" w:right="0"/>
                    <w:jc w:val="center"/>
                    <w:rPr>
                      <w:rFonts w:hint="default" w:eastAsia="宋体"/>
                      <w:kern w:val="0"/>
                      <w:sz w:val="21"/>
                      <w:szCs w:val="21"/>
                      <w:lang w:val="en-US" w:eastAsia="zh-CN"/>
                    </w:rPr>
                  </w:pPr>
                  <w:r>
                    <w:rPr>
                      <w:rFonts w:hint="eastAsia"/>
                      <w:kern w:val="0"/>
                      <w:sz w:val="21"/>
                      <w:szCs w:val="21"/>
                      <w:lang w:val="en-US" w:eastAsia="zh-CN"/>
                    </w:rPr>
                    <w:t>50.2</w:t>
                  </w:r>
                </w:p>
              </w:tc>
            </w:tr>
          </w:tbl>
          <w:p w14:paraId="440771BF">
            <w:pPr>
              <w:keepNext w:val="0"/>
              <w:keepLines w:val="0"/>
              <w:suppressLineNumbers w:val="0"/>
              <w:adjustRightInd w:val="0"/>
              <w:snapToGrid w:val="0"/>
              <w:spacing w:before="120" w:beforeLines="50" w:beforeAutospacing="0" w:after="0" w:afterAutospacing="0" w:line="360" w:lineRule="auto"/>
              <w:ind w:left="0" w:right="0" w:firstLine="420" w:firstLineChars="200"/>
              <w:jc w:val="left"/>
              <w:rPr>
                <w:kern w:val="0"/>
                <w:sz w:val="21"/>
                <w:szCs w:val="21"/>
              </w:rPr>
            </w:pPr>
            <w:r>
              <w:rPr>
                <w:sz w:val="21"/>
                <w:szCs w:val="21"/>
              </w:rPr>
              <w:t>综上，项目所在地声环境质量能够满足《声环境质量标准》（GB3096-2008）中2类标准</w:t>
            </w:r>
            <w:r>
              <w:rPr>
                <w:rFonts w:hint="eastAsia"/>
                <w:sz w:val="21"/>
                <w:szCs w:val="21"/>
              </w:rPr>
              <w:t>。</w:t>
            </w:r>
          </w:p>
          <w:p w14:paraId="5E8233A7">
            <w:pPr>
              <w:widowControl/>
              <w:spacing w:line="360" w:lineRule="auto"/>
              <w:ind w:firstLine="420" w:firstLineChars="20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四</w:t>
            </w:r>
            <w:r>
              <w:rPr>
                <w:rFonts w:ascii="宋体" w:hAnsi="宋体" w:cs="宋体"/>
                <w:color w:val="auto"/>
                <w:kern w:val="0"/>
                <w:sz w:val="21"/>
                <w:szCs w:val="21"/>
                <w:highlight w:val="none"/>
              </w:rPr>
              <w:t>、生态环境</w:t>
            </w:r>
          </w:p>
          <w:p w14:paraId="3D90B9A3">
            <w:pPr>
              <w:widowControl/>
              <w:spacing w:line="360" w:lineRule="auto"/>
              <w:ind w:firstLine="420" w:firstLineChars="200"/>
              <w:jc w:val="left"/>
              <w:rPr>
                <w:rFonts w:ascii="宋体" w:hAnsi="宋体" w:cs="宋体"/>
                <w:color w:val="auto"/>
                <w:kern w:val="0"/>
                <w:sz w:val="21"/>
                <w:szCs w:val="21"/>
                <w:highlight w:val="none"/>
              </w:rPr>
            </w:pPr>
            <w:r>
              <w:rPr>
                <w:rFonts w:ascii="宋体" w:hAnsi="宋体" w:cs="宋体"/>
                <w:color w:val="auto"/>
                <w:kern w:val="0"/>
                <w:sz w:val="21"/>
                <w:szCs w:val="21"/>
                <w:highlight w:val="none"/>
              </w:rPr>
              <w:t>项目位于</w:t>
            </w:r>
            <w:r>
              <w:rPr>
                <w:rFonts w:hint="eastAsia"/>
                <w:color w:val="auto"/>
                <w:kern w:val="0"/>
                <w:sz w:val="21"/>
                <w:szCs w:val="21"/>
              </w:rPr>
              <w:t>泗阳县李口镇工业园</w:t>
            </w:r>
            <w:r>
              <w:rPr>
                <w:rFonts w:ascii="宋体" w:hAnsi="宋体" w:cs="宋体"/>
                <w:color w:val="auto"/>
                <w:kern w:val="0"/>
                <w:sz w:val="21"/>
                <w:szCs w:val="21"/>
                <w:highlight w:val="none"/>
              </w:rPr>
              <w:t>内，无需进行生态现状调查。</w:t>
            </w:r>
          </w:p>
          <w:p w14:paraId="5172D4B8">
            <w:pPr>
              <w:widowControl/>
              <w:spacing w:line="360" w:lineRule="auto"/>
              <w:ind w:firstLine="420" w:firstLineChars="20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五</w:t>
            </w:r>
            <w:r>
              <w:rPr>
                <w:rFonts w:ascii="宋体" w:hAnsi="宋体" w:cs="宋体"/>
                <w:color w:val="auto"/>
                <w:kern w:val="0"/>
                <w:sz w:val="21"/>
                <w:szCs w:val="21"/>
                <w:highlight w:val="none"/>
              </w:rPr>
              <w:t>、电磁辐射</w:t>
            </w:r>
          </w:p>
          <w:p w14:paraId="647FF31D">
            <w:pPr>
              <w:widowControl/>
              <w:spacing w:line="360" w:lineRule="auto"/>
              <w:ind w:firstLine="420" w:firstLineChars="200"/>
              <w:jc w:val="left"/>
              <w:rPr>
                <w:rFonts w:ascii="宋体" w:hAnsi="宋体" w:cs="宋体"/>
                <w:color w:val="auto"/>
                <w:kern w:val="0"/>
                <w:sz w:val="21"/>
                <w:szCs w:val="21"/>
                <w:highlight w:val="none"/>
              </w:rPr>
            </w:pPr>
            <w:r>
              <w:rPr>
                <w:rFonts w:ascii="宋体" w:hAnsi="宋体" w:cs="宋体"/>
                <w:color w:val="auto"/>
                <w:kern w:val="0"/>
                <w:sz w:val="21"/>
                <w:szCs w:val="21"/>
                <w:highlight w:val="none"/>
              </w:rPr>
              <w:t>项目不属于新建或改建、扩建广播电台、差转台、电视塔台、卫星地球上行站、雷达等电磁辐射类项目，无需对电磁辐射现状开展监测与评价。</w:t>
            </w:r>
          </w:p>
          <w:p w14:paraId="6B6CE6AC">
            <w:pPr>
              <w:widowControl/>
              <w:spacing w:line="360" w:lineRule="auto"/>
              <w:ind w:firstLine="420" w:firstLineChars="20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六、</w:t>
            </w:r>
            <w:r>
              <w:rPr>
                <w:rFonts w:ascii="宋体" w:hAnsi="宋体" w:cs="宋体"/>
                <w:color w:val="auto"/>
                <w:kern w:val="0"/>
                <w:sz w:val="21"/>
                <w:szCs w:val="21"/>
                <w:highlight w:val="none"/>
              </w:rPr>
              <w:t>地下水、土壤环境</w:t>
            </w:r>
          </w:p>
          <w:p w14:paraId="1374378F">
            <w:pPr>
              <w:widowControl/>
              <w:spacing w:line="360" w:lineRule="auto"/>
              <w:ind w:firstLine="420" w:firstLineChars="200"/>
              <w:jc w:val="left"/>
              <w:rPr>
                <w:rFonts w:hint="default" w:ascii="Times New Roman" w:hAnsi="Times New Roman" w:cs="Times New Roman"/>
                <w:color w:val="auto"/>
                <w:kern w:val="0"/>
                <w:sz w:val="21"/>
                <w:szCs w:val="21"/>
                <w:highlight w:val="none"/>
                <w:lang w:val="en-US" w:eastAsia="zh-CN"/>
              </w:rPr>
            </w:pPr>
            <w:r>
              <w:rPr>
                <w:rFonts w:hint="eastAsia" w:ascii="宋体" w:hAnsi="宋体" w:cs="宋体"/>
                <w:color w:val="auto"/>
                <w:kern w:val="0"/>
                <w:sz w:val="21"/>
                <w:szCs w:val="21"/>
                <w:highlight w:val="none"/>
              </w:rPr>
              <w:t>根据《建设项目环境影响报告表编制技术指南（污染影响类）》（试行）原则上不开展地下水、土壤环境质量现状调查。</w:t>
            </w:r>
            <w:r>
              <w:rPr>
                <w:rFonts w:ascii="宋体" w:hAnsi="宋体" w:cs="宋体"/>
                <w:color w:val="auto"/>
                <w:kern w:val="0"/>
                <w:sz w:val="21"/>
                <w:szCs w:val="21"/>
                <w:highlight w:val="none"/>
              </w:rPr>
              <w:t>建设项目污染区包括生产、贮运装置及污染处理设施区，包括危废暂存场、原辅材料仓库等。根据污染区通过各种途径可能进入地下水环境的各种有毒有害原辅材料、中间物料、“三废”的泄漏量（含跑、冒、滴、漏）及其他各类污染物的性质、产生和排放量，将污染区进一步分为简单防渗区、一般防渗区、重点防渗区。项目采取不同的分区防渗措施后，正常运营状况下可以有效防止地下水、土壤污染。</w:t>
            </w:r>
            <w:r>
              <w:rPr>
                <w:rFonts w:hint="eastAsia" w:ascii="宋体" w:hAnsi="宋体" w:cs="宋体"/>
                <w:color w:val="auto"/>
                <w:kern w:val="0"/>
                <w:sz w:val="21"/>
                <w:szCs w:val="21"/>
                <w:highlight w:val="none"/>
                <w:lang w:val="en-US" w:eastAsia="zh-CN"/>
              </w:rPr>
              <w:t>厂区内地下水环境及土壤环境现状引用企</w:t>
            </w:r>
            <w:r>
              <w:rPr>
                <w:rFonts w:hint="default" w:ascii="Times New Roman" w:hAnsi="Times New Roman" w:cs="Times New Roman"/>
                <w:color w:val="auto"/>
                <w:kern w:val="0"/>
                <w:sz w:val="21"/>
                <w:szCs w:val="21"/>
                <w:highlight w:val="none"/>
                <w:lang w:val="en-US" w:eastAsia="zh-CN"/>
              </w:rPr>
              <w:t>业2022年7月26日-</w:t>
            </w:r>
            <w:r>
              <w:rPr>
                <w:rFonts w:hint="eastAsia" w:cs="Times New Roman"/>
                <w:color w:val="auto"/>
                <w:kern w:val="0"/>
                <w:sz w:val="21"/>
                <w:szCs w:val="21"/>
                <w:highlight w:val="none"/>
                <w:lang w:val="en-US" w:eastAsia="zh-CN"/>
              </w:rPr>
              <w:t>2022年</w:t>
            </w:r>
            <w:r>
              <w:rPr>
                <w:rFonts w:hint="default" w:ascii="Times New Roman" w:hAnsi="Times New Roman" w:cs="Times New Roman"/>
                <w:color w:val="auto"/>
                <w:kern w:val="0"/>
                <w:sz w:val="21"/>
                <w:szCs w:val="21"/>
                <w:highlight w:val="none"/>
                <w:lang w:val="en-US" w:eastAsia="zh-CN"/>
              </w:rPr>
              <w:t>7月27日</w:t>
            </w:r>
            <w:r>
              <w:rPr>
                <w:rFonts w:hint="eastAsia" w:ascii="Times New Roman" w:hAnsi="Times New Roman" w:cs="Times New Roman"/>
                <w:color w:val="auto"/>
                <w:kern w:val="0"/>
                <w:sz w:val="21"/>
                <w:szCs w:val="21"/>
                <w:highlight w:val="none"/>
                <w:lang w:val="en-US" w:eastAsia="zh-CN"/>
              </w:rPr>
              <w:t>委托江苏正康检测技术有限公司对厂区内地下水及土壤环境的检测数据（报告编号：HJ（2022）0525003-A）。检测结果见下表。</w:t>
            </w:r>
          </w:p>
          <w:p w14:paraId="5EB73E59">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宋体"/>
                <w:b/>
                <w:bCs/>
                <w:color w:val="auto"/>
                <w:kern w:val="0"/>
                <w:sz w:val="21"/>
                <w:szCs w:val="21"/>
                <w:highlight w:val="none"/>
                <w:lang w:val="en-US" w:eastAsia="zh-CN" w:bidi="ar-SA"/>
              </w:rPr>
            </w:pPr>
            <w:r>
              <w:rPr>
                <w:rFonts w:hint="eastAsia" w:ascii="Times New Roman" w:hAnsi="Times New Roman" w:eastAsia="宋体" w:cs="宋体"/>
                <w:b/>
                <w:bCs/>
                <w:color w:val="auto"/>
                <w:kern w:val="0"/>
                <w:sz w:val="21"/>
                <w:szCs w:val="21"/>
                <w:highlight w:val="none"/>
                <w:lang w:val="en-US" w:eastAsia="zh-CN" w:bidi="ar-SA"/>
              </w:rPr>
              <w:t>表</w:t>
            </w:r>
            <w:r>
              <w:rPr>
                <w:rFonts w:ascii="Times New Roman" w:hAnsi="Times New Roman" w:eastAsia="宋体" w:cs="宋体"/>
                <w:b/>
                <w:bCs/>
                <w:color w:val="auto"/>
                <w:kern w:val="0"/>
                <w:sz w:val="21"/>
                <w:szCs w:val="21"/>
                <w:highlight w:val="none"/>
                <w:lang w:val="en-US" w:eastAsia="zh-CN" w:bidi="ar-SA"/>
              </w:rPr>
              <w:t>3-</w:t>
            </w:r>
            <w:r>
              <w:rPr>
                <w:rFonts w:hint="eastAsia" w:ascii="Times New Roman" w:hAnsi="Times New Roman" w:eastAsia="宋体" w:cs="宋体"/>
                <w:b/>
                <w:bCs/>
                <w:color w:val="auto"/>
                <w:kern w:val="0"/>
                <w:sz w:val="21"/>
                <w:szCs w:val="21"/>
                <w:highlight w:val="none"/>
                <w:lang w:val="en-US" w:eastAsia="zh-CN" w:bidi="ar-SA"/>
              </w:rPr>
              <w:t>2  土壤现状监测结果</w:t>
            </w:r>
          </w:p>
          <w:p w14:paraId="3F880B35">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eastAsia="宋体" w:cs="宋体"/>
                <w:b/>
                <w:bCs/>
                <w:color w:val="auto"/>
                <w:kern w:val="0"/>
                <w:sz w:val="21"/>
                <w:szCs w:val="21"/>
                <w:highlight w:val="none"/>
                <w:lang w:val="en-US" w:eastAsia="zh-CN" w:bidi="ar-SA"/>
              </w:rPr>
            </w:pPr>
            <w:r>
              <w:rPr>
                <w:rFonts w:hint="eastAsia" w:cs="宋体"/>
                <w:b/>
                <w:bCs/>
                <w:color w:val="auto"/>
                <w:kern w:val="0"/>
                <w:sz w:val="21"/>
                <w:szCs w:val="21"/>
                <w:highlight w:val="none"/>
                <w:lang w:val="en-US" w:eastAsia="zh-CN" w:bidi="ar-SA"/>
              </w:rPr>
              <w:t>单位：mg/kg，pH无量纲</w:t>
            </w:r>
          </w:p>
          <w:tbl>
            <w:tblPr>
              <w:tblStyle w:val="31"/>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30"/>
              <w:gridCol w:w="665"/>
              <w:gridCol w:w="730"/>
              <w:gridCol w:w="600"/>
              <w:gridCol w:w="665"/>
              <w:gridCol w:w="665"/>
              <w:gridCol w:w="665"/>
              <w:gridCol w:w="665"/>
              <w:gridCol w:w="670"/>
              <w:gridCol w:w="950"/>
              <w:gridCol w:w="550"/>
            </w:tblGrid>
            <w:tr w14:paraId="7E651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vMerge w:val="restart"/>
                  <w:vAlign w:val="center"/>
                </w:tcPr>
                <w:p w14:paraId="46A094C7">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项目</w:t>
                  </w:r>
                </w:p>
              </w:tc>
              <w:tc>
                <w:tcPr>
                  <w:tcW w:w="3305" w:type="pct"/>
                  <w:gridSpan w:val="8"/>
                  <w:vAlign w:val="center"/>
                </w:tcPr>
                <w:p w14:paraId="565699BE">
                  <w:pPr>
                    <w:widowControl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监测点位</w:t>
                  </w:r>
                </w:p>
              </w:tc>
              <w:tc>
                <w:tcPr>
                  <w:tcW w:w="589" w:type="pct"/>
                  <w:vMerge w:val="restart"/>
                  <w:tcMar>
                    <w:left w:w="11" w:type="dxa"/>
                    <w:right w:w="11" w:type="dxa"/>
                  </w:tcMar>
                  <w:vAlign w:val="center"/>
                </w:tcPr>
                <w:p w14:paraId="620DAFC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第二类用地筛选值</w:t>
                  </w:r>
                </w:p>
              </w:tc>
              <w:tc>
                <w:tcPr>
                  <w:tcW w:w="341" w:type="pct"/>
                  <w:vMerge w:val="restart"/>
                  <w:tcMar>
                    <w:left w:w="11" w:type="dxa"/>
                    <w:right w:w="11" w:type="dxa"/>
                  </w:tcMar>
                  <w:vAlign w:val="center"/>
                </w:tcPr>
                <w:p w14:paraId="12B7B0D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达标情况</w:t>
                  </w:r>
                </w:p>
              </w:tc>
            </w:tr>
            <w:tr w14:paraId="40182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vMerge w:val="continue"/>
                  <w:tcMar>
                    <w:left w:w="57" w:type="dxa"/>
                    <w:right w:w="57" w:type="dxa"/>
                  </w:tcMar>
                  <w:vAlign w:val="center"/>
                </w:tcPr>
                <w:p w14:paraId="63FE2FF7">
                  <w:pPr>
                    <w:widowControl w:val="0"/>
                    <w:jc w:val="center"/>
                    <w:rPr>
                      <w:rFonts w:ascii="Times New Roman" w:hAnsi="Times New Roman" w:eastAsia="宋体" w:cs="Times New Roman"/>
                      <w:color w:val="auto"/>
                      <w:kern w:val="2"/>
                      <w:sz w:val="21"/>
                      <w:szCs w:val="21"/>
                      <w:highlight w:val="none"/>
                      <w:lang w:val="en-US" w:eastAsia="zh-CN" w:bidi="ar-SA"/>
                    </w:rPr>
                  </w:pPr>
                </w:p>
              </w:tc>
              <w:tc>
                <w:tcPr>
                  <w:tcW w:w="1651" w:type="pct"/>
                  <w:gridSpan w:val="4"/>
                  <w:vAlign w:val="center"/>
                </w:tcPr>
                <w:p w14:paraId="0A3E9C11">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S1厂外土壤对照点</w:t>
                  </w:r>
                </w:p>
              </w:tc>
              <w:tc>
                <w:tcPr>
                  <w:tcW w:w="1654" w:type="pct"/>
                  <w:gridSpan w:val="4"/>
                  <w:vAlign w:val="center"/>
                </w:tcPr>
                <w:p w14:paraId="442903FF">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S2厂内-危废库旁</w:t>
                  </w:r>
                </w:p>
              </w:tc>
              <w:tc>
                <w:tcPr>
                  <w:tcW w:w="589" w:type="pct"/>
                  <w:vMerge w:val="continue"/>
                  <w:vAlign w:val="center"/>
                </w:tcPr>
                <w:p w14:paraId="29425064">
                  <w:pPr>
                    <w:widowControl w:val="0"/>
                    <w:jc w:val="center"/>
                    <w:rPr>
                      <w:rFonts w:ascii="Times New Roman" w:hAnsi="Times New Roman" w:eastAsia="宋体" w:cs="Times New Roman"/>
                      <w:color w:val="auto"/>
                      <w:kern w:val="2"/>
                      <w:sz w:val="21"/>
                      <w:szCs w:val="21"/>
                      <w:highlight w:val="none"/>
                      <w:lang w:val="en-US" w:eastAsia="zh-CN" w:bidi="ar-SA"/>
                    </w:rPr>
                  </w:pPr>
                </w:p>
              </w:tc>
              <w:tc>
                <w:tcPr>
                  <w:tcW w:w="341" w:type="pct"/>
                  <w:vMerge w:val="continue"/>
                  <w:vAlign w:val="center"/>
                </w:tcPr>
                <w:p w14:paraId="1709A626">
                  <w:pPr>
                    <w:widowControl w:val="0"/>
                    <w:jc w:val="center"/>
                    <w:rPr>
                      <w:rFonts w:ascii="Times New Roman" w:hAnsi="Times New Roman" w:eastAsia="宋体" w:cs="Times New Roman"/>
                      <w:color w:val="auto"/>
                      <w:kern w:val="2"/>
                      <w:sz w:val="21"/>
                      <w:szCs w:val="21"/>
                      <w:highlight w:val="none"/>
                      <w:lang w:val="en-US" w:eastAsia="zh-CN" w:bidi="ar-SA"/>
                    </w:rPr>
                  </w:pPr>
                </w:p>
              </w:tc>
            </w:tr>
            <w:tr w14:paraId="0F0E3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vMerge w:val="continue"/>
                  <w:tcMar>
                    <w:left w:w="57" w:type="dxa"/>
                    <w:right w:w="57" w:type="dxa"/>
                  </w:tcMar>
                  <w:vAlign w:val="center"/>
                </w:tcPr>
                <w:p w14:paraId="1427211C">
                  <w:pPr>
                    <w:widowControl w:val="0"/>
                    <w:jc w:val="center"/>
                    <w:rPr>
                      <w:rFonts w:ascii="Times New Roman" w:hAnsi="Times New Roman" w:eastAsia="宋体" w:cs="Times New Roman"/>
                      <w:color w:val="auto"/>
                      <w:kern w:val="2"/>
                      <w:sz w:val="21"/>
                      <w:szCs w:val="21"/>
                      <w:highlight w:val="none"/>
                      <w:lang w:val="en-US" w:eastAsia="zh-CN" w:bidi="ar-SA"/>
                    </w:rPr>
                  </w:pPr>
                </w:p>
              </w:tc>
              <w:tc>
                <w:tcPr>
                  <w:tcW w:w="412" w:type="pct"/>
                  <w:vAlign w:val="center"/>
                </w:tcPr>
                <w:p w14:paraId="75CEE56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0-0.5m</w:t>
                  </w:r>
                </w:p>
              </w:tc>
              <w:tc>
                <w:tcPr>
                  <w:tcW w:w="453" w:type="pct"/>
                  <w:vAlign w:val="center"/>
                </w:tcPr>
                <w:p w14:paraId="2BBF592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0.5-1.5m</w:t>
                  </w:r>
                </w:p>
              </w:tc>
              <w:tc>
                <w:tcPr>
                  <w:tcW w:w="372" w:type="pct"/>
                  <w:vAlign w:val="center"/>
                </w:tcPr>
                <w:p w14:paraId="24059736">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1.5-3m</w:t>
                  </w:r>
                </w:p>
              </w:tc>
              <w:tc>
                <w:tcPr>
                  <w:tcW w:w="412" w:type="pct"/>
                  <w:vAlign w:val="center"/>
                </w:tcPr>
                <w:p w14:paraId="33A03F3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3-6m</w:t>
                  </w:r>
                </w:p>
              </w:tc>
              <w:tc>
                <w:tcPr>
                  <w:tcW w:w="412" w:type="pct"/>
                  <w:vAlign w:val="center"/>
                </w:tcPr>
                <w:p w14:paraId="19A88DF8">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0-0.5m</w:t>
                  </w:r>
                </w:p>
              </w:tc>
              <w:tc>
                <w:tcPr>
                  <w:tcW w:w="412" w:type="pct"/>
                  <w:vAlign w:val="center"/>
                </w:tcPr>
                <w:p w14:paraId="21719C9A">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0.5-1.5m</w:t>
                  </w:r>
                </w:p>
              </w:tc>
              <w:tc>
                <w:tcPr>
                  <w:tcW w:w="412" w:type="pct"/>
                  <w:vAlign w:val="center"/>
                </w:tcPr>
                <w:p w14:paraId="065ECEC4">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1.5-3m</w:t>
                  </w:r>
                </w:p>
              </w:tc>
              <w:tc>
                <w:tcPr>
                  <w:tcW w:w="415" w:type="pct"/>
                  <w:vAlign w:val="center"/>
                </w:tcPr>
                <w:p w14:paraId="4722D759">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3-6m</w:t>
                  </w:r>
                </w:p>
              </w:tc>
              <w:tc>
                <w:tcPr>
                  <w:tcW w:w="589" w:type="pct"/>
                  <w:vMerge w:val="continue"/>
                  <w:vAlign w:val="center"/>
                </w:tcPr>
                <w:p w14:paraId="38DF5181">
                  <w:pPr>
                    <w:widowControl w:val="0"/>
                    <w:jc w:val="center"/>
                    <w:rPr>
                      <w:rFonts w:ascii="Times New Roman" w:hAnsi="Times New Roman" w:eastAsia="宋体" w:cs="Times New Roman"/>
                      <w:color w:val="auto"/>
                      <w:kern w:val="2"/>
                      <w:sz w:val="21"/>
                      <w:szCs w:val="21"/>
                      <w:highlight w:val="none"/>
                      <w:lang w:val="en-US" w:eastAsia="zh-CN" w:bidi="ar-SA"/>
                    </w:rPr>
                  </w:pPr>
                </w:p>
              </w:tc>
              <w:tc>
                <w:tcPr>
                  <w:tcW w:w="341" w:type="pct"/>
                  <w:vMerge w:val="continue"/>
                  <w:vAlign w:val="center"/>
                </w:tcPr>
                <w:p w14:paraId="482365A7">
                  <w:pPr>
                    <w:widowControl w:val="0"/>
                    <w:jc w:val="center"/>
                    <w:rPr>
                      <w:rFonts w:ascii="Times New Roman" w:hAnsi="Times New Roman" w:eastAsia="宋体" w:cs="Times New Roman"/>
                      <w:color w:val="auto"/>
                      <w:kern w:val="2"/>
                      <w:sz w:val="21"/>
                      <w:szCs w:val="21"/>
                      <w:highlight w:val="none"/>
                      <w:lang w:val="en-US" w:eastAsia="zh-CN" w:bidi="ar-SA"/>
                    </w:rPr>
                  </w:pPr>
                </w:p>
              </w:tc>
            </w:tr>
            <w:tr w14:paraId="679AA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387998C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pH</w:t>
                  </w:r>
                </w:p>
              </w:tc>
              <w:tc>
                <w:tcPr>
                  <w:tcW w:w="412" w:type="pct"/>
                  <w:vAlign w:val="center"/>
                </w:tcPr>
                <w:p w14:paraId="7477566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7.40</w:t>
                  </w:r>
                </w:p>
              </w:tc>
              <w:tc>
                <w:tcPr>
                  <w:tcW w:w="453" w:type="pct"/>
                  <w:vAlign w:val="center"/>
                </w:tcPr>
                <w:p w14:paraId="74F3D87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7.65</w:t>
                  </w:r>
                </w:p>
              </w:tc>
              <w:tc>
                <w:tcPr>
                  <w:tcW w:w="372" w:type="pct"/>
                  <w:vAlign w:val="center"/>
                </w:tcPr>
                <w:p w14:paraId="2DA258A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w:t>
                  </w:r>
                </w:p>
              </w:tc>
              <w:tc>
                <w:tcPr>
                  <w:tcW w:w="412" w:type="pct"/>
                  <w:vAlign w:val="center"/>
                </w:tcPr>
                <w:p w14:paraId="0740A5A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8.09</w:t>
                  </w:r>
                </w:p>
              </w:tc>
              <w:tc>
                <w:tcPr>
                  <w:tcW w:w="412" w:type="pct"/>
                  <w:vAlign w:val="center"/>
                </w:tcPr>
                <w:p w14:paraId="587DAF8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7.90</w:t>
                  </w:r>
                </w:p>
              </w:tc>
              <w:tc>
                <w:tcPr>
                  <w:tcW w:w="412" w:type="pct"/>
                  <w:vAlign w:val="center"/>
                </w:tcPr>
                <w:p w14:paraId="73C3A55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7.96</w:t>
                  </w:r>
                </w:p>
              </w:tc>
              <w:tc>
                <w:tcPr>
                  <w:tcW w:w="412" w:type="pct"/>
                  <w:vAlign w:val="center"/>
                </w:tcPr>
                <w:p w14:paraId="2948F07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8.19</w:t>
                  </w:r>
                </w:p>
              </w:tc>
              <w:tc>
                <w:tcPr>
                  <w:tcW w:w="415" w:type="pct"/>
                  <w:vAlign w:val="center"/>
                </w:tcPr>
                <w:p w14:paraId="2F7E347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8.24</w:t>
                  </w:r>
                </w:p>
              </w:tc>
              <w:tc>
                <w:tcPr>
                  <w:tcW w:w="589" w:type="pct"/>
                  <w:vAlign w:val="center"/>
                </w:tcPr>
                <w:p w14:paraId="1261AF0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341" w:type="pct"/>
                  <w:vAlign w:val="center"/>
                </w:tcPr>
                <w:p w14:paraId="61AE01F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14:paraId="7825F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79E04BA6">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砷</w:t>
                  </w:r>
                </w:p>
              </w:tc>
              <w:tc>
                <w:tcPr>
                  <w:tcW w:w="412" w:type="pct"/>
                  <w:vAlign w:val="center"/>
                </w:tcPr>
                <w:p w14:paraId="3078943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453" w:type="pct"/>
                  <w:vAlign w:val="center"/>
                </w:tcPr>
                <w:p w14:paraId="453C049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9.27</w:t>
                  </w:r>
                </w:p>
              </w:tc>
              <w:tc>
                <w:tcPr>
                  <w:tcW w:w="372" w:type="pct"/>
                  <w:vAlign w:val="center"/>
                </w:tcPr>
                <w:p w14:paraId="2EAE91E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13.1</w:t>
                  </w:r>
                </w:p>
              </w:tc>
              <w:tc>
                <w:tcPr>
                  <w:tcW w:w="412" w:type="pct"/>
                  <w:vAlign w:val="center"/>
                </w:tcPr>
                <w:p w14:paraId="509B731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13.1</w:t>
                  </w:r>
                </w:p>
              </w:tc>
              <w:tc>
                <w:tcPr>
                  <w:tcW w:w="412" w:type="pct"/>
                  <w:vAlign w:val="center"/>
                </w:tcPr>
                <w:p w14:paraId="1225A02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12" w:type="pct"/>
                  <w:vAlign w:val="center"/>
                </w:tcPr>
                <w:p w14:paraId="1BB15E1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w:t>
                  </w:r>
                </w:p>
              </w:tc>
              <w:tc>
                <w:tcPr>
                  <w:tcW w:w="412" w:type="pct"/>
                  <w:vAlign w:val="center"/>
                </w:tcPr>
                <w:p w14:paraId="7367063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16.6</w:t>
                  </w:r>
                </w:p>
              </w:tc>
              <w:tc>
                <w:tcPr>
                  <w:tcW w:w="415" w:type="pct"/>
                  <w:vAlign w:val="center"/>
                </w:tcPr>
                <w:p w14:paraId="5F5FC98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14.2</w:t>
                  </w:r>
                </w:p>
              </w:tc>
              <w:tc>
                <w:tcPr>
                  <w:tcW w:w="589" w:type="pct"/>
                  <w:vAlign w:val="center"/>
                </w:tcPr>
                <w:p w14:paraId="291FE94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w:t>
                  </w:r>
                </w:p>
              </w:tc>
              <w:tc>
                <w:tcPr>
                  <w:tcW w:w="341" w:type="pct"/>
                  <w:vAlign w:val="center"/>
                </w:tcPr>
                <w:p w14:paraId="7C3EEBE5">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4687E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38A2151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汞</w:t>
                  </w:r>
                </w:p>
              </w:tc>
              <w:tc>
                <w:tcPr>
                  <w:tcW w:w="412" w:type="pct"/>
                  <w:vAlign w:val="center"/>
                </w:tcPr>
                <w:p w14:paraId="6CBDDEB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0.022</w:t>
                  </w:r>
                </w:p>
              </w:tc>
              <w:tc>
                <w:tcPr>
                  <w:tcW w:w="453" w:type="pct"/>
                  <w:vAlign w:val="center"/>
                </w:tcPr>
                <w:p w14:paraId="5DCE2E3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0.018</w:t>
                  </w:r>
                </w:p>
              </w:tc>
              <w:tc>
                <w:tcPr>
                  <w:tcW w:w="372" w:type="pct"/>
                  <w:vAlign w:val="center"/>
                </w:tcPr>
                <w:p w14:paraId="5A3F405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0.024</w:t>
                  </w:r>
                </w:p>
              </w:tc>
              <w:tc>
                <w:tcPr>
                  <w:tcW w:w="412" w:type="pct"/>
                  <w:vAlign w:val="center"/>
                </w:tcPr>
                <w:p w14:paraId="7853E1D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0.026</w:t>
                  </w:r>
                </w:p>
              </w:tc>
              <w:tc>
                <w:tcPr>
                  <w:tcW w:w="412" w:type="pct"/>
                  <w:vAlign w:val="center"/>
                </w:tcPr>
                <w:p w14:paraId="14CE51D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0.020</w:t>
                  </w:r>
                </w:p>
              </w:tc>
              <w:tc>
                <w:tcPr>
                  <w:tcW w:w="412" w:type="pct"/>
                  <w:vAlign w:val="center"/>
                </w:tcPr>
                <w:p w14:paraId="2365647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0.014</w:t>
                  </w:r>
                </w:p>
              </w:tc>
              <w:tc>
                <w:tcPr>
                  <w:tcW w:w="412" w:type="pct"/>
                  <w:vAlign w:val="center"/>
                </w:tcPr>
                <w:p w14:paraId="1B71D8E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0.040</w:t>
                  </w:r>
                </w:p>
              </w:tc>
              <w:tc>
                <w:tcPr>
                  <w:tcW w:w="415" w:type="pct"/>
                  <w:vAlign w:val="center"/>
                </w:tcPr>
                <w:p w14:paraId="63F779E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0.028</w:t>
                  </w:r>
                </w:p>
              </w:tc>
              <w:tc>
                <w:tcPr>
                  <w:tcW w:w="589" w:type="pct"/>
                  <w:vAlign w:val="center"/>
                </w:tcPr>
                <w:p w14:paraId="23452C7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38</w:t>
                  </w:r>
                </w:p>
              </w:tc>
              <w:tc>
                <w:tcPr>
                  <w:tcW w:w="341" w:type="pct"/>
                  <w:vAlign w:val="center"/>
                </w:tcPr>
                <w:p w14:paraId="0345C383">
                  <w:pPr>
                    <w:widowControl w:val="0"/>
                    <w:jc w:val="center"/>
                    <w:rPr>
                      <w:rFonts w:ascii="Times New Roman" w:hAnsi="Times New Roman" w:eastAsia="宋体" w:cs="Times New Roman"/>
                      <w:color w:val="auto"/>
                      <w:kern w:val="2"/>
                      <w:sz w:val="21"/>
                      <w:szCs w:val="21"/>
                      <w:highlight w:val="none"/>
                      <w:lang w:val="en-US" w:eastAsia="zh-CN" w:bidi="ar-SA"/>
                    </w:rPr>
                  </w:pPr>
                </w:p>
              </w:tc>
            </w:tr>
            <w:tr w14:paraId="54EE4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4B3549D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镉</w:t>
                  </w:r>
                </w:p>
              </w:tc>
              <w:tc>
                <w:tcPr>
                  <w:tcW w:w="412" w:type="pct"/>
                  <w:vAlign w:val="center"/>
                </w:tcPr>
                <w:p w14:paraId="138F2C5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w:t>
                  </w:r>
                </w:p>
              </w:tc>
              <w:tc>
                <w:tcPr>
                  <w:tcW w:w="453" w:type="pct"/>
                  <w:vAlign w:val="center"/>
                </w:tcPr>
                <w:p w14:paraId="7F1AE90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372" w:type="pct"/>
                  <w:vAlign w:val="center"/>
                </w:tcPr>
                <w:p w14:paraId="66FDCDA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w:t>
                  </w:r>
                </w:p>
              </w:tc>
              <w:tc>
                <w:tcPr>
                  <w:tcW w:w="412" w:type="pct"/>
                  <w:vAlign w:val="center"/>
                </w:tcPr>
                <w:p w14:paraId="7F00130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w:t>
                  </w:r>
                </w:p>
              </w:tc>
              <w:tc>
                <w:tcPr>
                  <w:tcW w:w="412" w:type="pct"/>
                  <w:vAlign w:val="center"/>
                </w:tcPr>
                <w:p w14:paraId="2CD86FF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w:t>
                  </w:r>
                </w:p>
              </w:tc>
              <w:tc>
                <w:tcPr>
                  <w:tcW w:w="412" w:type="pct"/>
                  <w:vAlign w:val="center"/>
                </w:tcPr>
                <w:p w14:paraId="571C5E8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w:t>
                  </w:r>
                </w:p>
              </w:tc>
              <w:tc>
                <w:tcPr>
                  <w:tcW w:w="412" w:type="pct"/>
                  <w:vAlign w:val="center"/>
                </w:tcPr>
                <w:p w14:paraId="2F01716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w:t>
                  </w:r>
                </w:p>
              </w:tc>
              <w:tc>
                <w:tcPr>
                  <w:tcW w:w="415" w:type="pct"/>
                  <w:vAlign w:val="center"/>
                </w:tcPr>
                <w:p w14:paraId="551F608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w:t>
                  </w:r>
                </w:p>
              </w:tc>
              <w:tc>
                <w:tcPr>
                  <w:tcW w:w="589" w:type="pct"/>
                  <w:vAlign w:val="center"/>
                </w:tcPr>
                <w:p w14:paraId="2678FAC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65</w:t>
                  </w:r>
                </w:p>
              </w:tc>
              <w:tc>
                <w:tcPr>
                  <w:tcW w:w="341" w:type="pct"/>
                  <w:vAlign w:val="center"/>
                </w:tcPr>
                <w:p w14:paraId="7ADD63E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58A2D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1827F0F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铅</w:t>
                  </w:r>
                </w:p>
              </w:tc>
              <w:tc>
                <w:tcPr>
                  <w:tcW w:w="412" w:type="pct"/>
                  <w:vAlign w:val="center"/>
                </w:tcPr>
                <w:p w14:paraId="7BE36B0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17.7</w:t>
                  </w:r>
                </w:p>
              </w:tc>
              <w:tc>
                <w:tcPr>
                  <w:tcW w:w="453" w:type="pct"/>
                  <w:vAlign w:val="center"/>
                </w:tcPr>
                <w:p w14:paraId="6EB5717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33.7</w:t>
                  </w:r>
                </w:p>
              </w:tc>
              <w:tc>
                <w:tcPr>
                  <w:tcW w:w="372" w:type="pct"/>
                  <w:vAlign w:val="center"/>
                </w:tcPr>
                <w:p w14:paraId="2F91809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53.4</w:t>
                  </w:r>
                </w:p>
              </w:tc>
              <w:tc>
                <w:tcPr>
                  <w:tcW w:w="412" w:type="pct"/>
                  <w:vAlign w:val="center"/>
                </w:tcPr>
                <w:p w14:paraId="727C266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17.8</w:t>
                  </w:r>
                </w:p>
              </w:tc>
              <w:tc>
                <w:tcPr>
                  <w:tcW w:w="412" w:type="pct"/>
                  <w:vAlign w:val="center"/>
                </w:tcPr>
                <w:p w14:paraId="2CCF53E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15.5</w:t>
                  </w:r>
                </w:p>
              </w:tc>
              <w:tc>
                <w:tcPr>
                  <w:tcW w:w="412" w:type="pct"/>
                  <w:vAlign w:val="center"/>
                </w:tcPr>
                <w:p w14:paraId="058905E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55.2</w:t>
                  </w:r>
                </w:p>
              </w:tc>
              <w:tc>
                <w:tcPr>
                  <w:tcW w:w="412" w:type="pct"/>
                  <w:vAlign w:val="center"/>
                </w:tcPr>
                <w:p w14:paraId="7C75165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34.7</w:t>
                  </w:r>
                </w:p>
              </w:tc>
              <w:tc>
                <w:tcPr>
                  <w:tcW w:w="415" w:type="pct"/>
                  <w:vAlign w:val="center"/>
                </w:tcPr>
                <w:p w14:paraId="173D757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26.4</w:t>
                  </w:r>
                </w:p>
              </w:tc>
              <w:tc>
                <w:tcPr>
                  <w:tcW w:w="589" w:type="pct"/>
                  <w:vAlign w:val="center"/>
                </w:tcPr>
                <w:p w14:paraId="4EC4559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800</w:t>
                  </w:r>
                </w:p>
              </w:tc>
              <w:tc>
                <w:tcPr>
                  <w:tcW w:w="341" w:type="pct"/>
                  <w:vAlign w:val="center"/>
                </w:tcPr>
                <w:p w14:paraId="7DD2259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3AD56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354F5BF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镍</w:t>
                  </w:r>
                </w:p>
              </w:tc>
              <w:tc>
                <w:tcPr>
                  <w:tcW w:w="412" w:type="pct"/>
                  <w:vAlign w:val="center"/>
                </w:tcPr>
                <w:p w14:paraId="09C58AE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453" w:type="pct"/>
                  <w:vAlign w:val="center"/>
                </w:tcPr>
                <w:p w14:paraId="3642262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372" w:type="pct"/>
                  <w:vAlign w:val="center"/>
                </w:tcPr>
                <w:p w14:paraId="70BEDAF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54</w:t>
                  </w:r>
                </w:p>
              </w:tc>
              <w:tc>
                <w:tcPr>
                  <w:tcW w:w="412" w:type="pct"/>
                  <w:vAlign w:val="center"/>
                </w:tcPr>
                <w:p w14:paraId="027F8DA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52</w:t>
                  </w:r>
                </w:p>
              </w:tc>
              <w:tc>
                <w:tcPr>
                  <w:tcW w:w="412" w:type="pct"/>
                  <w:vAlign w:val="center"/>
                </w:tcPr>
                <w:p w14:paraId="74CB79C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w:t>
                  </w:r>
                </w:p>
              </w:tc>
              <w:tc>
                <w:tcPr>
                  <w:tcW w:w="412" w:type="pct"/>
                  <w:vAlign w:val="center"/>
                </w:tcPr>
                <w:p w14:paraId="34AEFA1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w:t>
                  </w:r>
                </w:p>
              </w:tc>
              <w:tc>
                <w:tcPr>
                  <w:tcW w:w="412" w:type="pct"/>
                  <w:vAlign w:val="center"/>
                </w:tcPr>
                <w:p w14:paraId="2C3DCDF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54</w:t>
                  </w:r>
                </w:p>
              </w:tc>
              <w:tc>
                <w:tcPr>
                  <w:tcW w:w="415" w:type="pct"/>
                  <w:vAlign w:val="center"/>
                </w:tcPr>
                <w:p w14:paraId="1B7C0E1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66</w:t>
                  </w:r>
                </w:p>
              </w:tc>
              <w:tc>
                <w:tcPr>
                  <w:tcW w:w="589" w:type="pct"/>
                  <w:vAlign w:val="center"/>
                </w:tcPr>
                <w:p w14:paraId="11D708A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w:t>
                  </w:r>
                </w:p>
              </w:tc>
              <w:tc>
                <w:tcPr>
                  <w:tcW w:w="341" w:type="pct"/>
                  <w:vAlign w:val="center"/>
                </w:tcPr>
                <w:p w14:paraId="4E59306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04D49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5438A11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铜</w:t>
                  </w:r>
                </w:p>
              </w:tc>
              <w:tc>
                <w:tcPr>
                  <w:tcW w:w="412" w:type="pct"/>
                  <w:vAlign w:val="center"/>
                </w:tcPr>
                <w:p w14:paraId="23BA9BC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453" w:type="pct"/>
                  <w:vAlign w:val="center"/>
                </w:tcPr>
                <w:p w14:paraId="6C15146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c>
                <w:tcPr>
                  <w:tcW w:w="372" w:type="pct"/>
                  <w:vAlign w:val="center"/>
                </w:tcPr>
                <w:p w14:paraId="7D97E0C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c>
                <w:tcPr>
                  <w:tcW w:w="412" w:type="pct"/>
                  <w:vAlign w:val="center"/>
                </w:tcPr>
                <w:p w14:paraId="4D635F7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w:t>
                  </w:r>
                </w:p>
              </w:tc>
              <w:tc>
                <w:tcPr>
                  <w:tcW w:w="412" w:type="pct"/>
                  <w:vAlign w:val="center"/>
                </w:tcPr>
                <w:p w14:paraId="0C3CB0F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w:t>
                  </w:r>
                </w:p>
              </w:tc>
              <w:tc>
                <w:tcPr>
                  <w:tcW w:w="412" w:type="pct"/>
                  <w:vAlign w:val="center"/>
                </w:tcPr>
                <w:p w14:paraId="224A987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412" w:type="pct"/>
                  <w:vAlign w:val="center"/>
                </w:tcPr>
                <w:p w14:paraId="2A248E1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w:t>
                  </w:r>
                </w:p>
              </w:tc>
              <w:tc>
                <w:tcPr>
                  <w:tcW w:w="415" w:type="pct"/>
                  <w:vAlign w:val="center"/>
                </w:tcPr>
                <w:p w14:paraId="75A6225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c>
                <w:tcPr>
                  <w:tcW w:w="589" w:type="pct"/>
                  <w:vAlign w:val="center"/>
                </w:tcPr>
                <w:p w14:paraId="42F3A59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18000</w:t>
                  </w:r>
                </w:p>
              </w:tc>
              <w:tc>
                <w:tcPr>
                  <w:tcW w:w="341" w:type="pct"/>
                  <w:vAlign w:val="center"/>
                </w:tcPr>
                <w:p w14:paraId="635EA0A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46234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7F9795A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六价铬</w:t>
                  </w:r>
                </w:p>
              </w:tc>
              <w:tc>
                <w:tcPr>
                  <w:tcW w:w="412" w:type="pct"/>
                  <w:vAlign w:val="center"/>
                </w:tcPr>
                <w:p w14:paraId="02DECAE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10EB18BA">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3E22CD6C">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E1C78DE">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703E036">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1DF0628">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C0B60CE">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5E030AE9">
                  <w:pPr>
                    <w:widowControl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31ACCAB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5.7</w:t>
                  </w:r>
                </w:p>
              </w:tc>
              <w:tc>
                <w:tcPr>
                  <w:tcW w:w="341" w:type="pct"/>
                  <w:vAlign w:val="center"/>
                </w:tcPr>
                <w:p w14:paraId="4652458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6DDF2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08313D2A">
                  <w:pPr>
                    <w:widowControl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石油烃（C</w:t>
                  </w:r>
                  <w:r>
                    <w:rPr>
                      <w:rFonts w:hint="eastAsia" w:cs="Times New Roman"/>
                      <w:color w:val="auto"/>
                      <w:kern w:val="2"/>
                      <w:sz w:val="21"/>
                      <w:szCs w:val="21"/>
                      <w:highlight w:val="none"/>
                      <w:vertAlign w:val="subscript"/>
                      <w:lang w:val="en-US" w:eastAsia="zh-CN" w:bidi="ar-SA"/>
                    </w:rPr>
                    <w:t>10</w:t>
                  </w:r>
                  <w:r>
                    <w:rPr>
                      <w:rFonts w:hint="eastAsia" w:cs="Times New Roman"/>
                      <w:color w:val="auto"/>
                      <w:kern w:val="2"/>
                      <w:sz w:val="21"/>
                      <w:szCs w:val="21"/>
                      <w:highlight w:val="none"/>
                      <w:lang w:val="en-US" w:eastAsia="zh-CN" w:bidi="ar-SA"/>
                    </w:rPr>
                    <w:t>-C</w:t>
                  </w:r>
                  <w:r>
                    <w:rPr>
                      <w:rFonts w:hint="eastAsia" w:cs="Times New Roman"/>
                      <w:color w:val="auto"/>
                      <w:kern w:val="2"/>
                      <w:sz w:val="21"/>
                      <w:szCs w:val="21"/>
                      <w:highlight w:val="none"/>
                      <w:vertAlign w:val="subscript"/>
                      <w:lang w:val="en-US" w:eastAsia="zh-CN" w:bidi="ar-SA"/>
                    </w:rPr>
                    <w:t>40</w:t>
                  </w:r>
                  <w:r>
                    <w:rPr>
                      <w:rFonts w:hint="eastAsia" w:cs="Times New Roman"/>
                      <w:color w:val="auto"/>
                      <w:kern w:val="2"/>
                      <w:sz w:val="21"/>
                      <w:szCs w:val="21"/>
                      <w:highlight w:val="none"/>
                      <w:lang w:val="en-US" w:eastAsia="zh-CN" w:bidi="ar-SA"/>
                    </w:rPr>
                    <w:t>）</w:t>
                  </w:r>
                </w:p>
              </w:tc>
              <w:tc>
                <w:tcPr>
                  <w:tcW w:w="412" w:type="pct"/>
                  <w:vAlign w:val="center"/>
                </w:tcPr>
                <w:p w14:paraId="660BD9E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w:t>
                  </w:r>
                </w:p>
              </w:tc>
              <w:tc>
                <w:tcPr>
                  <w:tcW w:w="453" w:type="pct"/>
                  <w:vAlign w:val="center"/>
                </w:tcPr>
                <w:p w14:paraId="3C3B39F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w:t>
                  </w:r>
                </w:p>
              </w:tc>
              <w:tc>
                <w:tcPr>
                  <w:tcW w:w="372" w:type="pct"/>
                  <w:vAlign w:val="center"/>
                </w:tcPr>
                <w:p w14:paraId="3872C8F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w:t>
                  </w:r>
                </w:p>
              </w:tc>
              <w:tc>
                <w:tcPr>
                  <w:tcW w:w="412" w:type="pct"/>
                  <w:vAlign w:val="center"/>
                </w:tcPr>
                <w:p w14:paraId="134D93A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412" w:type="pct"/>
                  <w:vAlign w:val="center"/>
                </w:tcPr>
                <w:p w14:paraId="0706858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412" w:type="pct"/>
                  <w:vAlign w:val="center"/>
                </w:tcPr>
                <w:p w14:paraId="5B839FE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412" w:type="pct"/>
                  <w:vAlign w:val="center"/>
                </w:tcPr>
                <w:p w14:paraId="0F30422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w:t>
                  </w:r>
                </w:p>
              </w:tc>
              <w:tc>
                <w:tcPr>
                  <w:tcW w:w="415" w:type="pct"/>
                  <w:vAlign w:val="center"/>
                </w:tcPr>
                <w:p w14:paraId="6F0345F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w:t>
                  </w:r>
                </w:p>
              </w:tc>
              <w:tc>
                <w:tcPr>
                  <w:tcW w:w="589" w:type="pct"/>
                  <w:vAlign w:val="center"/>
                </w:tcPr>
                <w:p w14:paraId="0436F9F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826</w:t>
                  </w:r>
                </w:p>
              </w:tc>
              <w:tc>
                <w:tcPr>
                  <w:tcW w:w="341" w:type="pct"/>
                  <w:vAlign w:val="center"/>
                </w:tcPr>
                <w:p w14:paraId="796DCC1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2C864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15148F3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四氯化碳</w:t>
                  </w:r>
                </w:p>
              </w:tc>
              <w:tc>
                <w:tcPr>
                  <w:tcW w:w="412" w:type="pct"/>
                  <w:vAlign w:val="center"/>
                </w:tcPr>
                <w:p w14:paraId="19781B0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68926DD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704AC55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30BA02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3F777E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E06CF6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E91B08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6B847A2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4055BA2A">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2.8</w:t>
                  </w:r>
                </w:p>
              </w:tc>
              <w:tc>
                <w:tcPr>
                  <w:tcW w:w="341" w:type="pct"/>
                  <w:vAlign w:val="center"/>
                </w:tcPr>
                <w:p w14:paraId="7EC860B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64343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4E861C2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氯仿</w:t>
                  </w:r>
                </w:p>
              </w:tc>
              <w:tc>
                <w:tcPr>
                  <w:tcW w:w="412" w:type="pct"/>
                  <w:vAlign w:val="center"/>
                </w:tcPr>
                <w:p w14:paraId="3B17D1E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3A47970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5AD2B37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90FCA6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5C0DC6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C415C7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52F7A2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58A1F88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2CE7B035">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0.9</w:t>
                  </w:r>
                </w:p>
              </w:tc>
              <w:tc>
                <w:tcPr>
                  <w:tcW w:w="341" w:type="pct"/>
                  <w:vAlign w:val="center"/>
                </w:tcPr>
                <w:p w14:paraId="2DB0A12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21933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558B852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氯甲烷</w:t>
                  </w:r>
                </w:p>
              </w:tc>
              <w:tc>
                <w:tcPr>
                  <w:tcW w:w="412" w:type="pct"/>
                  <w:vAlign w:val="center"/>
                </w:tcPr>
                <w:p w14:paraId="56ADBC6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6D63EE3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3A94D7A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93A1AB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474974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4CD92B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2B25F9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37CDD93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53FA2693">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37</w:t>
                  </w:r>
                </w:p>
              </w:tc>
              <w:tc>
                <w:tcPr>
                  <w:tcW w:w="341" w:type="pct"/>
                  <w:vAlign w:val="center"/>
                </w:tcPr>
                <w:p w14:paraId="5359730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749F7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5B16E11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1,1-二氯乙烷</w:t>
                  </w:r>
                </w:p>
              </w:tc>
              <w:tc>
                <w:tcPr>
                  <w:tcW w:w="412" w:type="pct"/>
                  <w:vAlign w:val="center"/>
                </w:tcPr>
                <w:p w14:paraId="1A77048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3AC334D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3B4335C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109E4E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B9ECA8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58C6F2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329590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7B35CDA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10C6502C">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9</w:t>
                  </w:r>
                </w:p>
              </w:tc>
              <w:tc>
                <w:tcPr>
                  <w:tcW w:w="341" w:type="pct"/>
                  <w:vAlign w:val="center"/>
                </w:tcPr>
                <w:p w14:paraId="1CA7ED2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56891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14E9B54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1,2-二氯乙烷</w:t>
                  </w:r>
                </w:p>
              </w:tc>
              <w:tc>
                <w:tcPr>
                  <w:tcW w:w="412" w:type="pct"/>
                  <w:vAlign w:val="center"/>
                </w:tcPr>
                <w:p w14:paraId="196F0D0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0E8950F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4A24F77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8FE28E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B02FE4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0B36C6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FE5D56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5680ADE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44DC73DF">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5</w:t>
                  </w:r>
                </w:p>
              </w:tc>
              <w:tc>
                <w:tcPr>
                  <w:tcW w:w="341" w:type="pct"/>
                  <w:vAlign w:val="center"/>
                </w:tcPr>
                <w:p w14:paraId="3E289EB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46F3C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76BF616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1,1-二氯乙烯</w:t>
                  </w:r>
                </w:p>
              </w:tc>
              <w:tc>
                <w:tcPr>
                  <w:tcW w:w="412" w:type="pct"/>
                  <w:vAlign w:val="center"/>
                </w:tcPr>
                <w:p w14:paraId="2B0B941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689D26B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34A57B2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DC3A66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E20BF1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6D9E40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92BD2C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4AE0F5B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5D2AD453">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66</w:t>
                  </w:r>
                </w:p>
              </w:tc>
              <w:tc>
                <w:tcPr>
                  <w:tcW w:w="341" w:type="pct"/>
                  <w:vAlign w:val="center"/>
                </w:tcPr>
                <w:p w14:paraId="51A947D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4D1FD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1EB5509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顺-1,2-二氯乙烯</w:t>
                  </w:r>
                </w:p>
              </w:tc>
              <w:tc>
                <w:tcPr>
                  <w:tcW w:w="412" w:type="pct"/>
                  <w:vAlign w:val="center"/>
                </w:tcPr>
                <w:p w14:paraId="3B2CF54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45D43C1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6562532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9E8AAF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98D914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B21CCD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015438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4AE3198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10ADEF18">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596</w:t>
                  </w:r>
                </w:p>
              </w:tc>
              <w:tc>
                <w:tcPr>
                  <w:tcW w:w="341" w:type="pct"/>
                  <w:vAlign w:val="center"/>
                </w:tcPr>
                <w:p w14:paraId="115C45F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5BB00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28420E9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反-1,2-二氯乙烯</w:t>
                  </w:r>
                </w:p>
              </w:tc>
              <w:tc>
                <w:tcPr>
                  <w:tcW w:w="412" w:type="pct"/>
                  <w:vAlign w:val="center"/>
                </w:tcPr>
                <w:p w14:paraId="13791E5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44B9139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275F293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16A79D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445C96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61572A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FC3B41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5D745A1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2B490191">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54</w:t>
                  </w:r>
                </w:p>
              </w:tc>
              <w:tc>
                <w:tcPr>
                  <w:tcW w:w="341" w:type="pct"/>
                  <w:vAlign w:val="center"/>
                </w:tcPr>
                <w:p w14:paraId="38F3E4D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1E76F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7E55193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二氯甲烷</w:t>
                  </w:r>
                </w:p>
              </w:tc>
              <w:tc>
                <w:tcPr>
                  <w:tcW w:w="412" w:type="pct"/>
                  <w:vAlign w:val="center"/>
                </w:tcPr>
                <w:p w14:paraId="06D07F0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56AC04B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119F876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121304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D08029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B7AF9E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C10486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650DB34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31A93B57">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616</w:t>
                  </w:r>
                </w:p>
              </w:tc>
              <w:tc>
                <w:tcPr>
                  <w:tcW w:w="341" w:type="pct"/>
                  <w:vAlign w:val="center"/>
                </w:tcPr>
                <w:p w14:paraId="273039F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0E9A6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571E5A1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1,2-二氯丙烷</w:t>
                  </w:r>
                </w:p>
              </w:tc>
              <w:tc>
                <w:tcPr>
                  <w:tcW w:w="412" w:type="pct"/>
                  <w:vAlign w:val="center"/>
                </w:tcPr>
                <w:p w14:paraId="2D3C147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4C7FC0D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5271057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8F3F94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823B1D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F3F74B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364A28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02387E7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59178ED5">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5</w:t>
                  </w:r>
                </w:p>
              </w:tc>
              <w:tc>
                <w:tcPr>
                  <w:tcW w:w="341" w:type="pct"/>
                  <w:vAlign w:val="center"/>
                </w:tcPr>
                <w:p w14:paraId="50199F4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60E83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51581AC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1,1,1,2-四氯乙烷</w:t>
                  </w:r>
                </w:p>
              </w:tc>
              <w:tc>
                <w:tcPr>
                  <w:tcW w:w="412" w:type="pct"/>
                  <w:vAlign w:val="center"/>
                </w:tcPr>
                <w:p w14:paraId="1F44E02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7EE735A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4583E5E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C6EDD5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880992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840489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AC256D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0478AD7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743C84CF">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10</w:t>
                  </w:r>
                </w:p>
              </w:tc>
              <w:tc>
                <w:tcPr>
                  <w:tcW w:w="341" w:type="pct"/>
                  <w:vAlign w:val="center"/>
                </w:tcPr>
                <w:p w14:paraId="7C43AB8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55731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2037747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1,1,2,2-四氯乙烷</w:t>
                  </w:r>
                </w:p>
              </w:tc>
              <w:tc>
                <w:tcPr>
                  <w:tcW w:w="412" w:type="pct"/>
                  <w:vAlign w:val="center"/>
                </w:tcPr>
                <w:p w14:paraId="0189972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42863A9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3072659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661F8D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AC0029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67AF53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4C473D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75F72BD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088FBE1C">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6.8</w:t>
                  </w:r>
                </w:p>
              </w:tc>
              <w:tc>
                <w:tcPr>
                  <w:tcW w:w="341" w:type="pct"/>
                  <w:vAlign w:val="center"/>
                </w:tcPr>
                <w:p w14:paraId="1D187E6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28FA6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0580400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四氯乙烯</w:t>
                  </w:r>
                </w:p>
              </w:tc>
              <w:tc>
                <w:tcPr>
                  <w:tcW w:w="412" w:type="pct"/>
                  <w:vAlign w:val="center"/>
                </w:tcPr>
                <w:p w14:paraId="0035601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2936077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53EB329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732430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475B05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ED0B2E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F63F4A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616AC43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79DAF387">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53</w:t>
                  </w:r>
                </w:p>
              </w:tc>
              <w:tc>
                <w:tcPr>
                  <w:tcW w:w="341" w:type="pct"/>
                  <w:vAlign w:val="center"/>
                </w:tcPr>
                <w:p w14:paraId="43E7696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22144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48CD04A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1,1,1-三氯乙烷</w:t>
                  </w:r>
                </w:p>
              </w:tc>
              <w:tc>
                <w:tcPr>
                  <w:tcW w:w="412" w:type="pct"/>
                  <w:vAlign w:val="center"/>
                </w:tcPr>
                <w:p w14:paraId="4DFC384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37605ED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61059CB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60D57C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072948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B3168E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3474E6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4FB9DBD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064C2797">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840</w:t>
                  </w:r>
                </w:p>
              </w:tc>
              <w:tc>
                <w:tcPr>
                  <w:tcW w:w="341" w:type="pct"/>
                  <w:vAlign w:val="center"/>
                </w:tcPr>
                <w:p w14:paraId="284E09D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1A783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5297CCD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1,1,2-三氯乙烷</w:t>
                  </w:r>
                </w:p>
              </w:tc>
              <w:tc>
                <w:tcPr>
                  <w:tcW w:w="412" w:type="pct"/>
                  <w:vAlign w:val="center"/>
                </w:tcPr>
                <w:p w14:paraId="6AAA64F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74884B5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261AC5D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CA1CCC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4EA580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8F2B68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879588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5A1B764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6B394469">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2.8</w:t>
                  </w:r>
                </w:p>
              </w:tc>
              <w:tc>
                <w:tcPr>
                  <w:tcW w:w="341" w:type="pct"/>
                  <w:vAlign w:val="center"/>
                </w:tcPr>
                <w:p w14:paraId="616A7BB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0E9CE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45B93C4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三氯乙烯</w:t>
                  </w:r>
                </w:p>
              </w:tc>
              <w:tc>
                <w:tcPr>
                  <w:tcW w:w="412" w:type="pct"/>
                  <w:vAlign w:val="center"/>
                </w:tcPr>
                <w:p w14:paraId="0FEB215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509867F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55B68FA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02A064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485DF1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874564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1C26E0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339127A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0BFAE1B8">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2.8</w:t>
                  </w:r>
                </w:p>
              </w:tc>
              <w:tc>
                <w:tcPr>
                  <w:tcW w:w="341" w:type="pct"/>
                  <w:vAlign w:val="center"/>
                </w:tcPr>
                <w:p w14:paraId="551EFC8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14521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1708340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1,2,3-二氯丙烷</w:t>
                  </w:r>
                </w:p>
              </w:tc>
              <w:tc>
                <w:tcPr>
                  <w:tcW w:w="412" w:type="pct"/>
                  <w:vAlign w:val="center"/>
                </w:tcPr>
                <w:p w14:paraId="7F1854B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3684312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2B04229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71572E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408940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F16A91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4F9752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0B82052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1BACB458">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0.5</w:t>
                  </w:r>
                </w:p>
              </w:tc>
              <w:tc>
                <w:tcPr>
                  <w:tcW w:w="341" w:type="pct"/>
                  <w:vAlign w:val="center"/>
                </w:tcPr>
                <w:p w14:paraId="25E58B6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39AFB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141C277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氯乙烯</w:t>
                  </w:r>
                </w:p>
              </w:tc>
              <w:tc>
                <w:tcPr>
                  <w:tcW w:w="412" w:type="pct"/>
                  <w:vAlign w:val="center"/>
                </w:tcPr>
                <w:p w14:paraId="75B52B4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562899B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1377984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25C01F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568D9A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D576D4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1CBDD1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353999F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786DE25A">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0.43</w:t>
                  </w:r>
                </w:p>
              </w:tc>
              <w:tc>
                <w:tcPr>
                  <w:tcW w:w="341" w:type="pct"/>
                  <w:vAlign w:val="center"/>
                </w:tcPr>
                <w:p w14:paraId="70A5B63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28936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1153171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苯</w:t>
                  </w:r>
                </w:p>
              </w:tc>
              <w:tc>
                <w:tcPr>
                  <w:tcW w:w="412" w:type="pct"/>
                  <w:vAlign w:val="center"/>
                </w:tcPr>
                <w:p w14:paraId="5AC32A1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1A784D1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48ED8E3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F066E1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02CF3B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63E459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438266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1B67994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31733C5C">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4</w:t>
                  </w:r>
                </w:p>
              </w:tc>
              <w:tc>
                <w:tcPr>
                  <w:tcW w:w="341" w:type="pct"/>
                  <w:vAlign w:val="center"/>
                </w:tcPr>
                <w:p w14:paraId="3EF56A1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3E55B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4F6DDAE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氯苯</w:t>
                  </w:r>
                </w:p>
              </w:tc>
              <w:tc>
                <w:tcPr>
                  <w:tcW w:w="412" w:type="pct"/>
                  <w:vAlign w:val="center"/>
                </w:tcPr>
                <w:p w14:paraId="51495CF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26C456C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219E79F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DE638F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F983F9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0ED603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3B7D86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7AD24A0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494974F3">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270</w:t>
                  </w:r>
                </w:p>
              </w:tc>
              <w:tc>
                <w:tcPr>
                  <w:tcW w:w="341" w:type="pct"/>
                  <w:vAlign w:val="center"/>
                </w:tcPr>
                <w:p w14:paraId="770EF99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6F90B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257B8CD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1,2-二氯苯</w:t>
                  </w:r>
                </w:p>
              </w:tc>
              <w:tc>
                <w:tcPr>
                  <w:tcW w:w="412" w:type="pct"/>
                  <w:vAlign w:val="center"/>
                </w:tcPr>
                <w:p w14:paraId="22B0815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40321A9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1DA73E2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441EA4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2BD27F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ADFA20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EC90BC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6F4DCA9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5D199F9B">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560</w:t>
                  </w:r>
                </w:p>
              </w:tc>
              <w:tc>
                <w:tcPr>
                  <w:tcW w:w="341" w:type="pct"/>
                  <w:vAlign w:val="center"/>
                </w:tcPr>
                <w:p w14:paraId="20BC7E4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257ED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30305A1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1,4-二氯苯</w:t>
                  </w:r>
                </w:p>
              </w:tc>
              <w:tc>
                <w:tcPr>
                  <w:tcW w:w="412" w:type="pct"/>
                  <w:vAlign w:val="center"/>
                </w:tcPr>
                <w:p w14:paraId="28DBE7D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0631347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46E4D97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69704B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218536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0C1DF0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D260EC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252722C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4C5F8C18">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20</w:t>
                  </w:r>
                </w:p>
              </w:tc>
              <w:tc>
                <w:tcPr>
                  <w:tcW w:w="341" w:type="pct"/>
                  <w:vAlign w:val="center"/>
                </w:tcPr>
                <w:p w14:paraId="1F36354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694C5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3F7DC2A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乙苯</w:t>
                  </w:r>
                </w:p>
              </w:tc>
              <w:tc>
                <w:tcPr>
                  <w:tcW w:w="412" w:type="pct"/>
                  <w:vAlign w:val="center"/>
                </w:tcPr>
                <w:p w14:paraId="67C622A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79AD2D2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653A8D8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DBF7D9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9DDC3B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1731E1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DF2E2E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2C9D0E0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2B230E0F">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28</w:t>
                  </w:r>
                </w:p>
              </w:tc>
              <w:tc>
                <w:tcPr>
                  <w:tcW w:w="341" w:type="pct"/>
                  <w:vAlign w:val="center"/>
                </w:tcPr>
                <w:p w14:paraId="69BBFC3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28054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56C97AC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苯乙烯</w:t>
                  </w:r>
                </w:p>
              </w:tc>
              <w:tc>
                <w:tcPr>
                  <w:tcW w:w="412" w:type="pct"/>
                  <w:vAlign w:val="center"/>
                </w:tcPr>
                <w:p w14:paraId="24579C3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42E06F1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694A640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1AA48F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6F0509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B5809B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DF7F35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09BF3EB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4A21A9C2">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1290</w:t>
                  </w:r>
                </w:p>
              </w:tc>
              <w:tc>
                <w:tcPr>
                  <w:tcW w:w="341" w:type="pct"/>
                  <w:vAlign w:val="center"/>
                </w:tcPr>
                <w:p w14:paraId="5C8956E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457CD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07B7A04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甲苯</w:t>
                  </w:r>
                </w:p>
              </w:tc>
              <w:tc>
                <w:tcPr>
                  <w:tcW w:w="412" w:type="pct"/>
                  <w:vAlign w:val="center"/>
                </w:tcPr>
                <w:p w14:paraId="0969AB6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10BB853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0842D64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D51903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DFD171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821FAE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8741A8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44D6600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5F7F1131">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1200</w:t>
                  </w:r>
                </w:p>
              </w:tc>
              <w:tc>
                <w:tcPr>
                  <w:tcW w:w="341" w:type="pct"/>
                  <w:vAlign w:val="center"/>
                </w:tcPr>
                <w:p w14:paraId="7FC9990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542E4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5824A70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间二甲苯+对二甲苯</w:t>
                  </w:r>
                </w:p>
              </w:tc>
              <w:tc>
                <w:tcPr>
                  <w:tcW w:w="412" w:type="pct"/>
                  <w:vAlign w:val="center"/>
                </w:tcPr>
                <w:p w14:paraId="01EA029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7228BF5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55F15B9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ACF5F5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7A055B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6EFFC4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7BF6CD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3B1D7A4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5D324292">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570</w:t>
                  </w:r>
                </w:p>
              </w:tc>
              <w:tc>
                <w:tcPr>
                  <w:tcW w:w="341" w:type="pct"/>
                  <w:vAlign w:val="center"/>
                </w:tcPr>
                <w:p w14:paraId="0E16F66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39EB4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0C01CBE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邻二甲苯</w:t>
                  </w:r>
                </w:p>
              </w:tc>
              <w:tc>
                <w:tcPr>
                  <w:tcW w:w="412" w:type="pct"/>
                  <w:vAlign w:val="center"/>
                </w:tcPr>
                <w:p w14:paraId="576F1D7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1AB1FA3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757C83A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D67873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671C84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3CB23E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BBAF00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243CD97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7E29B43B">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640</w:t>
                  </w:r>
                </w:p>
              </w:tc>
              <w:tc>
                <w:tcPr>
                  <w:tcW w:w="341" w:type="pct"/>
                  <w:vAlign w:val="center"/>
                </w:tcPr>
                <w:p w14:paraId="40BBC9C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1AA87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0C966D5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硝基苯</w:t>
                  </w:r>
                </w:p>
              </w:tc>
              <w:tc>
                <w:tcPr>
                  <w:tcW w:w="412" w:type="pct"/>
                  <w:vAlign w:val="center"/>
                </w:tcPr>
                <w:p w14:paraId="3FE14FC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7CB27B4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6DDD589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BDED69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98E60C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0A83CB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8B9DE2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1BD92BF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7076D1E8">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76</w:t>
                  </w:r>
                </w:p>
              </w:tc>
              <w:tc>
                <w:tcPr>
                  <w:tcW w:w="341" w:type="pct"/>
                  <w:vAlign w:val="center"/>
                </w:tcPr>
                <w:p w14:paraId="492030C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693F6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13B4816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苯胺</w:t>
                  </w:r>
                </w:p>
              </w:tc>
              <w:tc>
                <w:tcPr>
                  <w:tcW w:w="412" w:type="pct"/>
                  <w:vAlign w:val="center"/>
                </w:tcPr>
                <w:p w14:paraId="6B17595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35C38A4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2219976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0D918A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97FB4C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3C6FB6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7B3E0C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174204C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701E6BF7">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260</w:t>
                  </w:r>
                </w:p>
              </w:tc>
              <w:tc>
                <w:tcPr>
                  <w:tcW w:w="341" w:type="pct"/>
                  <w:vAlign w:val="center"/>
                </w:tcPr>
                <w:p w14:paraId="11B4955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5B457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26CF0CB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2-氯酚</w:t>
                  </w:r>
                </w:p>
              </w:tc>
              <w:tc>
                <w:tcPr>
                  <w:tcW w:w="412" w:type="pct"/>
                  <w:vAlign w:val="center"/>
                </w:tcPr>
                <w:p w14:paraId="01FE780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4116BC3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6CE1C39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398467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48E278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323DA4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5A3DB5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43F25A4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7051796B">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2256</w:t>
                  </w:r>
                </w:p>
              </w:tc>
              <w:tc>
                <w:tcPr>
                  <w:tcW w:w="341" w:type="pct"/>
                  <w:vAlign w:val="center"/>
                </w:tcPr>
                <w:p w14:paraId="7BAF23C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266DF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12E9C92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苯并〔a〕蒽</w:t>
                  </w:r>
                </w:p>
              </w:tc>
              <w:tc>
                <w:tcPr>
                  <w:tcW w:w="412" w:type="pct"/>
                  <w:vAlign w:val="center"/>
                </w:tcPr>
                <w:p w14:paraId="4EE1523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27DCD91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26B436A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048DA0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8E66FA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766630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6D9617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3236794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38DBE2AF">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15</w:t>
                  </w:r>
                </w:p>
              </w:tc>
              <w:tc>
                <w:tcPr>
                  <w:tcW w:w="341" w:type="pct"/>
                  <w:vAlign w:val="center"/>
                </w:tcPr>
                <w:p w14:paraId="4EB22F8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4D993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6C9E105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苯并〔a〕芘</w:t>
                  </w:r>
                </w:p>
              </w:tc>
              <w:tc>
                <w:tcPr>
                  <w:tcW w:w="412" w:type="pct"/>
                  <w:vAlign w:val="center"/>
                </w:tcPr>
                <w:p w14:paraId="76A4B72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3DF7938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49D9CDD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37F4FB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1CC999C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BE0F5E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F5900C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67F307C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1DC04DCE">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1.5</w:t>
                  </w:r>
                </w:p>
              </w:tc>
              <w:tc>
                <w:tcPr>
                  <w:tcW w:w="341" w:type="pct"/>
                  <w:vAlign w:val="center"/>
                </w:tcPr>
                <w:p w14:paraId="56D951E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6E7B5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658EE6B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苯并〔b〕荧蒽</w:t>
                  </w:r>
                </w:p>
              </w:tc>
              <w:tc>
                <w:tcPr>
                  <w:tcW w:w="412" w:type="pct"/>
                  <w:vAlign w:val="center"/>
                </w:tcPr>
                <w:p w14:paraId="1C08E20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1B6B630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7E3EF14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F2C09A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97B5F4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59DB21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9A7D0F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29622A6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7DBE3778">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15</w:t>
                  </w:r>
                </w:p>
              </w:tc>
              <w:tc>
                <w:tcPr>
                  <w:tcW w:w="341" w:type="pct"/>
                  <w:vAlign w:val="center"/>
                </w:tcPr>
                <w:p w14:paraId="08F88EC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699AE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426B1D0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苯并〔k〕荧蒽</w:t>
                  </w:r>
                </w:p>
              </w:tc>
              <w:tc>
                <w:tcPr>
                  <w:tcW w:w="412" w:type="pct"/>
                  <w:vAlign w:val="center"/>
                </w:tcPr>
                <w:p w14:paraId="025F9A4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10EE55A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76EACDB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3CAE1A9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3D804A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5131DAA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6F5074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0AE8912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144A511B">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151</w:t>
                  </w:r>
                </w:p>
              </w:tc>
              <w:tc>
                <w:tcPr>
                  <w:tcW w:w="341" w:type="pct"/>
                  <w:vAlign w:val="center"/>
                </w:tcPr>
                <w:p w14:paraId="6DD1596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11C1F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547B53A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窟</w:t>
                  </w:r>
                </w:p>
              </w:tc>
              <w:tc>
                <w:tcPr>
                  <w:tcW w:w="412" w:type="pct"/>
                  <w:vAlign w:val="center"/>
                </w:tcPr>
                <w:p w14:paraId="09B4EC5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261A818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5D51621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27F9C7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7A6B47A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AA97E7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6087483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2A1833A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3639FDC7">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1293</w:t>
                  </w:r>
                </w:p>
              </w:tc>
              <w:tc>
                <w:tcPr>
                  <w:tcW w:w="341" w:type="pct"/>
                  <w:vAlign w:val="center"/>
                </w:tcPr>
                <w:p w14:paraId="20744FD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7E037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2936026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二苯并〔a,h〕蒽</w:t>
                  </w:r>
                </w:p>
              </w:tc>
              <w:tc>
                <w:tcPr>
                  <w:tcW w:w="412" w:type="pct"/>
                  <w:vAlign w:val="center"/>
                </w:tcPr>
                <w:p w14:paraId="55B33A3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4A68915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53F38253">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7E9F3B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C173E9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0FDBCA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495CE6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6FAF4462">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782DC1EC">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1.5</w:t>
                  </w:r>
                </w:p>
              </w:tc>
              <w:tc>
                <w:tcPr>
                  <w:tcW w:w="341" w:type="pct"/>
                  <w:vAlign w:val="center"/>
                </w:tcPr>
                <w:p w14:paraId="6B3DBA7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4E037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0589DAA9">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茚并〔1,2,3-cd〕芘</w:t>
                  </w:r>
                </w:p>
              </w:tc>
              <w:tc>
                <w:tcPr>
                  <w:tcW w:w="412" w:type="pct"/>
                  <w:vAlign w:val="center"/>
                </w:tcPr>
                <w:p w14:paraId="3A8C642E">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4F08F89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4E41940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31FA3B4">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F41C49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BB78A9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B12481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49BC2D7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6A71F35D">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15</w:t>
                  </w:r>
                </w:p>
              </w:tc>
              <w:tc>
                <w:tcPr>
                  <w:tcW w:w="341" w:type="pct"/>
                  <w:vAlign w:val="center"/>
                </w:tcPr>
                <w:p w14:paraId="5F4AA610">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14:paraId="699E3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63" w:type="pct"/>
                  <w:tcMar>
                    <w:left w:w="57" w:type="dxa"/>
                    <w:right w:w="57" w:type="dxa"/>
                  </w:tcMar>
                  <w:vAlign w:val="center"/>
                </w:tcPr>
                <w:p w14:paraId="0BFA94F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萘</w:t>
                  </w:r>
                </w:p>
              </w:tc>
              <w:tc>
                <w:tcPr>
                  <w:tcW w:w="412" w:type="pct"/>
                  <w:vAlign w:val="center"/>
                </w:tcPr>
                <w:p w14:paraId="5D492D9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53" w:type="pct"/>
                  <w:vAlign w:val="center"/>
                </w:tcPr>
                <w:p w14:paraId="053774FA">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372" w:type="pct"/>
                  <w:vAlign w:val="center"/>
                </w:tcPr>
                <w:p w14:paraId="106DA07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95D2C1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41D6D43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2501DBBB">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2" w:type="pct"/>
                  <w:vAlign w:val="center"/>
                </w:tcPr>
                <w:p w14:paraId="06CD7508">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15" w:type="pct"/>
                  <w:vAlign w:val="center"/>
                </w:tcPr>
                <w:p w14:paraId="7A624D1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89" w:type="pct"/>
                  <w:vAlign w:val="center"/>
                </w:tcPr>
                <w:p w14:paraId="189CAD19">
                  <w:pPr>
                    <w:widowControl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70</w:t>
                  </w:r>
                </w:p>
              </w:tc>
              <w:tc>
                <w:tcPr>
                  <w:tcW w:w="341" w:type="pct"/>
                  <w:vAlign w:val="center"/>
                </w:tcPr>
                <w:p w14:paraId="01E5DAFC">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bl>
          <w:p w14:paraId="02FAF9C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注：</w:t>
            </w:r>
            <w:r>
              <w:rPr>
                <w:rFonts w:hint="default" w:ascii="Times New Roman" w:hAnsi="Times New Roman" w:cs="Times New Roman"/>
                <w:color w:val="auto"/>
                <w:kern w:val="0"/>
                <w:sz w:val="21"/>
                <w:szCs w:val="21"/>
                <w:highlight w:val="none"/>
                <w:lang w:val="en-US" w:eastAsia="zh-CN" w:bidi="ar-SA"/>
              </w:rPr>
              <w:t>ND表示未检出</w:t>
            </w:r>
            <w:r>
              <w:rPr>
                <w:rFonts w:hint="default" w:ascii="Times New Roman" w:hAnsi="Times New Roman" w:eastAsia="宋体" w:cs="Times New Roman"/>
                <w:color w:val="auto"/>
                <w:kern w:val="0"/>
                <w:sz w:val="21"/>
                <w:szCs w:val="21"/>
                <w:highlight w:val="none"/>
                <w:lang w:val="en-US" w:eastAsia="zh-CN" w:bidi="ar-SA"/>
              </w:rPr>
              <w:t>。</w:t>
            </w:r>
          </w:p>
          <w:p w14:paraId="65A8A8E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bCs/>
                <w:color w:val="auto"/>
                <w:kern w:val="2"/>
                <w:sz w:val="21"/>
                <w:szCs w:val="21"/>
                <w:highlight w:val="none"/>
                <w:lang w:val="en-US" w:eastAsia="zh-CN" w:bidi="ar-SA"/>
              </w:rPr>
              <w:t>监测结果表明，本次调查地块土壤中各监测指标均能满足《土壤环境质量建设用地土壤污染风险管控标准》（GB36600-2018）“第二类用地”筛选值的要求，建设项目所在地土壤环境质量总体良好。</w:t>
            </w:r>
          </w:p>
          <w:p w14:paraId="0AF512BC">
            <w:pPr>
              <w:pStyle w:val="110"/>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color w:val="auto"/>
                <w:sz w:val="21"/>
                <w:szCs w:val="21"/>
                <w:highlight w:val="yellow"/>
              </w:rPr>
            </w:pPr>
            <w:r>
              <w:rPr>
                <w:rFonts w:hint="eastAsia"/>
                <w:color w:val="auto"/>
                <w:sz w:val="21"/>
                <w:szCs w:val="21"/>
                <w:highlight w:val="none"/>
              </w:rPr>
              <w:t>表</w:t>
            </w:r>
            <w:r>
              <w:rPr>
                <w:color w:val="auto"/>
                <w:sz w:val="21"/>
                <w:szCs w:val="21"/>
                <w:highlight w:val="none"/>
              </w:rPr>
              <w:t>3-</w:t>
            </w:r>
            <w:r>
              <w:rPr>
                <w:rFonts w:hint="eastAsia"/>
                <w:color w:val="auto"/>
                <w:sz w:val="21"/>
                <w:szCs w:val="21"/>
                <w:highlight w:val="none"/>
                <w:lang w:val="en-US" w:eastAsia="zh-CN"/>
              </w:rPr>
              <w:t>3</w:t>
            </w:r>
            <w:r>
              <w:rPr>
                <w:rFonts w:hint="eastAsia"/>
                <w:color w:val="auto"/>
                <w:sz w:val="21"/>
                <w:szCs w:val="21"/>
                <w:highlight w:val="none"/>
              </w:rPr>
              <w:t xml:space="preserve">  地下水水质监测结果</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1080"/>
              <w:gridCol w:w="1245"/>
              <w:gridCol w:w="1245"/>
              <w:gridCol w:w="1245"/>
              <w:gridCol w:w="1248"/>
            </w:tblGrid>
            <w:tr w14:paraId="10059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pct"/>
                  <w:gridSpan w:val="2"/>
                  <w:vAlign w:val="center"/>
                </w:tcPr>
                <w:p w14:paraId="6E05E2D1">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项目</w:t>
                  </w:r>
                </w:p>
              </w:tc>
              <w:tc>
                <w:tcPr>
                  <w:tcW w:w="3124" w:type="pct"/>
                  <w:gridSpan w:val="4"/>
                  <w:tcMar>
                    <w:left w:w="11" w:type="dxa"/>
                    <w:right w:w="11" w:type="dxa"/>
                  </w:tcMar>
                  <w:vAlign w:val="center"/>
                </w:tcPr>
                <w:p w14:paraId="6B37B9AC">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监测点位</w:t>
                  </w:r>
                </w:p>
              </w:tc>
            </w:tr>
            <w:tr w14:paraId="0E7D4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tcMar>
                    <w:left w:w="57" w:type="dxa"/>
                    <w:right w:w="57" w:type="dxa"/>
                  </w:tcMar>
                  <w:vAlign w:val="center"/>
                </w:tcPr>
                <w:p w14:paraId="089B06BE">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污染物名称</w:t>
                  </w:r>
                </w:p>
              </w:tc>
              <w:tc>
                <w:tcPr>
                  <w:tcW w:w="677" w:type="pct"/>
                  <w:vAlign w:val="center"/>
                </w:tcPr>
                <w:p w14:paraId="7C40A703">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评价项目</w:t>
                  </w:r>
                </w:p>
              </w:tc>
              <w:tc>
                <w:tcPr>
                  <w:tcW w:w="780" w:type="pct"/>
                  <w:vAlign w:val="center"/>
                </w:tcPr>
                <w:p w14:paraId="549258A9">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GW</w:t>
                  </w:r>
                  <w:r>
                    <w:rPr>
                      <w:rFonts w:hint="default" w:ascii="Times New Roman" w:hAnsi="Times New Roman" w:eastAsia="宋体" w:cs="Times New Roman"/>
                      <w:b/>
                      <w:bCs/>
                      <w:color w:val="auto"/>
                      <w:kern w:val="2"/>
                      <w:sz w:val="21"/>
                      <w:szCs w:val="21"/>
                      <w:highlight w:val="none"/>
                      <w:lang w:val="en-US" w:eastAsia="zh-CN" w:bidi="ar-SA"/>
                    </w:rPr>
                    <w:t>1</w:t>
                  </w:r>
                  <w:r>
                    <w:rPr>
                      <w:rFonts w:hint="eastAsia" w:ascii="Times New Roman" w:hAnsi="Times New Roman" w:eastAsia="宋体" w:cs="Times New Roman"/>
                      <w:b/>
                      <w:bCs/>
                      <w:color w:val="auto"/>
                      <w:kern w:val="2"/>
                      <w:sz w:val="21"/>
                      <w:szCs w:val="21"/>
                      <w:highlight w:val="none"/>
                      <w:lang w:val="en-US" w:eastAsia="zh-CN" w:bidi="ar-SA"/>
                    </w:rPr>
                    <w:t>地下水对照点</w:t>
                  </w:r>
                </w:p>
              </w:tc>
              <w:tc>
                <w:tcPr>
                  <w:tcW w:w="780" w:type="pct"/>
                  <w:vAlign w:val="center"/>
                </w:tcPr>
                <w:p w14:paraId="52E027A9">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GW2危废库旁</w:t>
                  </w:r>
                </w:p>
              </w:tc>
              <w:tc>
                <w:tcPr>
                  <w:tcW w:w="780" w:type="pct"/>
                  <w:vAlign w:val="center"/>
                </w:tcPr>
                <w:p w14:paraId="48EFC7DF">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GW3酸储罐</w:t>
                  </w:r>
                </w:p>
              </w:tc>
              <w:tc>
                <w:tcPr>
                  <w:tcW w:w="782" w:type="pct"/>
                  <w:vAlign w:val="center"/>
                </w:tcPr>
                <w:p w14:paraId="4D29F689">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GW4污水处理站旁</w:t>
                  </w:r>
                </w:p>
              </w:tc>
            </w:tr>
            <w:tr w14:paraId="2B2A8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206DFC7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pH</w:t>
                  </w:r>
                  <w:r>
                    <w:rPr>
                      <w:rFonts w:hint="eastAsia" w:cs="Times New Roman"/>
                      <w:color w:val="auto"/>
                      <w:kern w:val="2"/>
                      <w:sz w:val="21"/>
                      <w:szCs w:val="21"/>
                      <w:highlight w:val="none"/>
                      <w:lang w:val="en-US" w:eastAsia="zh-CN" w:bidi="ar-SA"/>
                    </w:rPr>
                    <w:t>（无量纲）</w:t>
                  </w:r>
                </w:p>
              </w:tc>
              <w:tc>
                <w:tcPr>
                  <w:tcW w:w="677" w:type="pct"/>
                  <w:vAlign w:val="center"/>
                </w:tcPr>
                <w:p w14:paraId="25A3595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4F632DA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6.9</w:t>
                  </w:r>
                </w:p>
              </w:tc>
              <w:tc>
                <w:tcPr>
                  <w:tcW w:w="780" w:type="pct"/>
                  <w:vAlign w:val="center"/>
                </w:tcPr>
                <w:p w14:paraId="12E8222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6.6</w:t>
                  </w:r>
                </w:p>
              </w:tc>
              <w:tc>
                <w:tcPr>
                  <w:tcW w:w="780" w:type="pct"/>
                  <w:vAlign w:val="center"/>
                </w:tcPr>
                <w:p w14:paraId="40C4C2F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c>
                <w:tcPr>
                  <w:tcW w:w="782" w:type="pct"/>
                  <w:vAlign w:val="center"/>
                </w:tcPr>
                <w:p w14:paraId="32773BE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6.8</w:t>
                  </w:r>
                </w:p>
              </w:tc>
            </w:tr>
            <w:tr w14:paraId="1643C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138DB6DD">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69AE093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4705BD3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Ⅰ类</w:t>
                  </w:r>
                </w:p>
              </w:tc>
              <w:tc>
                <w:tcPr>
                  <w:tcW w:w="780" w:type="pct"/>
                  <w:vAlign w:val="center"/>
                </w:tcPr>
                <w:p w14:paraId="19D8BCB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Ⅰ类</w:t>
                  </w:r>
                </w:p>
              </w:tc>
              <w:tc>
                <w:tcPr>
                  <w:tcW w:w="780" w:type="pct"/>
                  <w:vAlign w:val="center"/>
                </w:tcPr>
                <w:p w14:paraId="6E1B963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Ⅰ类</w:t>
                  </w:r>
                </w:p>
              </w:tc>
              <w:tc>
                <w:tcPr>
                  <w:tcW w:w="782" w:type="pct"/>
                  <w:vAlign w:val="center"/>
                </w:tcPr>
                <w:p w14:paraId="1E8BB65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Ⅰ类</w:t>
                  </w:r>
                </w:p>
              </w:tc>
            </w:tr>
            <w:tr w14:paraId="7B798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1333217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色度/</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度</w:t>
                  </w:r>
                  <w:r>
                    <w:rPr>
                      <w:rFonts w:hint="default" w:ascii="Times New Roman" w:hAnsi="Times New Roman" w:eastAsia="宋体" w:cs="Times New Roman"/>
                      <w:color w:val="auto"/>
                      <w:kern w:val="2"/>
                      <w:sz w:val="21"/>
                      <w:szCs w:val="21"/>
                      <w:highlight w:val="none"/>
                      <w:lang w:val="en-US" w:eastAsia="zh-CN" w:bidi="ar-SA"/>
                    </w:rPr>
                    <w:t>)</w:t>
                  </w:r>
                </w:p>
              </w:tc>
              <w:tc>
                <w:tcPr>
                  <w:tcW w:w="677" w:type="pct"/>
                  <w:vAlign w:val="center"/>
                </w:tcPr>
                <w:p w14:paraId="7C6465E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603B801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780" w:type="pct"/>
                  <w:vAlign w:val="center"/>
                </w:tcPr>
                <w:p w14:paraId="3CDFF3E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780" w:type="pct"/>
                  <w:vAlign w:val="center"/>
                </w:tcPr>
                <w:p w14:paraId="31F7990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782" w:type="pct"/>
                  <w:vAlign w:val="center"/>
                </w:tcPr>
                <w:p w14:paraId="6C123AB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r>
            <w:tr w14:paraId="2E7EA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1826CFCF">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23FF6BD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679A69F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4F9BD84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56738EF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2" w:type="pct"/>
                  <w:vAlign w:val="center"/>
                </w:tcPr>
                <w:p w14:paraId="76623E2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r>
            <w:tr w14:paraId="5634D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18A8C4A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水温</w:t>
                  </w:r>
                </w:p>
              </w:tc>
              <w:tc>
                <w:tcPr>
                  <w:tcW w:w="677" w:type="pct"/>
                  <w:vAlign w:val="center"/>
                </w:tcPr>
                <w:p w14:paraId="3EDBCE1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7D18E77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13.2</w:t>
                  </w:r>
                </w:p>
              </w:tc>
              <w:tc>
                <w:tcPr>
                  <w:tcW w:w="780" w:type="pct"/>
                  <w:vAlign w:val="center"/>
                </w:tcPr>
                <w:p w14:paraId="41A7B88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13.2</w:t>
                  </w:r>
                </w:p>
              </w:tc>
              <w:tc>
                <w:tcPr>
                  <w:tcW w:w="780" w:type="pct"/>
                  <w:vAlign w:val="center"/>
                </w:tcPr>
                <w:p w14:paraId="3461B9D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13.0</w:t>
                  </w:r>
                </w:p>
              </w:tc>
              <w:tc>
                <w:tcPr>
                  <w:tcW w:w="782" w:type="pct"/>
                  <w:vAlign w:val="center"/>
                </w:tcPr>
                <w:p w14:paraId="004D9A8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12.6</w:t>
                  </w:r>
                </w:p>
              </w:tc>
            </w:tr>
            <w:tr w14:paraId="4538A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30082CC6">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19D2484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288B261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0" w:type="pct"/>
                  <w:vAlign w:val="center"/>
                </w:tcPr>
                <w:p w14:paraId="1CA5F6D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0" w:type="pct"/>
                  <w:vAlign w:val="center"/>
                </w:tcPr>
                <w:p w14:paraId="215FF6B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2" w:type="pct"/>
                  <w:vAlign w:val="center"/>
                </w:tcPr>
                <w:p w14:paraId="024C36E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0E455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17BDB34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钙和镁总量</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65726A8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718A492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414</w:t>
                  </w:r>
                </w:p>
              </w:tc>
              <w:tc>
                <w:tcPr>
                  <w:tcW w:w="780" w:type="pct"/>
                  <w:vAlign w:val="center"/>
                </w:tcPr>
                <w:p w14:paraId="0B65AD0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644</w:t>
                  </w:r>
                </w:p>
              </w:tc>
              <w:tc>
                <w:tcPr>
                  <w:tcW w:w="780" w:type="pct"/>
                  <w:vAlign w:val="center"/>
                </w:tcPr>
                <w:p w14:paraId="3318090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196</w:t>
                  </w:r>
                </w:p>
              </w:tc>
              <w:tc>
                <w:tcPr>
                  <w:tcW w:w="782" w:type="pct"/>
                  <w:vAlign w:val="center"/>
                </w:tcPr>
                <w:p w14:paraId="423DF72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203</w:t>
                  </w:r>
                </w:p>
              </w:tc>
            </w:tr>
            <w:tr w14:paraId="13695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0827B4DD">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1F432FE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44106DE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0" w:type="pct"/>
                  <w:vAlign w:val="center"/>
                </w:tcPr>
                <w:p w14:paraId="20E00B7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0" w:type="pct"/>
                  <w:vAlign w:val="center"/>
                </w:tcPr>
                <w:p w14:paraId="19F1C05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2" w:type="pct"/>
                  <w:vAlign w:val="center"/>
                </w:tcPr>
                <w:p w14:paraId="75AA36B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1837A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795C561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溶解性总固体</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4E62CE5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14F2218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850</w:t>
                  </w:r>
                </w:p>
              </w:tc>
              <w:tc>
                <w:tcPr>
                  <w:tcW w:w="780" w:type="pct"/>
                  <w:vAlign w:val="center"/>
                </w:tcPr>
                <w:p w14:paraId="75202A6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845</w:t>
                  </w:r>
                </w:p>
              </w:tc>
              <w:tc>
                <w:tcPr>
                  <w:tcW w:w="780" w:type="pct"/>
                  <w:vAlign w:val="center"/>
                </w:tcPr>
                <w:p w14:paraId="253577A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645</w:t>
                  </w:r>
                </w:p>
              </w:tc>
              <w:tc>
                <w:tcPr>
                  <w:tcW w:w="782" w:type="pct"/>
                  <w:vAlign w:val="center"/>
                </w:tcPr>
                <w:p w14:paraId="71E9658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560</w:t>
                  </w:r>
                </w:p>
              </w:tc>
            </w:tr>
            <w:tr w14:paraId="3751D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31115EF5">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4CF0B2D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4D9516C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449A066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0E93A5B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2" w:type="pct"/>
                  <w:vAlign w:val="center"/>
                </w:tcPr>
                <w:p w14:paraId="11F3855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r>
            <w:tr w14:paraId="76894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98" w:type="pct"/>
                  <w:vMerge w:val="restart"/>
                  <w:tcMar>
                    <w:left w:w="57" w:type="dxa"/>
                    <w:right w:w="57" w:type="dxa"/>
                  </w:tcMar>
                  <w:vAlign w:val="center"/>
                </w:tcPr>
                <w:p w14:paraId="0D7411F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硫酸盐</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6E87640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34ADDD8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w:t>
                  </w:r>
                </w:p>
              </w:tc>
              <w:tc>
                <w:tcPr>
                  <w:tcW w:w="780" w:type="pct"/>
                  <w:vAlign w:val="center"/>
                </w:tcPr>
                <w:p w14:paraId="1E15AB3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248</w:t>
                  </w:r>
                </w:p>
              </w:tc>
              <w:tc>
                <w:tcPr>
                  <w:tcW w:w="780" w:type="pct"/>
                  <w:vAlign w:val="center"/>
                </w:tcPr>
                <w:p w14:paraId="4EE36BC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w:t>
                  </w:r>
                </w:p>
              </w:tc>
              <w:tc>
                <w:tcPr>
                  <w:tcW w:w="782" w:type="pct"/>
                  <w:vAlign w:val="center"/>
                </w:tcPr>
                <w:p w14:paraId="64CF7FA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r>
            <w:tr w14:paraId="71189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4C5506FD">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53D8C5D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15E7278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0" w:type="pct"/>
                  <w:vAlign w:val="center"/>
                </w:tcPr>
                <w:p w14:paraId="480FD0C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7E5F9CB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c>
                <w:tcPr>
                  <w:tcW w:w="782" w:type="pct"/>
                  <w:vAlign w:val="center"/>
                </w:tcPr>
                <w:p w14:paraId="16968E9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r>
            <w:tr w14:paraId="50B5A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3313939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氯化物</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418132D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2062629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118</w:t>
                  </w:r>
                </w:p>
              </w:tc>
              <w:tc>
                <w:tcPr>
                  <w:tcW w:w="780" w:type="pct"/>
                  <w:vAlign w:val="center"/>
                </w:tcPr>
                <w:p w14:paraId="5FCCEB9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107</w:t>
                  </w:r>
                </w:p>
              </w:tc>
              <w:tc>
                <w:tcPr>
                  <w:tcW w:w="780" w:type="pct"/>
                  <w:vAlign w:val="center"/>
                </w:tcPr>
                <w:p w14:paraId="7F77AF2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782" w:type="pct"/>
                  <w:vAlign w:val="center"/>
                </w:tcPr>
                <w:p w14:paraId="0E4F032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r>
            <w:tr w14:paraId="110D9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451951F9">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6BCC0F1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2EA8680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0" w:type="pct"/>
                  <w:vAlign w:val="center"/>
                </w:tcPr>
                <w:p w14:paraId="153B3B5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1245" w:type="dxa"/>
                  <w:vAlign w:val="center"/>
                </w:tcPr>
                <w:p w14:paraId="00B6E27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c>
                <w:tcPr>
                  <w:tcW w:w="1248" w:type="dxa"/>
                  <w:vAlign w:val="center"/>
                </w:tcPr>
                <w:p w14:paraId="3A82B8A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r>
            <w:tr w14:paraId="40028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24F8121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耗氧量</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7CE826E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14A6D22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780" w:type="pct"/>
                  <w:vAlign w:val="center"/>
                </w:tcPr>
                <w:p w14:paraId="52FACFF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780" w:type="pct"/>
                  <w:vAlign w:val="center"/>
                </w:tcPr>
                <w:p w14:paraId="58D6E38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w:t>
                  </w:r>
                </w:p>
              </w:tc>
              <w:tc>
                <w:tcPr>
                  <w:tcW w:w="782" w:type="pct"/>
                  <w:vAlign w:val="center"/>
                </w:tcPr>
                <w:p w14:paraId="5A516C9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w:t>
                  </w:r>
                </w:p>
              </w:tc>
            </w:tr>
            <w:tr w14:paraId="2EFC2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4CDD5882">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51E0B92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38B3149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c>
                <w:tcPr>
                  <w:tcW w:w="780" w:type="pct"/>
                  <w:vAlign w:val="center"/>
                </w:tcPr>
                <w:p w14:paraId="1FD3C79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71853FB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2" w:type="pct"/>
                  <w:vAlign w:val="center"/>
                </w:tcPr>
                <w:p w14:paraId="192AF92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r>
            <w:tr w14:paraId="36B41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4E954B3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氨氮</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19BC24C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3661A0B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0.643</w:t>
                  </w:r>
                </w:p>
              </w:tc>
              <w:tc>
                <w:tcPr>
                  <w:tcW w:w="780" w:type="pct"/>
                  <w:vAlign w:val="center"/>
                </w:tcPr>
                <w:p w14:paraId="2AF0192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0.682</w:t>
                  </w:r>
                </w:p>
              </w:tc>
              <w:tc>
                <w:tcPr>
                  <w:tcW w:w="780" w:type="pct"/>
                  <w:vAlign w:val="center"/>
                </w:tcPr>
                <w:p w14:paraId="7CD3954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0.712</w:t>
                  </w:r>
                </w:p>
              </w:tc>
              <w:tc>
                <w:tcPr>
                  <w:tcW w:w="782" w:type="pct"/>
                  <w:vAlign w:val="center"/>
                </w:tcPr>
                <w:p w14:paraId="3DC6333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0.680</w:t>
                  </w:r>
                </w:p>
              </w:tc>
            </w:tr>
            <w:tr w14:paraId="0105E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384A20DA">
                  <w:pPr>
                    <w:widowControl w:val="0"/>
                    <w:jc w:val="center"/>
                    <w:rPr>
                      <w:rFonts w:hint="default" w:ascii="Times New Roman" w:hAnsi="Times New Roman" w:eastAsia="宋体" w:cs="Times New Roman"/>
                      <w:color w:val="auto"/>
                      <w:spacing w:val="-6"/>
                      <w:kern w:val="2"/>
                      <w:sz w:val="21"/>
                      <w:szCs w:val="21"/>
                      <w:highlight w:val="none"/>
                      <w:lang w:val="en-US" w:eastAsia="zh-CN" w:bidi="ar-SA"/>
                    </w:rPr>
                  </w:pPr>
                </w:p>
              </w:tc>
              <w:tc>
                <w:tcPr>
                  <w:tcW w:w="677" w:type="pct"/>
                  <w:vAlign w:val="center"/>
                </w:tcPr>
                <w:p w14:paraId="6993A71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458A74E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0937471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48371A3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2" w:type="pct"/>
                  <w:vAlign w:val="center"/>
                </w:tcPr>
                <w:p w14:paraId="0DDB8C9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r>
            <w:tr w14:paraId="1B9FA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569A604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硝酸盐</w:t>
                  </w:r>
                  <w:r>
                    <w:rPr>
                      <w:rFonts w:hint="default" w:ascii="Times New Roman" w:hAnsi="Times New Roman" w:eastAsia="宋体" w:cs="Times New Roman"/>
                      <w:color w:val="auto"/>
                      <w:kern w:val="2"/>
                      <w:sz w:val="21"/>
                      <w:szCs w:val="21"/>
                      <w:highlight w:val="none"/>
                      <w:lang w:val="en-US" w:eastAsia="zh-CN" w:bidi="ar-SA"/>
                    </w:rPr>
                    <w:t>(以N计)/(mg/L)</w:t>
                  </w:r>
                </w:p>
              </w:tc>
              <w:tc>
                <w:tcPr>
                  <w:tcW w:w="677" w:type="pct"/>
                  <w:vAlign w:val="center"/>
                </w:tcPr>
                <w:p w14:paraId="414E197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6ED8D13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0.32</w:t>
                  </w:r>
                </w:p>
              </w:tc>
              <w:tc>
                <w:tcPr>
                  <w:tcW w:w="780" w:type="pct"/>
                  <w:vAlign w:val="center"/>
                </w:tcPr>
                <w:p w14:paraId="35CE91E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4.76</w:t>
                  </w:r>
                </w:p>
              </w:tc>
              <w:tc>
                <w:tcPr>
                  <w:tcW w:w="780" w:type="pct"/>
                  <w:vAlign w:val="center"/>
                </w:tcPr>
                <w:p w14:paraId="23054AB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0.18</w:t>
                  </w:r>
                </w:p>
              </w:tc>
              <w:tc>
                <w:tcPr>
                  <w:tcW w:w="782" w:type="pct"/>
                  <w:vAlign w:val="center"/>
                </w:tcPr>
                <w:p w14:paraId="6D8A49B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w:t>
                  </w:r>
                </w:p>
              </w:tc>
            </w:tr>
            <w:tr w14:paraId="405D4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5B290DC1">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17A94EB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74248FC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c>
                <w:tcPr>
                  <w:tcW w:w="780" w:type="pct"/>
                  <w:vAlign w:val="center"/>
                </w:tcPr>
                <w:p w14:paraId="4708F69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0" w:type="pct"/>
                  <w:vAlign w:val="center"/>
                </w:tcPr>
                <w:p w14:paraId="0077CB3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c>
                <w:tcPr>
                  <w:tcW w:w="782" w:type="pct"/>
                  <w:vAlign w:val="center"/>
                </w:tcPr>
                <w:p w14:paraId="68FBAD9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r>
            <w:tr w14:paraId="2C000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1F6CA20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亚硝酸盐</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0DE6C32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1FA9B2C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0.102</w:t>
                  </w:r>
                </w:p>
              </w:tc>
              <w:tc>
                <w:tcPr>
                  <w:tcW w:w="780" w:type="pct"/>
                  <w:vAlign w:val="center"/>
                </w:tcPr>
                <w:p w14:paraId="072E09A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0.708</w:t>
                  </w:r>
                </w:p>
              </w:tc>
              <w:tc>
                <w:tcPr>
                  <w:tcW w:w="780" w:type="pct"/>
                  <w:vAlign w:val="center"/>
                </w:tcPr>
                <w:p w14:paraId="3B81A2B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0.0463</w:t>
                  </w:r>
                </w:p>
              </w:tc>
              <w:tc>
                <w:tcPr>
                  <w:tcW w:w="782" w:type="pct"/>
                  <w:vAlign w:val="center"/>
                </w:tcPr>
                <w:p w14:paraId="22937E5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0.0260</w:t>
                  </w:r>
                </w:p>
              </w:tc>
            </w:tr>
            <w:tr w14:paraId="212CB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4AD10D96">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464FF5E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2479811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6B82F8E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7581CD8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2" w:type="pct"/>
                  <w:vAlign w:val="center"/>
                </w:tcPr>
                <w:p w14:paraId="08DB21E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r>
            <w:tr w14:paraId="1A5D9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0CB9C8F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挥发酚</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4C960E1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34B8152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0.0014</w:t>
                  </w:r>
                </w:p>
              </w:tc>
              <w:tc>
                <w:tcPr>
                  <w:tcW w:w="780" w:type="pct"/>
                  <w:vAlign w:val="center"/>
                </w:tcPr>
                <w:p w14:paraId="3D7DDF3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0.0048</w:t>
                  </w:r>
                </w:p>
              </w:tc>
              <w:tc>
                <w:tcPr>
                  <w:tcW w:w="780" w:type="pct"/>
                  <w:vAlign w:val="center"/>
                </w:tcPr>
                <w:p w14:paraId="32F43BC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0.0020</w:t>
                  </w:r>
                </w:p>
              </w:tc>
              <w:tc>
                <w:tcPr>
                  <w:tcW w:w="782" w:type="pct"/>
                  <w:vAlign w:val="center"/>
                </w:tcPr>
                <w:p w14:paraId="0067E01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0.0024</w:t>
                  </w:r>
                </w:p>
              </w:tc>
            </w:tr>
            <w:tr w14:paraId="4E80F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75946FCA">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1F810AB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4C1CA71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2DDC7E5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44102D8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2" w:type="pct"/>
                  <w:vAlign w:val="center"/>
                </w:tcPr>
                <w:p w14:paraId="6B37223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r>
            <w:tr w14:paraId="38119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5896993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氟化物</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75CF939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6127BAA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0.50</w:t>
                  </w:r>
                </w:p>
              </w:tc>
              <w:tc>
                <w:tcPr>
                  <w:tcW w:w="780" w:type="pct"/>
                  <w:vAlign w:val="center"/>
                </w:tcPr>
                <w:p w14:paraId="6B50F0C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1.86</w:t>
                  </w:r>
                </w:p>
              </w:tc>
              <w:tc>
                <w:tcPr>
                  <w:tcW w:w="780" w:type="pct"/>
                  <w:vAlign w:val="center"/>
                </w:tcPr>
                <w:p w14:paraId="26D5308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0.70</w:t>
                  </w:r>
                </w:p>
              </w:tc>
              <w:tc>
                <w:tcPr>
                  <w:tcW w:w="782" w:type="pct"/>
                  <w:vAlign w:val="center"/>
                </w:tcPr>
                <w:p w14:paraId="63312F4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0.60</w:t>
                  </w:r>
                </w:p>
              </w:tc>
            </w:tr>
            <w:tr w14:paraId="0A1C6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6275096E">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426E10E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0C14DA6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c>
                <w:tcPr>
                  <w:tcW w:w="780" w:type="pct"/>
                  <w:vAlign w:val="center"/>
                </w:tcPr>
                <w:p w14:paraId="5C5D31D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1E14230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c>
                <w:tcPr>
                  <w:tcW w:w="782" w:type="pct"/>
                  <w:vAlign w:val="center"/>
                </w:tcPr>
                <w:p w14:paraId="737C2A7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r>
            <w:tr w14:paraId="1EBC3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60A2B48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氰化物</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4B5A8A3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5B839FD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3CA1343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4AC1F72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5B3F891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2307B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1E3DAE86">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3236036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312652E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0" w:type="pct"/>
                  <w:vAlign w:val="center"/>
                </w:tcPr>
                <w:p w14:paraId="6D403E1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0" w:type="pct"/>
                  <w:vAlign w:val="center"/>
                </w:tcPr>
                <w:p w14:paraId="5FD5FED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2" w:type="pct"/>
                  <w:vAlign w:val="center"/>
                </w:tcPr>
                <w:p w14:paraId="2D930D1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r>
            <w:tr w14:paraId="4566C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4109CED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碘化物</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10EB055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069DE35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0.092</w:t>
                  </w:r>
                </w:p>
              </w:tc>
              <w:tc>
                <w:tcPr>
                  <w:tcW w:w="780" w:type="pct"/>
                  <w:vAlign w:val="center"/>
                </w:tcPr>
                <w:p w14:paraId="0E153AF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0.254</w:t>
                  </w:r>
                </w:p>
              </w:tc>
              <w:tc>
                <w:tcPr>
                  <w:tcW w:w="780" w:type="pct"/>
                  <w:vAlign w:val="center"/>
                </w:tcPr>
                <w:p w14:paraId="5411479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0.049</w:t>
                  </w:r>
                </w:p>
              </w:tc>
              <w:tc>
                <w:tcPr>
                  <w:tcW w:w="782" w:type="pct"/>
                  <w:vAlign w:val="center"/>
                </w:tcPr>
                <w:p w14:paraId="7DD2018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0.034</w:t>
                  </w:r>
                </w:p>
              </w:tc>
            </w:tr>
            <w:tr w14:paraId="366D2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2786B80A">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1C92C0E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6BC8E1A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5894F0A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10C582A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2" w:type="pct"/>
                  <w:vAlign w:val="center"/>
                </w:tcPr>
                <w:p w14:paraId="139A448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r>
                    <w:rPr>
                      <w:rFonts w:hint="eastAsia" w:cs="Times New Roman"/>
                      <w:color w:val="auto"/>
                      <w:kern w:val="2"/>
                      <w:sz w:val="21"/>
                      <w:szCs w:val="21"/>
                      <w:highlight w:val="none"/>
                      <w:lang w:val="en-US" w:eastAsia="zh-CN" w:bidi="ar-SA"/>
                    </w:rPr>
                    <w:t>类</w:t>
                  </w:r>
                </w:p>
              </w:tc>
            </w:tr>
            <w:tr w14:paraId="14308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40490C5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铝</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6B0D96A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6CBE663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0.164</w:t>
                  </w:r>
                </w:p>
              </w:tc>
              <w:tc>
                <w:tcPr>
                  <w:tcW w:w="780" w:type="pct"/>
                  <w:vAlign w:val="center"/>
                </w:tcPr>
                <w:p w14:paraId="59C5DBA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0.214</w:t>
                  </w:r>
                </w:p>
              </w:tc>
              <w:tc>
                <w:tcPr>
                  <w:tcW w:w="780" w:type="pct"/>
                  <w:vAlign w:val="center"/>
                </w:tcPr>
                <w:p w14:paraId="3E48F85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0.071</w:t>
                  </w:r>
                </w:p>
              </w:tc>
              <w:tc>
                <w:tcPr>
                  <w:tcW w:w="782" w:type="pct"/>
                  <w:vAlign w:val="center"/>
                </w:tcPr>
                <w:p w14:paraId="42DD62C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0.218</w:t>
                  </w:r>
                </w:p>
              </w:tc>
            </w:tr>
            <w:tr w14:paraId="6C73B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18AF0CB1">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4976320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612C177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5B526DD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4671A19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2" w:type="pct"/>
                  <w:vAlign w:val="center"/>
                </w:tcPr>
                <w:p w14:paraId="2C3701E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r>
            <w:tr w14:paraId="102B6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67810C7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镉</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6D41327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6E4A6B1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3117AEB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400897D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1B9C924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77655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753C3D3E">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1B8CE17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7D8C9D2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74204D6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44D406A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2" w:type="pct"/>
                  <w:vAlign w:val="center"/>
                </w:tcPr>
                <w:p w14:paraId="4950B0A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r>
            <w:tr w14:paraId="43122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71703A2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镍</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4306D9E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63FB200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117CF2A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5927D89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0.008</w:t>
                  </w:r>
                </w:p>
              </w:tc>
              <w:tc>
                <w:tcPr>
                  <w:tcW w:w="782" w:type="pct"/>
                  <w:vAlign w:val="center"/>
                </w:tcPr>
                <w:p w14:paraId="5382FD8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3697E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0F3DEF31">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2C1AF51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78E3609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10DEDB3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39C6D2E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2" w:type="pct"/>
                  <w:vAlign w:val="center"/>
                </w:tcPr>
                <w:p w14:paraId="4DBA5E9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r>
            <w:tr w14:paraId="3A726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056F845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铅</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1D2DC6B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72A9F4E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5ADD606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673C90B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22E3360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0F2DE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0B9B96D2">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396B71B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653C18F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3DD9D12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075DF6B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2" w:type="pct"/>
                  <w:vAlign w:val="center"/>
                </w:tcPr>
                <w:p w14:paraId="761BB17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r>
            <w:tr w14:paraId="405EE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7863FF5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硒</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64398EF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4CEE72F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2EA456B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3827861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5AAD0DA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7083D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475C149D">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083834A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23487A2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512B43D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2A1AD69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2" w:type="pct"/>
                  <w:vAlign w:val="center"/>
                </w:tcPr>
                <w:p w14:paraId="3D92A00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r>
            <w:tr w14:paraId="4BBBF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4891DF4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铜</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597466F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4E06323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078B4E0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356F134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638D9CC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7F52D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641FBAC0">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6E3B7B5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5B2C930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0" w:type="pct"/>
                  <w:vAlign w:val="center"/>
                </w:tcPr>
                <w:p w14:paraId="2DC1371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0" w:type="pct"/>
                  <w:vAlign w:val="center"/>
                </w:tcPr>
                <w:p w14:paraId="6A5A4E5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2" w:type="pct"/>
                  <w:vAlign w:val="center"/>
                </w:tcPr>
                <w:p w14:paraId="7CC4A94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r>
            <w:tr w14:paraId="540B7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7BEB9BE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铁</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01F15FB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1C7A8D8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0.21</w:t>
                  </w:r>
                </w:p>
              </w:tc>
              <w:tc>
                <w:tcPr>
                  <w:tcW w:w="780" w:type="pct"/>
                  <w:vAlign w:val="center"/>
                </w:tcPr>
                <w:p w14:paraId="35BD7A6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0.11</w:t>
                  </w:r>
                </w:p>
              </w:tc>
              <w:tc>
                <w:tcPr>
                  <w:tcW w:w="780" w:type="pct"/>
                  <w:vAlign w:val="center"/>
                </w:tcPr>
                <w:p w14:paraId="0E4F133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0.03</w:t>
                  </w:r>
                </w:p>
              </w:tc>
              <w:tc>
                <w:tcPr>
                  <w:tcW w:w="782" w:type="pct"/>
                  <w:vAlign w:val="center"/>
                </w:tcPr>
                <w:p w14:paraId="3482291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0.18</w:t>
                  </w:r>
                </w:p>
              </w:tc>
            </w:tr>
            <w:tr w14:paraId="4E83B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5F88C59D">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72DCDFA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499CE4E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488FBEF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0" w:type="pct"/>
                  <w:vAlign w:val="center"/>
                </w:tcPr>
                <w:p w14:paraId="74AAB5D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2" w:type="pct"/>
                  <w:vAlign w:val="center"/>
                </w:tcPr>
                <w:p w14:paraId="5C30031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r>
            <w:tr w14:paraId="21526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08A31B5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锰</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4D3F24C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39961FB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0.23</w:t>
                  </w:r>
                </w:p>
              </w:tc>
              <w:tc>
                <w:tcPr>
                  <w:tcW w:w="780" w:type="pct"/>
                  <w:vAlign w:val="center"/>
                </w:tcPr>
                <w:p w14:paraId="2463D54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0.60</w:t>
                  </w:r>
                </w:p>
              </w:tc>
              <w:tc>
                <w:tcPr>
                  <w:tcW w:w="780" w:type="pct"/>
                  <w:vAlign w:val="center"/>
                </w:tcPr>
                <w:p w14:paraId="0154E02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w:t>
                  </w:r>
                </w:p>
              </w:tc>
              <w:tc>
                <w:tcPr>
                  <w:tcW w:w="782" w:type="pct"/>
                  <w:vAlign w:val="center"/>
                </w:tcPr>
                <w:p w14:paraId="6AD1A45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w:t>
                  </w:r>
                </w:p>
              </w:tc>
            </w:tr>
            <w:tr w14:paraId="4E5E5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1016B80A">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2A4BB54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67D7959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3E5D459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w:t>
                  </w:r>
                  <w:r>
                    <w:rPr>
                      <w:rFonts w:hint="eastAsia" w:cs="Times New Roman"/>
                      <w:color w:val="auto"/>
                      <w:kern w:val="2"/>
                      <w:sz w:val="21"/>
                      <w:szCs w:val="21"/>
                      <w:highlight w:val="none"/>
                      <w:lang w:val="en-US" w:eastAsia="zh-CN" w:bidi="ar-SA"/>
                    </w:rPr>
                    <w:t>类</w:t>
                  </w:r>
                </w:p>
              </w:tc>
              <w:tc>
                <w:tcPr>
                  <w:tcW w:w="780" w:type="pct"/>
                  <w:vAlign w:val="center"/>
                </w:tcPr>
                <w:p w14:paraId="12756A1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2" w:type="pct"/>
                  <w:vAlign w:val="center"/>
                </w:tcPr>
                <w:p w14:paraId="752841C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r>
            <w:tr w14:paraId="1770E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75E4918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锌</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25594E8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287528E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431B2B3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0.191</w:t>
                  </w:r>
                </w:p>
              </w:tc>
              <w:tc>
                <w:tcPr>
                  <w:tcW w:w="780" w:type="pct"/>
                  <w:vAlign w:val="center"/>
                </w:tcPr>
                <w:p w14:paraId="2E3487A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283FCA3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692A1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5E08E30B">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58B3DB1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553E7EA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0" w:type="pct"/>
                  <w:vAlign w:val="center"/>
                </w:tcPr>
                <w:p w14:paraId="6FAE4A2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0" w:type="pct"/>
                  <w:vAlign w:val="center"/>
                </w:tcPr>
                <w:p w14:paraId="120FCC0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2" w:type="pct"/>
                  <w:vAlign w:val="center"/>
                </w:tcPr>
                <w:p w14:paraId="1BBF07E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01BFF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4CA7130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砷</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6E1FF25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1A630F6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0.0038</w:t>
                  </w:r>
                </w:p>
              </w:tc>
              <w:tc>
                <w:tcPr>
                  <w:tcW w:w="780" w:type="pct"/>
                  <w:vAlign w:val="center"/>
                </w:tcPr>
                <w:p w14:paraId="5FC7E0A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0.0063</w:t>
                  </w:r>
                </w:p>
              </w:tc>
              <w:tc>
                <w:tcPr>
                  <w:tcW w:w="780" w:type="pct"/>
                  <w:vAlign w:val="center"/>
                </w:tcPr>
                <w:p w14:paraId="1F261BD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0.0070</w:t>
                  </w:r>
                </w:p>
              </w:tc>
              <w:tc>
                <w:tcPr>
                  <w:tcW w:w="782" w:type="pct"/>
                  <w:vAlign w:val="center"/>
                </w:tcPr>
                <w:p w14:paraId="5678211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0.0066</w:t>
                  </w:r>
                </w:p>
              </w:tc>
            </w:tr>
            <w:tr w14:paraId="7D366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403092FB">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2B8FF0D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0EC535C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5D895B0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0" w:type="pct"/>
                  <w:vAlign w:val="center"/>
                </w:tcPr>
                <w:p w14:paraId="6583271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c>
                <w:tcPr>
                  <w:tcW w:w="782" w:type="pct"/>
                  <w:vAlign w:val="center"/>
                </w:tcPr>
                <w:p w14:paraId="54E0D5F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w:t>
                  </w:r>
                  <w:r>
                    <w:rPr>
                      <w:rFonts w:hint="eastAsia" w:cs="Times New Roman"/>
                      <w:color w:val="auto"/>
                      <w:kern w:val="2"/>
                      <w:sz w:val="21"/>
                      <w:szCs w:val="21"/>
                      <w:highlight w:val="none"/>
                      <w:lang w:val="en-US" w:eastAsia="zh-CN" w:bidi="ar-SA"/>
                    </w:rPr>
                    <w:t>类</w:t>
                  </w:r>
                </w:p>
              </w:tc>
            </w:tr>
            <w:tr w14:paraId="4E36D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5B7EED4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汞</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695DB8F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53DE8AF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3D8D6BD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24F0DAE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0FC2F8E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590D4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6B7C6862">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14FEE1B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5CBB721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54E2121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469BC66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2" w:type="pct"/>
                  <w:vAlign w:val="center"/>
                </w:tcPr>
                <w:p w14:paraId="1A4E192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r>
            <w:tr w14:paraId="40671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3DAA2B2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钠</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1D33F58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3949C86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49.2</w:t>
                  </w:r>
                </w:p>
              </w:tc>
              <w:tc>
                <w:tcPr>
                  <w:tcW w:w="780" w:type="pct"/>
                  <w:vAlign w:val="center"/>
                </w:tcPr>
                <w:p w14:paraId="4CF8898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126</w:t>
                  </w:r>
                </w:p>
              </w:tc>
              <w:tc>
                <w:tcPr>
                  <w:tcW w:w="780" w:type="pct"/>
                  <w:vAlign w:val="center"/>
                </w:tcPr>
                <w:p w14:paraId="52CF389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66.5</w:t>
                  </w:r>
                </w:p>
              </w:tc>
              <w:tc>
                <w:tcPr>
                  <w:tcW w:w="782" w:type="pct"/>
                  <w:vAlign w:val="center"/>
                </w:tcPr>
                <w:p w14:paraId="42D97C7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67.5</w:t>
                  </w:r>
                </w:p>
              </w:tc>
            </w:tr>
            <w:tr w14:paraId="1AA22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10B95EF1">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2A7BDB1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675E6BD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6056CB6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780" w:type="pct"/>
                  <w:vAlign w:val="center"/>
                </w:tcPr>
                <w:p w14:paraId="583EF23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2" w:type="pct"/>
                  <w:vAlign w:val="center"/>
                </w:tcPr>
                <w:p w14:paraId="446B765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r>
            <w:tr w14:paraId="21D66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4784593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苯</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6D714E3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63D37E2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5FAA2FD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370C9D9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5922448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7E454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77EC0AFE">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6B58146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3AA29F1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19189C5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1D6666D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2" w:type="pct"/>
                  <w:vAlign w:val="center"/>
                </w:tcPr>
                <w:p w14:paraId="6162C6D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r>
            <w:tr w14:paraId="54C44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67517BF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甲苯</w:t>
                  </w:r>
                  <w:r>
                    <w:rPr>
                      <w:rFonts w:hint="default" w:ascii="Times New Roman" w:hAnsi="Times New Roman" w:eastAsia="宋体" w:cs="Times New Roman"/>
                      <w:color w:val="auto"/>
                      <w:kern w:val="2"/>
                      <w:sz w:val="21"/>
                      <w:szCs w:val="21"/>
                      <w:highlight w:val="none"/>
                      <w:lang w:val="en-US" w:eastAsia="zh-CN" w:bidi="ar-SA"/>
                    </w:rPr>
                    <w:t>/(mg/L)</w:t>
                  </w:r>
                </w:p>
              </w:tc>
              <w:tc>
                <w:tcPr>
                  <w:tcW w:w="677" w:type="pct"/>
                  <w:vAlign w:val="center"/>
                </w:tcPr>
                <w:p w14:paraId="43395C7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558DC7F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1F596AD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38F5465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2B008715">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61397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383B92E1">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677" w:type="pct"/>
                  <w:vAlign w:val="center"/>
                </w:tcPr>
                <w:p w14:paraId="749B8F5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28BB373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5DF43BC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1771109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2" w:type="pct"/>
                  <w:vAlign w:val="center"/>
                </w:tcPr>
                <w:p w14:paraId="3516E268">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r>
            <w:tr w14:paraId="33598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549A0E5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三氯甲烷</w:t>
                  </w:r>
                  <w:r>
                    <w:rPr>
                      <w:rFonts w:hint="default" w:ascii="Times New Roman" w:hAnsi="Times New Roman" w:eastAsia="宋体" w:cs="Times New Roman"/>
                      <w:color w:val="auto"/>
                      <w:kern w:val="2"/>
                      <w:sz w:val="21"/>
                      <w:szCs w:val="21"/>
                      <w:highlight w:val="none"/>
                      <w:lang w:val="en-US" w:eastAsia="zh-CN" w:bidi="ar-SA"/>
                    </w:rPr>
                    <w:t>/(mg/L)</w:t>
                  </w:r>
                </w:p>
              </w:tc>
              <w:tc>
                <w:tcPr>
                  <w:tcW w:w="1080" w:type="dxa"/>
                  <w:vAlign w:val="center"/>
                </w:tcPr>
                <w:p w14:paraId="7F61E45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2802BE2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7A2DCB5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3CE1098D">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3E81756B">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599D3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2EA6FDF1">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1080" w:type="dxa"/>
                  <w:vAlign w:val="center"/>
                </w:tcPr>
                <w:p w14:paraId="7CBD131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7B3EF71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03AAE06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4EF3AEC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2" w:type="pct"/>
                  <w:vAlign w:val="center"/>
                </w:tcPr>
                <w:p w14:paraId="2CC385C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r>
            <w:tr w14:paraId="115A6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5090EAE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四氯化碳</w:t>
                  </w:r>
                  <w:r>
                    <w:rPr>
                      <w:rFonts w:hint="default" w:ascii="Times New Roman" w:hAnsi="Times New Roman" w:eastAsia="宋体" w:cs="Times New Roman"/>
                      <w:color w:val="auto"/>
                      <w:kern w:val="2"/>
                      <w:sz w:val="21"/>
                      <w:szCs w:val="21"/>
                      <w:highlight w:val="none"/>
                      <w:lang w:val="en-US" w:eastAsia="zh-CN" w:bidi="ar-SA"/>
                    </w:rPr>
                    <w:t>/(mg/L)</w:t>
                  </w:r>
                </w:p>
              </w:tc>
              <w:tc>
                <w:tcPr>
                  <w:tcW w:w="1080" w:type="dxa"/>
                  <w:vAlign w:val="center"/>
                </w:tcPr>
                <w:p w14:paraId="001401F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6F748A4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74AD8AC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0" w:type="pct"/>
                  <w:vAlign w:val="center"/>
                </w:tcPr>
                <w:p w14:paraId="724DADDA">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782" w:type="pct"/>
                  <w:vAlign w:val="center"/>
                </w:tcPr>
                <w:p w14:paraId="49692141">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r>
            <w:tr w14:paraId="149C7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5DDB2441">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1080" w:type="dxa"/>
                  <w:vAlign w:val="center"/>
                </w:tcPr>
                <w:p w14:paraId="7091593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0E63472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3D5C09C3">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0" w:type="pct"/>
                  <w:vAlign w:val="center"/>
                </w:tcPr>
                <w:p w14:paraId="7B13B4F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c>
                <w:tcPr>
                  <w:tcW w:w="782" w:type="pct"/>
                  <w:vAlign w:val="center"/>
                </w:tcPr>
                <w:p w14:paraId="084CCDB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rPr>
                    <w:t>Ⅰ</w:t>
                  </w:r>
                  <w:r>
                    <w:rPr>
                      <w:rFonts w:hint="eastAsia"/>
                      <w:color w:val="auto"/>
                      <w:sz w:val="21"/>
                      <w:szCs w:val="21"/>
                    </w:rPr>
                    <w:t>类</w:t>
                  </w:r>
                </w:p>
              </w:tc>
            </w:tr>
            <w:tr w14:paraId="44B80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restart"/>
                  <w:tcMar>
                    <w:left w:w="57" w:type="dxa"/>
                    <w:right w:w="57" w:type="dxa"/>
                  </w:tcMar>
                  <w:vAlign w:val="center"/>
                </w:tcPr>
                <w:p w14:paraId="7CB48C7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石油烃（C</w:t>
                  </w:r>
                  <w:r>
                    <w:rPr>
                      <w:rFonts w:hint="eastAsia" w:cs="Times New Roman"/>
                      <w:color w:val="auto"/>
                      <w:kern w:val="2"/>
                      <w:sz w:val="21"/>
                      <w:szCs w:val="21"/>
                      <w:highlight w:val="none"/>
                      <w:vertAlign w:val="subscript"/>
                      <w:lang w:val="en-US" w:eastAsia="zh-CN" w:bidi="ar-SA"/>
                    </w:rPr>
                    <w:t>10</w:t>
                  </w:r>
                  <w:r>
                    <w:rPr>
                      <w:rFonts w:hint="eastAsia" w:cs="Times New Roman"/>
                      <w:color w:val="auto"/>
                      <w:kern w:val="2"/>
                      <w:sz w:val="21"/>
                      <w:szCs w:val="21"/>
                      <w:highlight w:val="none"/>
                      <w:lang w:val="en-US" w:eastAsia="zh-CN" w:bidi="ar-SA"/>
                    </w:rPr>
                    <w:t>-C</w:t>
                  </w:r>
                  <w:r>
                    <w:rPr>
                      <w:rFonts w:hint="eastAsia" w:cs="Times New Roman"/>
                      <w:color w:val="auto"/>
                      <w:kern w:val="2"/>
                      <w:sz w:val="21"/>
                      <w:szCs w:val="21"/>
                      <w:highlight w:val="none"/>
                      <w:vertAlign w:val="subscript"/>
                      <w:lang w:val="en-US" w:eastAsia="zh-CN" w:bidi="ar-SA"/>
                    </w:rPr>
                    <w:t>40</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/(mg/L)</w:t>
                  </w:r>
                </w:p>
              </w:tc>
              <w:tc>
                <w:tcPr>
                  <w:tcW w:w="1080" w:type="dxa"/>
                  <w:vAlign w:val="center"/>
                </w:tcPr>
                <w:p w14:paraId="605B1B24">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监测结果</w:t>
                  </w:r>
                </w:p>
              </w:tc>
              <w:tc>
                <w:tcPr>
                  <w:tcW w:w="780" w:type="pct"/>
                  <w:vAlign w:val="center"/>
                </w:tcPr>
                <w:p w14:paraId="17F0FE0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0.21</w:t>
                  </w:r>
                </w:p>
              </w:tc>
              <w:tc>
                <w:tcPr>
                  <w:tcW w:w="780" w:type="pct"/>
                  <w:vAlign w:val="center"/>
                </w:tcPr>
                <w:p w14:paraId="0B986E89">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0.17</w:t>
                  </w:r>
                </w:p>
              </w:tc>
              <w:tc>
                <w:tcPr>
                  <w:tcW w:w="780" w:type="pct"/>
                  <w:vAlign w:val="center"/>
                </w:tcPr>
                <w:p w14:paraId="0CEF75A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0.16</w:t>
                  </w:r>
                </w:p>
              </w:tc>
              <w:tc>
                <w:tcPr>
                  <w:tcW w:w="782" w:type="pct"/>
                  <w:vAlign w:val="center"/>
                </w:tcPr>
                <w:p w14:paraId="2EB1359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0.18</w:t>
                  </w:r>
                </w:p>
              </w:tc>
            </w:tr>
            <w:tr w14:paraId="45833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vMerge w:val="continue"/>
                  <w:tcMar>
                    <w:left w:w="57" w:type="dxa"/>
                    <w:right w:w="57" w:type="dxa"/>
                  </w:tcMar>
                  <w:vAlign w:val="center"/>
                </w:tcPr>
                <w:p w14:paraId="03EDAF3D">
                  <w:pPr>
                    <w:widowControl w:val="0"/>
                    <w:jc w:val="center"/>
                    <w:rPr>
                      <w:rFonts w:hint="default" w:ascii="Times New Roman" w:hAnsi="Times New Roman" w:eastAsia="宋体" w:cs="Times New Roman"/>
                      <w:color w:val="auto"/>
                      <w:kern w:val="2"/>
                      <w:sz w:val="21"/>
                      <w:szCs w:val="21"/>
                      <w:highlight w:val="none"/>
                      <w:lang w:val="en-US" w:eastAsia="zh-CN" w:bidi="ar-SA"/>
                    </w:rPr>
                  </w:pPr>
                </w:p>
              </w:tc>
              <w:tc>
                <w:tcPr>
                  <w:tcW w:w="1080" w:type="dxa"/>
                  <w:vAlign w:val="center"/>
                </w:tcPr>
                <w:p w14:paraId="0D45B6F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80" w:type="pct"/>
                  <w:vAlign w:val="center"/>
                </w:tcPr>
                <w:p w14:paraId="718F06E0">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0" w:type="pct"/>
                  <w:vAlign w:val="center"/>
                </w:tcPr>
                <w:p w14:paraId="7C3320CF">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0" w:type="pct"/>
                  <w:vAlign w:val="center"/>
                </w:tcPr>
                <w:p w14:paraId="3B461F8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82" w:type="pct"/>
                  <w:vAlign w:val="center"/>
                </w:tcPr>
                <w:p w14:paraId="6A4EEFC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21292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Mar>
                    <w:left w:w="57" w:type="dxa"/>
                    <w:right w:w="57" w:type="dxa"/>
                  </w:tcMar>
                  <w:vAlign w:val="center"/>
                </w:tcPr>
                <w:p w14:paraId="60004FBA">
                  <w:pPr>
                    <w:pStyle w:val="92"/>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w:t>
                  </w:r>
                  <w:r>
                    <w:rPr>
                      <w:rFonts w:hint="eastAsia" w:cs="Times New Roman"/>
                      <w:color w:val="auto"/>
                      <w:sz w:val="21"/>
                      <w:szCs w:val="21"/>
                      <w:highlight w:val="none"/>
                      <w:lang w:val="en-US" w:eastAsia="zh-CN"/>
                    </w:rPr>
                    <w:t>ND表示未检出，氰化物检出限0.002mg/L、镉检出限0.005mg/L、镍检出限0.007mg/L、铅检出限0.1mg/L、硒检出限0.03mg/L、铜检出限0.04mg/L、锌检出限0.009mg/L、汞检出限0.00004mg/L、苯检出限0.0014mg/L、甲苯检出限0.0014mg/L、三氯甲烷检出限0.0014mg/L、四氯化碳检出限0.0015mg/L</w:t>
                  </w:r>
                  <w:r>
                    <w:rPr>
                      <w:rFonts w:hint="default" w:ascii="Times New Roman" w:hAnsi="Times New Roman" w:cs="Times New Roman"/>
                      <w:color w:val="auto"/>
                      <w:sz w:val="21"/>
                      <w:szCs w:val="21"/>
                      <w:highlight w:val="none"/>
                    </w:rPr>
                    <w:t>。</w:t>
                  </w:r>
                </w:p>
              </w:tc>
            </w:tr>
          </w:tbl>
          <w:p w14:paraId="0333A72D">
            <w:pPr>
              <w:keepNext w:val="0"/>
              <w:keepLines w:val="0"/>
              <w:pageBreakBefore w:val="0"/>
              <w:widowControl/>
              <w:kinsoku/>
              <w:wordWrap/>
              <w:overflowPunct/>
              <w:topLinePunct w:val="0"/>
              <w:autoSpaceDE/>
              <w:autoSpaceDN/>
              <w:bidi w:val="0"/>
              <w:adjustRightInd/>
              <w:snapToGrid/>
              <w:spacing w:before="157" w:beforeLines="50" w:line="360" w:lineRule="auto"/>
              <w:ind w:firstLine="420" w:firstLineChars="200"/>
              <w:jc w:val="left"/>
              <w:textAlignment w:val="auto"/>
              <w:rPr>
                <w:rFonts w:hint="default" w:ascii="宋体" w:hAnsi="宋体" w:eastAsia="宋体" w:cs="宋体"/>
                <w:color w:val="FF0000"/>
                <w:kern w:val="0"/>
                <w:sz w:val="21"/>
                <w:szCs w:val="21"/>
                <w:highlight w:val="none"/>
                <w:lang w:val="en-US" w:eastAsia="zh-CN"/>
              </w:rPr>
            </w:pPr>
            <w:r>
              <w:rPr>
                <w:rFonts w:hint="default" w:ascii="Times New Roman" w:hAnsi="Times New Roman" w:cs="Times New Roman"/>
                <w:color w:val="auto"/>
                <w:sz w:val="21"/>
                <w:szCs w:val="21"/>
                <w:highlight w:val="none"/>
              </w:rPr>
              <w:t>由</w:t>
            </w:r>
            <w:r>
              <w:rPr>
                <w:rFonts w:hint="eastAsia" w:cs="Times New Roman"/>
                <w:color w:val="auto"/>
                <w:sz w:val="21"/>
                <w:szCs w:val="21"/>
                <w:highlight w:val="none"/>
                <w:lang w:val="en-US" w:eastAsia="zh-CN"/>
              </w:rPr>
              <w:t>上表</w:t>
            </w:r>
            <w:r>
              <w:rPr>
                <w:rFonts w:hint="default" w:ascii="Times New Roman" w:hAnsi="Times New Roman" w:cs="Times New Roman"/>
                <w:color w:val="auto"/>
                <w:sz w:val="21"/>
                <w:szCs w:val="21"/>
                <w:highlight w:val="none"/>
              </w:rPr>
              <w:t>可知，</w:t>
            </w:r>
            <w:r>
              <w:rPr>
                <w:rFonts w:hint="eastAsia" w:cs="Times New Roman"/>
                <w:color w:val="auto"/>
                <w:sz w:val="21"/>
                <w:szCs w:val="21"/>
                <w:highlight w:val="none"/>
                <w:lang w:val="en-US" w:eastAsia="zh-CN"/>
              </w:rPr>
              <w:t>项目所在地及周边地下水</w:t>
            </w:r>
            <w:r>
              <w:rPr>
                <w:rFonts w:hint="default" w:ascii="Times New Roman" w:hAnsi="Times New Roman" w:cs="Times New Roman"/>
                <w:color w:val="auto"/>
                <w:sz w:val="21"/>
                <w:szCs w:val="21"/>
                <w:highlight w:val="none"/>
              </w:rPr>
              <w:t>质量综合评价为Ⅳ类</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地下水质量良好</w:t>
            </w:r>
            <w:r>
              <w:rPr>
                <w:rFonts w:hint="default" w:ascii="Times New Roman" w:hAnsi="Times New Roman" w:cs="Times New Roman"/>
                <w:color w:val="auto"/>
                <w:sz w:val="21"/>
                <w:szCs w:val="21"/>
                <w:highlight w:val="none"/>
              </w:rPr>
              <w:t>。</w:t>
            </w:r>
          </w:p>
        </w:tc>
      </w:tr>
      <w:tr w14:paraId="29984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8" w:hRule="atLeast"/>
          <w:jc w:val="center"/>
        </w:trPr>
        <w:tc>
          <w:tcPr>
            <w:tcW w:w="800" w:type="dxa"/>
            <w:vAlign w:val="center"/>
          </w:tcPr>
          <w:p w14:paraId="6A839154">
            <w:pPr>
              <w:widowControl/>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环境</w:t>
            </w:r>
          </w:p>
          <w:p w14:paraId="2144CF9A">
            <w:pPr>
              <w:widowControl/>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保护</w:t>
            </w:r>
          </w:p>
          <w:p w14:paraId="3196CD0E">
            <w:pPr>
              <w:widowControl/>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目标</w:t>
            </w:r>
          </w:p>
        </w:tc>
        <w:tc>
          <w:tcPr>
            <w:tcW w:w="8190" w:type="dxa"/>
          </w:tcPr>
          <w:p w14:paraId="613CA284">
            <w:pPr>
              <w:widowControl/>
              <w:adjustRightInd w:val="0"/>
              <w:snapToGrid w:val="0"/>
              <w:spacing w:line="360" w:lineRule="auto"/>
              <w:rPr>
                <w:color w:val="auto"/>
                <w:kern w:val="0"/>
                <w:sz w:val="21"/>
                <w:szCs w:val="21"/>
                <w:highlight w:val="none"/>
              </w:rPr>
            </w:pPr>
            <w:r>
              <w:rPr>
                <w:color w:val="auto"/>
                <w:kern w:val="0"/>
                <w:sz w:val="21"/>
                <w:szCs w:val="21"/>
                <w:highlight w:val="none"/>
              </w:rPr>
              <w:t>本项目环境保护目标明确情况：</w:t>
            </w:r>
          </w:p>
          <w:p w14:paraId="3AB9BC4E">
            <w:pPr>
              <w:keepNext w:val="0"/>
              <w:keepLines w:val="0"/>
              <w:pageBreakBefore w:val="0"/>
              <w:widowControl/>
              <w:suppressLineNumbers w:val="0"/>
              <w:shd w:val="clear" w:color="auto" w:fill="auto"/>
              <w:kinsoku/>
              <w:wordWrap/>
              <w:overflowPunct/>
              <w:topLinePunct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（1）大气环境</w:t>
            </w:r>
          </w:p>
          <w:p w14:paraId="0AD98A78">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kern w:val="0"/>
                <w:sz w:val="21"/>
                <w:szCs w:val="21"/>
                <w:highlight w:val="none"/>
              </w:rPr>
            </w:pPr>
            <w:r>
              <w:rPr>
                <w:rFonts w:hint="eastAsia"/>
                <w:color w:val="auto"/>
                <w:kern w:val="0"/>
                <w:sz w:val="21"/>
                <w:szCs w:val="21"/>
                <w:highlight w:val="none"/>
                <w:lang w:bidi="ar"/>
              </w:rPr>
              <w:t>本项目厂界外500米范围内自然保护区、风景名胜区、居住区、文化区和农村地区中人群集中的区域等保护目标情况如下。</w:t>
            </w:r>
          </w:p>
          <w:p w14:paraId="4CB65DC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b/>
                <w:bCs/>
                <w:color w:val="auto"/>
                <w:sz w:val="21"/>
                <w:szCs w:val="21"/>
                <w:highlight w:val="none"/>
              </w:rPr>
            </w:pPr>
            <w:r>
              <w:rPr>
                <w:b/>
                <w:bCs/>
                <w:color w:val="auto"/>
                <w:sz w:val="21"/>
                <w:szCs w:val="21"/>
                <w:highlight w:val="none"/>
              </w:rPr>
              <w:t>表3-</w:t>
            </w:r>
            <w:r>
              <w:rPr>
                <w:rFonts w:hint="eastAsia"/>
                <w:b/>
                <w:bCs/>
                <w:color w:val="auto"/>
                <w:sz w:val="21"/>
                <w:szCs w:val="21"/>
                <w:highlight w:val="none"/>
                <w:lang w:val="en-US" w:eastAsia="zh-CN"/>
              </w:rPr>
              <w:t>4</w:t>
            </w:r>
            <w:r>
              <w:rPr>
                <w:rFonts w:hint="eastAsia"/>
                <w:b/>
                <w:bCs/>
                <w:color w:val="auto"/>
                <w:sz w:val="21"/>
                <w:szCs w:val="21"/>
                <w:highlight w:val="none"/>
              </w:rPr>
              <w:t xml:space="preserve"> </w:t>
            </w:r>
            <w:r>
              <w:rPr>
                <w:b/>
                <w:bCs/>
                <w:color w:val="auto"/>
                <w:sz w:val="21"/>
                <w:szCs w:val="21"/>
                <w:highlight w:val="none"/>
              </w:rPr>
              <w:t>项目500m范围内</w:t>
            </w:r>
            <w:r>
              <w:rPr>
                <w:rFonts w:hint="eastAsia"/>
                <w:b/>
                <w:bCs/>
                <w:color w:val="auto"/>
                <w:sz w:val="21"/>
                <w:szCs w:val="21"/>
                <w:highlight w:val="none"/>
                <w:lang w:val="en-US" w:eastAsia="zh-CN"/>
              </w:rPr>
              <w:t>空气</w:t>
            </w:r>
            <w:r>
              <w:rPr>
                <w:b/>
                <w:bCs/>
                <w:color w:val="auto"/>
                <w:sz w:val="21"/>
                <w:szCs w:val="21"/>
                <w:highlight w:val="none"/>
              </w:rPr>
              <w:t>环境保护目标情况表</w:t>
            </w:r>
          </w:p>
          <w:tbl>
            <w:tblPr>
              <w:tblStyle w:val="30"/>
              <w:tblW w:w="79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37"/>
              <w:gridCol w:w="1185"/>
              <w:gridCol w:w="1178"/>
              <w:gridCol w:w="899"/>
              <w:gridCol w:w="807"/>
              <w:gridCol w:w="921"/>
              <w:gridCol w:w="863"/>
              <w:gridCol w:w="1047"/>
            </w:tblGrid>
            <w:tr w14:paraId="0EEE6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vMerge w:val="restart"/>
                  <w:noWrap w:val="0"/>
                  <w:vAlign w:val="center"/>
                </w:tcPr>
                <w:p w14:paraId="35ACA8DA">
                  <w:pPr>
                    <w:keepNext w:val="0"/>
                    <w:keepLines w:val="0"/>
                    <w:suppressLineNumbers w:val="0"/>
                    <w:spacing w:before="0" w:beforeAutospacing="0" w:after="0" w:afterAutospacing="0"/>
                    <w:ind w:left="0" w:right="0"/>
                    <w:jc w:val="center"/>
                    <w:rPr>
                      <w:b/>
                      <w:bCs/>
                      <w:color w:val="auto"/>
                      <w:sz w:val="21"/>
                      <w:szCs w:val="21"/>
                      <w:highlight w:val="none"/>
                    </w:rPr>
                  </w:pPr>
                  <w:r>
                    <w:rPr>
                      <w:b/>
                      <w:bCs/>
                      <w:color w:val="auto"/>
                      <w:sz w:val="21"/>
                      <w:szCs w:val="21"/>
                      <w:highlight w:val="none"/>
                    </w:rPr>
                    <w:t>名称</w:t>
                  </w:r>
                </w:p>
              </w:tc>
              <w:tc>
                <w:tcPr>
                  <w:tcW w:w="2363" w:type="dxa"/>
                  <w:gridSpan w:val="2"/>
                  <w:noWrap w:val="0"/>
                  <w:vAlign w:val="center"/>
                </w:tcPr>
                <w:p w14:paraId="7B37EC7E">
                  <w:pPr>
                    <w:keepNext w:val="0"/>
                    <w:keepLines w:val="0"/>
                    <w:suppressLineNumbers w:val="0"/>
                    <w:spacing w:before="0" w:beforeAutospacing="0" w:after="0" w:afterAutospacing="0"/>
                    <w:ind w:left="0" w:right="0"/>
                    <w:jc w:val="center"/>
                    <w:rPr>
                      <w:b/>
                      <w:bCs/>
                      <w:color w:val="auto"/>
                      <w:sz w:val="21"/>
                      <w:szCs w:val="21"/>
                      <w:highlight w:val="none"/>
                    </w:rPr>
                  </w:pPr>
                  <w:r>
                    <w:rPr>
                      <w:b/>
                      <w:bCs/>
                      <w:color w:val="auto"/>
                      <w:sz w:val="21"/>
                      <w:szCs w:val="21"/>
                      <w:highlight w:val="none"/>
                    </w:rPr>
                    <w:t>坐标</w:t>
                  </w:r>
                </w:p>
              </w:tc>
              <w:tc>
                <w:tcPr>
                  <w:tcW w:w="899" w:type="dxa"/>
                  <w:vMerge w:val="restart"/>
                  <w:noWrap w:val="0"/>
                  <w:vAlign w:val="center"/>
                </w:tcPr>
                <w:p w14:paraId="3CC7D518">
                  <w:pPr>
                    <w:keepNext w:val="0"/>
                    <w:keepLines w:val="0"/>
                    <w:suppressLineNumbers w:val="0"/>
                    <w:spacing w:before="0" w:beforeAutospacing="0" w:after="0" w:afterAutospacing="0"/>
                    <w:ind w:left="0" w:right="0"/>
                    <w:jc w:val="center"/>
                    <w:rPr>
                      <w:b/>
                      <w:bCs/>
                      <w:color w:val="auto"/>
                      <w:sz w:val="21"/>
                      <w:szCs w:val="21"/>
                      <w:highlight w:val="none"/>
                    </w:rPr>
                  </w:pPr>
                  <w:r>
                    <w:rPr>
                      <w:b/>
                      <w:bCs/>
                      <w:color w:val="auto"/>
                      <w:sz w:val="21"/>
                      <w:szCs w:val="21"/>
                      <w:highlight w:val="none"/>
                    </w:rPr>
                    <w:t>保护对象</w:t>
                  </w:r>
                </w:p>
              </w:tc>
              <w:tc>
                <w:tcPr>
                  <w:tcW w:w="807" w:type="dxa"/>
                  <w:vMerge w:val="restart"/>
                  <w:noWrap w:val="0"/>
                  <w:vAlign w:val="center"/>
                </w:tcPr>
                <w:p w14:paraId="7ADFD7E7">
                  <w:pPr>
                    <w:keepNext w:val="0"/>
                    <w:keepLines w:val="0"/>
                    <w:suppressLineNumbers w:val="0"/>
                    <w:spacing w:before="0" w:beforeAutospacing="0" w:after="0" w:afterAutospacing="0"/>
                    <w:ind w:left="0" w:right="0"/>
                    <w:jc w:val="center"/>
                    <w:rPr>
                      <w:b/>
                      <w:bCs/>
                      <w:color w:val="auto"/>
                      <w:sz w:val="21"/>
                      <w:szCs w:val="21"/>
                      <w:highlight w:val="none"/>
                    </w:rPr>
                  </w:pPr>
                  <w:r>
                    <w:rPr>
                      <w:b/>
                      <w:bCs/>
                      <w:color w:val="auto"/>
                      <w:sz w:val="21"/>
                      <w:szCs w:val="21"/>
                      <w:highlight w:val="none"/>
                    </w:rPr>
                    <w:t>保护内容</w:t>
                  </w:r>
                </w:p>
              </w:tc>
              <w:tc>
                <w:tcPr>
                  <w:tcW w:w="921" w:type="dxa"/>
                  <w:vMerge w:val="restart"/>
                  <w:noWrap w:val="0"/>
                  <w:vAlign w:val="center"/>
                </w:tcPr>
                <w:p w14:paraId="4A6F47FB">
                  <w:pPr>
                    <w:keepNext w:val="0"/>
                    <w:keepLines w:val="0"/>
                    <w:suppressLineNumbers w:val="0"/>
                    <w:spacing w:before="0" w:beforeAutospacing="0" w:after="0" w:afterAutospacing="0"/>
                    <w:ind w:left="0" w:right="0"/>
                    <w:jc w:val="center"/>
                    <w:rPr>
                      <w:b/>
                      <w:bCs/>
                      <w:color w:val="auto"/>
                      <w:sz w:val="21"/>
                      <w:szCs w:val="21"/>
                      <w:highlight w:val="none"/>
                    </w:rPr>
                  </w:pPr>
                  <w:r>
                    <w:rPr>
                      <w:b/>
                      <w:bCs/>
                      <w:color w:val="auto"/>
                      <w:sz w:val="21"/>
                      <w:szCs w:val="21"/>
                      <w:highlight w:val="none"/>
                    </w:rPr>
                    <w:t>环境功能区</w:t>
                  </w:r>
                </w:p>
              </w:tc>
              <w:tc>
                <w:tcPr>
                  <w:tcW w:w="863" w:type="dxa"/>
                  <w:vMerge w:val="restart"/>
                  <w:noWrap w:val="0"/>
                  <w:vAlign w:val="center"/>
                </w:tcPr>
                <w:p w14:paraId="2B38A0E7">
                  <w:pPr>
                    <w:keepNext w:val="0"/>
                    <w:keepLines w:val="0"/>
                    <w:suppressLineNumbers w:val="0"/>
                    <w:spacing w:before="0" w:beforeAutospacing="0" w:after="0" w:afterAutospacing="0"/>
                    <w:ind w:left="0" w:right="0"/>
                    <w:jc w:val="center"/>
                    <w:rPr>
                      <w:b/>
                      <w:bCs/>
                      <w:color w:val="auto"/>
                      <w:sz w:val="21"/>
                      <w:szCs w:val="21"/>
                      <w:highlight w:val="none"/>
                    </w:rPr>
                  </w:pPr>
                  <w:r>
                    <w:rPr>
                      <w:b/>
                      <w:bCs/>
                      <w:color w:val="auto"/>
                      <w:sz w:val="21"/>
                      <w:szCs w:val="21"/>
                      <w:highlight w:val="none"/>
                    </w:rPr>
                    <w:t>相对厂址方位</w:t>
                  </w:r>
                </w:p>
              </w:tc>
              <w:tc>
                <w:tcPr>
                  <w:tcW w:w="1047" w:type="dxa"/>
                  <w:vMerge w:val="restart"/>
                  <w:noWrap w:val="0"/>
                  <w:vAlign w:val="center"/>
                </w:tcPr>
                <w:p w14:paraId="25C25A83">
                  <w:pPr>
                    <w:keepNext w:val="0"/>
                    <w:keepLines w:val="0"/>
                    <w:suppressLineNumbers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w:t>
                  </w:r>
                  <w:r>
                    <w:rPr>
                      <w:b/>
                      <w:bCs/>
                      <w:color w:val="auto"/>
                      <w:sz w:val="21"/>
                      <w:szCs w:val="21"/>
                      <w:highlight w:val="none"/>
                    </w:rPr>
                    <w:t>相对厂界距离/m</w:t>
                  </w:r>
                </w:p>
              </w:tc>
            </w:tr>
            <w:tr w14:paraId="23D47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vMerge w:val="continue"/>
                  <w:noWrap w:val="0"/>
                  <w:vAlign w:val="center"/>
                </w:tcPr>
                <w:p w14:paraId="1D8E00DA">
                  <w:pPr>
                    <w:keepNext w:val="0"/>
                    <w:keepLines w:val="0"/>
                    <w:suppressLineNumbers w:val="0"/>
                    <w:spacing w:before="0" w:beforeAutospacing="0" w:after="0" w:afterAutospacing="0"/>
                    <w:ind w:left="0" w:right="0"/>
                    <w:jc w:val="center"/>
                    <w:rPr>
                      <w:color w:val="auto"/>
                      <w:sz w:val="21"/>
                      <w:szCs w:val="21"/>
                      <w:highlight w:val="none"/>
                    </w:rPr>
                  </w:pPr>
                </w:p>
              </w:tc>
              <w:tc>
                <w:tcPr>
                  <w:tcW w:w="1185" w:type="dxa"/>
                  <w:noWrap w:val="0"/>
                  <w:vAlign w:val="center"/>
                </w:tcPr>
                <w:p w14:paraId="7708F808">
                  <w:pPr>
                    <w:keepNext w:val="0"/>
                    <w:keepLines w:val="0"/>
                    <w:suppressLineNumbers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X</w:t>
                  </w:r>
                </w:p>
              </w:tc>
              <w:tc>
                <w:tcPr>
                  <w:tcW w:w="1178" w:type="dxa"/>
                  <w:noWrap w:val="0"/>
                  <w:vAlign w:val="center"/>
                </w:tcPr>
                <w:p w14:paraId="78B630C8">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Y</w:t>
                  </w:r>
                </w:p>
              </w:tc>
              <w:tc>
                <w:tcPr>
                  <w:tcW w:w="899" w:type="dxa"/>
                  <w:vMerge w:val="continue"/>
                  <w:noWrap w:val="0"/>
                  <w:vAlign w:val="center"/>
                </w:tcPr>
                <w:p w14:paraId="65EE6B90">
                  <w:pPr>
                    <w:keepNext w:val="0"/>
                    <w:keepLines w:val="0"/>
                    <w:suppressLineNumbers w:val="0"/>
                    <w:spacing w:before="0" w:beforeAutospacing="0" w:after="0" w:afterAutospacing="0"/>
                    <w:ind w:left="0" w:right="0"/>
                    <w:jc w:val="center"/>
                    <w:rPr>
                      <w:color w:val="auto"/>
                      <w:sz w:val="21"/>
                      <w:szCs w:val="21"/>
                      <w:highlight w:val="none"/>
                    </w:rPr>
                  </w:pPr>
                </w:p>
              </w:tc>
              <w:tc>
                <w:tcPr>
                  <w:tcW w:w="807" w:type="dxa"/>
                  <w:vMerge w:val="continue"/>
                  <w:noWrap w:val="0"/>
                  <w:vAlign w:val="center"/>
                </w:tcPr>
                <w:p w14:paraId="3A2E043E">
                  <w:pPr>
                    <w:keepNext w:val="0"/>
                    <w:keepLines w:val="0"/>
                    <w:suppressLineNumbers w:val="0"/>
                    <w:spacing w:before="0" w:beforeAutospacing="0" w:after="0" w:afterAutospacing="0"/>
                    <w:ind w:left="0" w:right="0"/>
                    <w:jc w:val="center"/>
                    <w:rPr>
                      <w:color w:val="auto"/>
                      <w:sz w:val="21"/>
                      <w:szCs w:val="21"/>
                      <w:highlight w:val="none"/>
                    </w:rPr>
                  </w:pPr>
                </w:p>
              </w:tc>
              <w:tc>
                <w:tcPr>
                  <w:tcW w:w="921" w:type="dxa"/>
                  <w:vMerge w:val="continue"/>
                  <w:noWrap w:val="0"/>
                  <w:vAlign w:val="center"/>
                </w:tcPr>
                <w:p w14:paraId="6DB89096">
                  <w:pPr>
                    <w:keepNext w:val="0"/>
                    <w:keepLines w:val="0"/>
                    <w:suppressLineNumbers w:val="0"/>
                    <w:spacing w:before="0" w:beforeAutospacing="0" w:after="0" w:afterAutospacing="0"/>
                    <w:ind w:left="0" w:right="0"/>
                    <w:jc w:val="center"/>
                    <w:rPr>
                      <w:color w:val="auto"/>
                      <w:sz w:val="21"/>
                      <w:szCs w:val="21"/>
                      <w:highlight w:val="none"/>
                    </w:rPr>
                  </w:pPr>
                </w:p>
              </w:tc>
              <w:tc>
                <w:tcPr>
                  <w:tcW w:w="863" w:type="dxa"/>
                  <w:vMerge w:val="continue"/>
                  <w:noWrap w:val="0"/>
                  <w:vAlign w:val="center"/>
                </w:tcPr>
                <w:p w14:paraId="752D77A1">
                  <w:pPr>
                    <w:keepNext w:val="0"/>
                    <w:keepLines w:val="0"/>
                    <w:suppressLineNumbers w:val="0"/>
                    <w:spacing w:before="0" w:beforeAutospacing="0" w:after="0" w:afterAutospacing="0"/>
                    <w:ind w:left="0" w:right="0"/>
                    <w:jc w:val="center"/>
                    <w:rPr>
                      <w:color w:val="auto"/>
                      <w:sz w:val="21"/>
                      <w:szCs w:val="21"/>
                      <w:highlight w:val="none"/>
                    </w:rPr>
                  </w:pPr>
                </w:p>
              </w:tc>
              <w:tc>
                <w:tcPr>
                  <w:tcW w:w="1047" w:type="dxa"/>
                  <w:vMerge w:val="continue"/>
                  <w:noWrap w:val="0"/>
                  <w:vAlign w:val="center"/>
                </w:tcPr>
                <w:p w14:paraId="71DA6F37">
                  <w:pPr>
                    <w:keepNext w:val="0"/>
                    <w:keepLines w:val="0"/>
                    <w:suppressLineNumbers w:val="0"/>
                    <w:spacing w:before="0" w:beforeAutospacing="0" w:after="0" w:afterAutospacing="0"/>
                    <w:ind w:left="0" w:right="0"/>
                    <w:jc w:val="center"/>
                    <w:rPr>
                      <w:color w:val="auto"/>
                      <w:sz w:val="21"/>
                      <w:szCs w:val="21"/>
                      <w:highlight w:val="none"/>
                    </w:rPr>
                  </w:pPr>
                </w:p>
              </w:tc>
            </w:tr>
            <w:tr w14:paraId="5E902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noWrap w:val="0"/>
                  <w:vAlign w:val="center"/>
                </w:tcPr>
                <w:p w14:paraId="6FF1E1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曹葛庄</w:t>
                  </w:r>
                </w:p>
              </w:tc>
              <w:tc>
                <w:tcPr>
                  <w:tcW w:w="1185" w:type="dxa"/>
                  <w:noWrap w:val="0"/>
                  <w:vAlign w:val="center"/>
                </w:tcPr>
                <w:p w14:paraId="54F350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118.717979</w:t>
                  </w:r>
                </w:p>
              </w:tc>
              <w:tc>
                <w:tcPr>
                  <w:tcW w:w="1178" w:type="dxa"/>
                  <w:noWrap w:val="0"/>
                  <w:vAlign w:val="center"/>
                </w:tcPr>
                <w:p w14:paraId="38F785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33.627928</w:t>
                  </w:r>
                </w:p>
              </w:tc>
              <w:tc>
                <w:tcPr>
                  <w:tcW w:w="899" w:type="dxa"/>
                  <w:noWrap w:val="0"/>
                  <w:vAlign w:val="center"/>
                </w:tcPr>
                <w:p w14:paraId="0FC011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居住区</w:t>
                  </w:r>
                </w:p>
              </w:tc>
              <w:tc>
                <w:tcPr>
                  <w:tcW w:w="807" w:type="dxa"/>
                  <w:noWrap w:val="0"/>
                  <w:vAlign w:val="center"/>
                </w:tcPr>
                <w:p w14:paraId="3C0035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人群</w:t>
                  </w:r>
                </w:p>
              </w:tc>
              <w:tc>
                <w:tcPr>
                  <w:tcW w:w="921" w:type="dxa"/>
                  <w:noWrap w:val="0"/>
                  <w:vAlign w:val="center"/>
                </w:tcPr>
                <w:p w14:paraId="2BD1C3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二级</w:t>
                  </w:r>
                </w:p>
              </w:tc>
              <w:tc>
                <w:tcPr>
                  <w:tcW w:w="863" w:type="dxa"/>
                  <w:noWrap w:val="0"/>
                  <w:vAlign w:val="center"/>
                </w:tcPr>
                <w:p w14:paraId="2108F9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E</w:t>
                  </w:r>
                </w:p>
              </w:tc>
              <w:tc>
                <w:tcPr>
                  <w:tcW w:w="1047" w:type="dxa"/>
                  <w:noWrap w:val="0"/>
                  <w:vAlign w:val="center"/>
                </w:tcPr>
                <w:p w14:paraId="588B54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r>
            <w:tr w14:paraId="6FD67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noWrap w:val="0"/>
                  <w:vAlign w:val="center"/>
                </w:tcPr>
                <w:p w14:paraId="0EB961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葛庄社区</w:t>
                  </w:r>
                </w:p>
              </w:tc>
              <w:tc>
                <w:tcPr>
                  <w:tcW w:w="1185" w:type="dxa"/>
                  <w:noWrap w:val="0"/>
                  <w:vAlign w:val="center"/>
                </w:tcPr>
                <w:p w14:paraId="0C6ABC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118.719674</w:t>
                  </w:r>
                </w:p>
              </w:tc>
              <w:tc>
                <w:tcPr>
                  <w:tcW w:w="1178" w:type="dxa"/>
                  <w:noWrap w:val="0"/>
                  <w:vAlign w:val="center"/>
                </w:tcPr>
                <w:p w14:paraId="1B8AB5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33.623997</w:t>
                  </w:r>
                </w:p>
              </w:tc>
              <w:tc>
                <w:tcPr>
                  <w:tcW w:w="899" w:type="dxa"/>
                  <w:noWrap w:val="0"/>
                  <w:vAlign w:val="center"/>
                </w:tcPr>
                <w:p w14:paraId="639A90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居住区</w:t>
                  </w:r>
                </w:p>
              </w:tc>
              <w:tc>
                <w:tcPr>
                  <w:tcW w:w="807" w:type="dxa"/>
                  <w:noWrap w:val="0"/>
                  <w:vAlign w:val="center"/>
                </w:tcPr>
                <w:p w14:paraId="2A500F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人群</w:t>
                  </w:r>
                </w:p>
              </w:tc>
              <w:tc>
                <w:tcPr>
                  <w:tcW w:w="921" w:type="dxa"/>
                  <w:noWrap w:val="0"/>
                  <w:vAlign w:val="center"/>
                </w:tcPr>
                <w:p w14:paraId="5F26BD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二级</w:t>
                  </w:r>
                </w:p>
              </w:tc>
              <w:tc>
                <w:tcPr>
                  <w:tcW w:w="863" w:type="dxa"/>
                  <w:noWrap w:val="0"/>
                  <w:vAlign w:val="center"/>
                </w:tcPr>
                <w:p w14:paraId="764C71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SE</w:t>
                  </w:r>
                </w:p>
              </w:tc>
              <w:tc>
                <w:tcPr>
                  <w:tcW w:w="1047" w:type="dxa"/>
                  <w:noWrap w:val="0"/>
                  <w:vAlign w:val="center"/>
                </w:tcPr>
                <w:p w14:paraId="54B232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68</w:t>
                  </w:r>
                </w:p>
              </w:tc>
            </w:tr>
            <w:tr w14:paraId="08ECC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noWrap w:val="0"/>
                  <w:vAlign w:val="center"/>
                </w:tcPr>
                <w:p w14:paraId="71F95A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李口镇小学</w:t>
                  </w:r>
                </w:p>
              </w:tc>
              <w:tc>
                <w:tcPr>
                  <w:tcW w:w="1185" w:type="dxa"/>
                  <w:noWrap w:val="0"/>
                  <w:vAlign w:val="center"/>
                </w:tcPr>
                <w:p w14:paraId="3CE503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118.720178</w:t>
                  </w:r>
                </w:p>
              </w:tc>
              <w:tc>
                <w:tcPr>
                  <w:tcW w:w="1178" w:type="dxa"/>
                  <w:noWrap w:val="0"/>
                  <w:vAlign w:val="center"/>
                </w:tcPr>
                <w:p w14:paraId="1A08B7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33.621905</w:t>
                  </w:r>
                </w:p>
              </w:tc>
              <w:tc>
                <w:tcPr>
                  <w:tcW w:w="899" w:type="dxa"/>
                  <w:noWrap w:val="0"/>
                  <w:vAlign w:val="center"/>
                </w:tcPr>
                <w:p w14:paraId="26CB0D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学校</w:t>
                  </w:r>
                </w:p>
              </w:tc>
              <w:tc>
                <w:tcPr>
                  <w:tcW w:w="807" w:type="dxa"/>
                  <w:noWrap w:val="0"/>
                  <w:vAlign w:val="center"/>
                </w:tcPr>
                <w:p w14:paraId="3F38C5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人群</w:t>
                  </w:r>
                </w:p>
              </w:tc>
              <w:tc>
                <w:tcPr>
                  <w:tcW w:w="921" w:type="dxa"/>
                  <w:noWrap w:val="0"/>
                  <w:vAlign w:val="center"/>
                </w:tcPr>
                <w:p w14:paraId="74D6F9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二级</w:t>
                  </w:r>
                </w:p>
              </w:tc>
              <w:tc>
                <w:tcPr>
                  <w:tcW w:w="863" w:type="dxa"/>
                  <w:noWrap w:val="0"/>
                  <w:vAlign w:val="center"/>
                </w:tcPr>
                <w:p w14:paraId="59C115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SE</w:t>
                  </w:r>
                </w:p>
              </w:tc>
              <w:tc>
                <w:tcPr>
                  <w:tcW w:w="1047" w:type="dxa"/>
                  <w:noWrap w:val="0"/>
                  <w:vAlign w:val="center"/>
                </w:tcPr>
                <w:p w14:paraId="1B9CB96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445</w:t>
                  </w:r>
                </w:p>
              </w:tc>
            </w:tr>
            <w:tr w14:paraId="5B916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noWrap w:val="0"/>
                  <w:vAlign w:val="center"/>
                </w:tcPr>
                <w:p w14:paraId="727D99F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丽舍名都</w:t>
                  </w:r>
                </w:p>
              </w:tc>
              <w:tc>
                <w:tcPr>
                  <w:tcW w:w="1185" w:type="dxa"/>
                  <w:noWrap w:val="0"/>
                  <w:vAlign w:val="center"/>
                </w:tcPr>
                <w:p w14:paraId="1F0907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118.716798</w:t>
                  </w:r>
                </w:p>
              </w:tc>
              <w:tc>
                <w:tcPr>
                  <w:tcW w:w="1178" w:type="dxa"/>
                  <w:noWrap w:val="0"/>
                  <w:vAlign w:val="center"/>
                </w:tcPr>
                <w:p w14:paraId="4810C5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33.623975</w:t>
                  </w:r>
                </w:p>
              </w:tc>
              <w:tc>
                <w:tcPr>
                  <w:tcW w:w="899" w:type="dxa"/>
                  <w:noWrap w:val="0"/>
                  <w:vAlign w:val="center"/>
                </w:tcPr>
                <w:p w14:paraId="654D7E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居住区</w:t>
                  </w:r>
                </w:p>
              </w:tc>
              <w:tc>
                <w:tcPr>
                  <w:tcW w:w="807" w:type="dxa"/>
                  <w:noWrap w:val="0"/>
                  <w:vAlign w:val="center"/>
                </w:tcPr>
                <w:p w14:paraId="5EAA63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人群</w:t>
                  </w:r>
                </w:p>
              </w:tc>
              <w:tc>
                <w:tcPr>
                  <w:tcW w:w="921" w:type="dxa"/>
                  <w:noWrap w:val="0"/>
                  <w:vAlign w:val="center"/>
                </w:tcPr>
                <w:p w14:paraId="7BA38D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二级</w:t>
                  </w:r>
                </w:p>
              </w:tc>
              <w:tc>
                <w:tcPr>
                  <w:tcW w:w="863" w:type="dxa"/>
                  <w:noWrap w:val="0"/>
                  <w:vAlign w:val="center"/>
                </w:tcPr>
                <w:p w14:paraId="26417D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w:t>
                  </w:r>
                </w:p>
              </w:tc>
              <w:tc>
                <w:tcPr>
                  <w:tcW w:w="1047" w:type="dxa"/>
                  <w:noWrap w:val="0"/>
                  <w:vAlign w:val="center"/>
                </w:tcPr>
                <w:p w14:paraId="235B3B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132</w:t>
                  </w:r>
                </w:p>
              </w:tc>
            </w:tr>
            <w:tr w14:paraId="5F467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noWrap w:val="0"/>
                  <w:vAlign w:val="center"/>
                </w:tcPr>
                <w:p w14:paraId="0441E8C3">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丽舍名都幼儿园</w:t>
                  </w:r>
                </w:p>
              </w:tc>
              <w:tc>
                <w:tcPr>
                  <w:tcW w:w="1185" w:type="dxa"/>
                  <w:noWrap w:val="0"/>
                  <w:vAlign w:val="center"/>
                </w:tcPr>
                <w:p w14:paraId="40D32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118.714567</w:t>
                  </w:r>
                </w:p>
              </w:tc>
              <w:tc>
                <w:tcPr>
                  <w:tcW w:w="1178" w:type="dxa"/>
                  <w:noWrap w:val="0"/>
                  <w:vAlign w:val="center"/>
                </w:tcPr>
                <w:p w14:paraId="2B1A479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33.625714</w:t>
                  </w:r>
                </w:p>
              </w:tc>
              <w:tc>
                <w:tcPr>
                  <w:tcW w:w="899" w:type="dxa"/>
                  <w:noWrap w:val="0"/>
                  <w:vAlign w:val="center"/>
                </w:tcPr>
                <w:p w14:paraId="5248E1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学校</w:t>
                  </w:r>
                </w:p>
              </w:tc>
              <w:tc>
                <w:tcPr>
                  <w:tcW w:w="807" w:type="dxa"/>
                  <w:noWrap w:val="0"/>
                  <w:vAlign w:val="center"/>
                </w:tcPr>
                <w:p w14:paraId="1B1C51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人群</w:t>
                  </w:r>
                </w:p>
              </w:tc>
              <w:tc>
                <w:tcPr>
                  <w:tcW w:w="921" w:type="dxa"/>
                  <w:noWrap w:val="0"/>
                  <w:vAlign w:val="center"/>
                </w:tcPr>
                <w:p w14:paraId="60E19C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二级</w:t>
                  </w:r>
                </w:p>
              </w:tc>
              <w:tc>
                <w:tcPr>
                  <w:tcW w:w="863" w:type="dxa"/>
                  <w:noWrap w:val="0"/>
                  <w:vAlign w:val="center"/>
                </w:tcPr>
                <w:p w14:paraId="329EFC6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w:t>
                  </w:r>
                </w:p>
              </w:tc>
              <w:tc>
                <w:tcPr>
                  <w:tcW w:w="1047" w:type="dxa"/>
                  <w:noWrap w:val="0"/>
                  <w:vAlign w:val="center"/>
                </w:tcPr>
                <w:p w14:paraId="6A862C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45</w:t>
                  </w:r>
                </w:p>
              </w:tc>
            </w:tr>
            <w:tr w14:paraId="5A03A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noWrap w:val="0"/>
                  <w:vAlign w:val="center"/>
                </w:tcPr>
                <w:p w14:paraId="4768D059">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散户</w:t>
                  </w:r>
                </w:p>
              </w:tc>
              <w:tc>
                <w:tcPr>
                  <w:tcW w:w="1185" w:type="dxa"/>
                  <w:noWrap w:val="0"/>
                  <w:vAlign w:val="center"/>
                </w:tcPr>
                <w:p w14:paraId="128977FF">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118.714999</w:t>
                  </w:r>
                </w:p>
              </w:tc>
              <w:tc>
                <w:tcPr>
                  <w:tcW w:w="1178" w:type="dxa"/>
                  <w:noWrap w:val="0"/>
                  <w:vAlign w:val="center"/>
                </w:tcPr>
                <w:p w14:paraId="6A7E638E">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33.625804</w:t>
                  </w:r>
                </w:p>
              </w:tc>
              <w:tc>
                <w:tcPr>
                  <w:tcW w:w="899" w:type="dxa"/>
                  <w:noWrap w:val="0"/>
                  <w:vAlign w:val="center"/>
                </w:tcPr>
                <w:p w14:paraId="76500AEA">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居住区</w:t>
                  </w:r>
                </w:p>
              </w:tc>
              <w:tc>
                <w:tcPr>
                  <w:tcW w:w="807" w:type="dxa"/>
                  <w:noWrap w:val="0"/>
                  <w:vAlign w:val="center"/>
                </w:tcPr>
                <w:p w14:paraId="28160D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人群</w:t>
                  </w:r>
                </w:p>
              </w:tc>
              <w:tc>
                <w:tcPr>
                  <w:tcW w:w="921" w:type="dxa"/>
                  <w:noWrap w:val="0"/>
                  <w:vAlign w:val="center"/>
                </w:tcPr>
                <w:p w14:paraId="6E179B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二级</w:t>
                  </w:r>
                </w:p>
              </w:tc>
              <w:tc>
                <w:tcPr>
                  <w:tcW w:w="863" w:type="dxa"/>
                  <w:noWrap w:val="0"/>
                  <w:vAlign w:val="center"/>
                </w:tcPr>
                <w:p w14:paraId="5338ECDD">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w:t>
                  </w:r>
                </w:p>
              </w:tc>
              <w:tc>
                <w:tcPr>
                  <w:tcW w:w="1047" w:type="dxa"/>
                  <w:noWrap w:val="0"/>
                  <w:vAlign w:val="center"/>
                </w:tcPr>
                <w:p w14:paraId="4F7CA651">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45</w:t>
                  </w:r>
                </w:p>
              </w:tc>
            </w:tr>
            <w:tr w14:paraId="12571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noWrap w:val="0"/>
                  <w:vAlign w:val="center"/>
                </w:tcPr>
                <w:p w14:paraId="097A639C">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谢庄</w:t>
                  </w:r>
                </w:p>
              </w:tc>
              <w:tc>
                <w:tcPr>
                  <w:tcW w:w="1185" w:type="dxa"/>
                  <w:noWrap w:val="0"/>
                  <w:vAlign w:val="center"/>
                </w:tcPr>
                <w:p w14:paraId="1992647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118.711611</w:t>
                  </w:r>
                </w:p>
              </w:tc>
              <w:tc>
                <w:tcPr>
                  <w:tcW w:w="1178" w:type="dxa"/>
                  <w:noWrap w:val="0"/>
                  <w:vAlign w:val="center"/>
                </w:tcPr>
                <w:p w14:paraId="6F0D17F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33.625778</w:t>
                  </w:r>
                </w:p>
              </w:tc>
              <w:tc>
                <w:tcPr>
                  <w:tcW w:w="899" w:type="dxa"/>
                  <w:noWrap w:val="0"/>
                  <w:vAlign w:val="center"/>
                </w:tcPr>
                <w:p w14:paraId="5B9E30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居住区</w:t>
                  </w:r>
                </w:p>
              </w:tc>
              <w:tc>
                <w:tcPr>
                  <w:tcW w:w="807" w:type="dxa"/>
                  <w:noWrap w:val="0"/>
                  <w:vAlign w:val="center"/>
                </w:tcPr>
                <w:p w14:paraId="68DD8B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人群</w:t>
                  </w:r>
                </w:p>
              </w:tc>
              <w:tc>
                <w:tcPr>
                  <w:tcW w:w="921" w:type="dxa"/>
                  <w:noWrap w:val="0"/>
                  <w:vAlign w:val="center"/>
                </w:tcPr>
                <w:p w14:paraId="2E2258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二级</w:t>
                  </w:r>
                </w:p>
              </w:tc>
              <w:tc>
                <w:tcPr>
                  <w:tcW w:w="863" w:type="dxa"/>
                  <w:noWrap w:val="0"/>
                  <w:vAlign w:val="center"/>
                </w:tcPr>
                <w:p w14:paraId="21BDF09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SW</w:t>
                  </w:r>
                </w:p>
              </w:tc>
              <w:tc>
                <w:tcPr>
                  <w:tcW w:w="1047" w:type="dxa"/>
                  <w:noWrap w:val="0"/>
                  <w:vAlign w:val="center"/>
                </w:tcPr>
                <w:p w14:paraId="00C07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60</w:t>
                  </w:r>
                </w:p>
              </w:tc>
            </w:tr>
            <w:tr w14:paraId="0C9ED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7" w:type="dxa"/>
                  <w:noWrap w:val="0"/>
                  <w:vAlign w:val="center"/>
                </w:tcPr>
                <w:p w14:paraId="1EB9667D">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小葛庄</w:t>
                  </w:r>
                </w:p>
              </w:tc>
              <w:tc>
                <w:tcPr>
                  <w:tcW w:w="1185" w:type="dxa"/>
                  <w:noWrap w:val="0"/>
                  <w:vAlign w:val="center"/>
                </w:tcPr>
                <w:p w14:paraId="241C3C8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118.715012</w:t>
                  </w:r>
                </w:p>
              </w:tc>
              <w:tc>
                <w:tcPr>
                  <w:tcW w:w="1178" w:type="dxa"/>
                  <w:noWrap w:val="0"/>
                  <w:vAlign w:val="center"/>
                </w:tcPr>
                <w:p w14:paraId="601A102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33.630220</w:t>
                  </w:r>
                </w:p>
              </w:tc>
              <w:tc>
                <w:tcPr>
                  <w:tcW w:w="899" w:type="dxa"/>
                  <w:noWrap w:val="0"/>
                  <w:vAlign w:val="center"/>
                </w:tcPr>
                <w:p w14:paraId="60F6F7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居住区</w:t>
                  </w:r>
                </w:p>
              </w:tc>
              <w:tc>
                <w:tcPr>
                  <w:tcW w:w="807" w:type="dxa"/>
                  <w:noWrap w:val="0"/>
                  <w:vAlign w:val="center"/>
                </w:tcPr>
                <w:p w14:paraId="5458D0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人群</w:t>
                  </w:r>
                </w:p>
              </w:tc>
              <w:tc>
                <w:tcPr>
                  <w:tcW w:w="921" w:type="dxa"/>
                  <w:noWrap w:val="0"/>
                  <w:vAlign w:val="center"/>
                </w:tcPr>
                <w:p w14:paraId="52D5AA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二级</w:t>
                  </w:r>
                </w:p>
              </w:tc>
              <w:tc>
                <w:tcPr>
                  <w:tcW w:w="863" w:type="dxa"/>
                  <w:noWrap w:val="0"/>
                  <w:vAlign w:val="center"/>
                </w:tcPr>
                <w:p w14:paraId="38469F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N</w:t>
                  </w:r>
                </w:p>
              </w:tc>
              <w:tc>
                <w:tcPr>
                  <w:tcW w:w="1047" w:type="dxa"/>
                  <w:noWrap w:val="0"/>
                  <w:vAlign w:val="center"/>
                </w:tcPr>
                <w:p w14:paraId="7C0691D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230</w:t>
                  </w:r>
                </w:p>
              </w:tc>
            </w:tr>
            <w:tr w14:paraId="3A54E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937" w:type="dxa"/>
                  <w:gridSpan w:val="8"/>
                  <w:noWrap w:val="0"/>
                  <w:vAlign w:val="center"/>
                </w:tcPr>
                <w:p w14:paraId="1499AA01">
                  <w:pPr>
                    <w:keepNext w:val="0"/>
                    <w:keepLines w:val="0"/>
                    <w:widowControl/>
                    <w:suppressLineNumbers w:val="0"/>
                    <w:spacing w:before="0" w:beforeAutospacing="0" w:after="0" w:afterAutospacing="0"/>
                    <w:ind w:left="0" w:right="0"/>
                    <w:jc w:val="both"/>
                    <w:textAlignment w:val="center"/>
                    <w:rPr>
                      <w:rFonts w:hint="eastAsia"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bidi="ar"/>
                    </w:rPr>
                    <w:t>*注：表中距离为厂界与敏感点的最近距离。</w:t>
                  </w:r>
                </w:p>
              </w:tc>
            </w:tr>
          </w:tbl>
          <w:p w14:paraId="7572B2DB">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20" w:firstLineChars="200"/>
              <w:textAlignment w:val="auto"/>
              <w:rPr>
                <w:color w:val="auto"/>
                <w:kern w:val="0"/>
                <w:sz w:val="21"/>
                <w:szCs w:val="21"/>
                <w:highlight w:val="none"/>
              </w:rPr>
            </w:pPr>
            <w:r>
              <w:rPr>
                <w:color w:val="auto"/>
                <w:kern w:val="0"/>
                <w:sz w:val="21"/>
                <w:szCs w:val="21"/>
                <w:highlight w:val="none"/>
              </w:rPr>
              <w:t>（2）声环境</w:t>
            </w:r>
          </w:p>
          <w:p w14:paraId="2D359443">
            <w:pPr>
              <w:keepNext w:val="0"/>
              <w:keepLines w:val="0"/>
              <w:suppressLineNumbers w:val="0"/>
              <w:spacing w:before="0" w:beforeAutospacing="0" w:after="0" w:afterAutospacing="0" w:line="360" w:lineRule="auto"/>
              <w:ind w:left="0" w:right="0" w:firstLine="420" w:firstLineChars="200"/>
              <w:rPr>
                <w:color w:val="auto"/>
                <w:sz w:val="21"/>
                <w:szCs w:val="21"/>
              </w:rPr>
            </w:pPr>
            <w:r>
              <w:rPr>
                <w:color w:val="auto"/>
                <w:sz w:val="21"/>
                <w:szCs w:val="21"/>
              </w:rPr>
              <w:t>本项目厂界外50米范围</w:t>
            </w:r>
            <w:r>
              <w:rPr>
                <w:rFonts w:hint="eastAsia"/>
                <w:color w:val="auto"/>
                <w:sz w:val="21"/>
                <w:szCs w:val="21"/>
              </w:rPr>
              <w:t>存在</w:t>
            </w:r>
            <w:r>
              <w:rPr>
                <w:color w:val="auto"/>
                <w:sz w:val="21"/>
                <w:szCs w:val="21"/>
              </w:rPr>
              <w:t>声环境保护目标</w:t>
            </w:r>
            <w:r>
              <w:rPr>
                <w:rFonts w:hint="eastAsia"/>
                <w:color w:val="auto"/>
                <w:sz w:val="21"/>
                <w:szCs w:val="21"/>
              </w:rPr>
              <w:t>，具体情况如表3</w:t>
            </w:r>
            <w:r>
              <w:rPr>
                <w:color w:val="auto"/>
                <w:sz w:val="21"/>
                <w:szCs w:val="21"/>
              </w:rPr>
              <w:t>-</w:t>
            </w:r>
            <w:r>
              <w:rPr>
                <w:rFonts w:hint="eastAsia"/>
                <w:color w:val="auto"/>
                <w:sz w:val="21"/>
                <w:szCs w:val="21"/>
                <w:lang w:val="en-US" w:eastAsia="zh-CN"/>
              </w:rPr>
              <w:t>5</w:t>
            </w:r>
            <w:r>
              <w:rPr>
                <w:color w:val="auto"/>
                <w:sz w:val="21"/>
                <w:szCs w:val="21"/>
              </w:rPr>
              <w:t>。</w:t>
            </w:r>
          </w:p>
          <w:p w14:paraId="19FB6A3B">
            <w:pPr>
              <w:keepNext w:val="0"/>
              <w:keepLines w:val="0"/>
              <w:pageBreakBefore w:val="0"/>
              <w:widowControl w:val="0"/>
              <w:suppressLineNumbers w:val="0"/>
              <w:kinsoku/>
              <w:wordWrap/>
              <w:overflowPunct/>
              <w:topLinePunct w:val="0"/>
              <w:autoSpaceDE/>
              <w:autoSpaceDN/>
              <w:bidi w:val="0"/>
              <w:adjustRightInd/>
              <w:snapToGrid/>
              <w:spacing w:before="120" w:beforeLines="50" w:beforeAutospacing="0" w:after="0" w:afterAutospacing="0"/>
              <w:ind w:left="0" w:right="0"/>
              <w:jc w:val="center"/>
              <w:textAlignment w:val="auto"/>
              <w:rPr>
                <w:b/>
                <w:bCs/>
                <w:color w:val="auto"/>
                <w:sz w:val="21"/>
                <w:szCs w:val="21"/>
              </w:rPr>
            </w:pPr>
          </w:p>
          <w:p w14:paraId="5947F9ED">
            <w:pPr>
              <w:keepNext w:val="0"/>
              <w:keepLines w:val="0"/>
              <w:pageBreakBefore w:val="0"/>
              <w:widowControl w:val="0"/>
              <w:suppressLineNumbers w:val="0"/>
              <w:kinsoku/>
              <w:wordWrap/>
              <w:overflowPunct/>
              <w:topLinePunct w:val="0"/>
              <w:autoSpaceDE/>
              <w:autoSpaceDN/>
              <w:bidi w:val="0"/>
              <w:adjustRightInd/>
              <w:snapToGrid/>
              <w:spacing w:before="120" w:beforeLines="50" w:beforeAutospacing="0" w:after="0" w:afterAutospacing="0"/>
              <w:ind w:left="0" w:right="0"/>
              <w:jc w:val="center"/>
              <w:textAlignment w:val="auto"/>
              <w:rPr>
                <w:b/>
                <w:bCs/>
                <w:color w:val="auto"/>
                <w:sz w:val="21"/>
                <w:szCs w:val="21"/>
              </w:rPr>
            </w:pPr>
            <w:r>
              <w:rPr>
                <w:b/>
                <w:bCs/>
                <w:color w:val="auto"/>
                <w:sz w:val="21"/>
                <w:szCs w:val="21"/>
              </w:rPr>
              <w:t>表3-</w:t>
            </w:r>
            <w:r>
              <w:rPr>
                <w:rFonts w:hint="eastAsia"/>
                <w:b/>
                <w:bCs/>
                <w:color w:val="auto"/>
                <w:sz w:val="21"/>
                <w:szCs w:val="21"/>
                <w:lang w:val="en-US" w:eastAsia="zh-CN"/>
              </w:rPr>
              <w:t>5</w:t>
            </w:r>
            <w:r>
              <w:rPr>
                <w:rFonts w:hint="eastAsia"/>
                <w:b/>
                <w:bCs/>
                <w:color w:val="auto"/>
                <w:sz w:val="21"/>
                <w:szCs w:val="21"/>
              </w:rPr>
              <w:t xml:space="preserve"> </w:t>
            </w:r>
            <w:r>
              <w:rPr>
                <w:b/>
                <w:bCs/>
                <w:color w:val="auto"/>
                <w:sz w:val="21"/>
                <w:szCs w:val="21"/>
              </w:rPr>
              <w:t>项目50m范围内</w:t>
            </w:r>
            <w:r>
              <w:rPr>
                <w:rFonts w:hint="eastAsia"/>
                <w:b/>
                <w:bCs/>
                <w:color w:val="auto"/>
                <w:sz w:val="21"/>
                <w:szCs w:val="21"/>
              </w:rPr>
              <w:t>声环境</w:t>
            </w:r>
            <w:r>
              <w:rPr>
                <w:b/>
                <w:bCs/>
                <w:color w:val="auto"/>
                <w:sz w:val="21"/>
                <w:szCs w:val="21"/>
              </w:rPr>
              <w:t>保护目标情况表</w:t>
            </w:r>
          </w:p>
          <w:tbl>
            <w:tblPr>
              <w:tblStyle w:val="30"/>
              <w:tblW w:w="81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238"/>
              <w:gridCol w:w="1270"/>
              <w:gridCol w:w="866"/>
              <w:gridCol w:w="722"/>
              <w:gridCol w:w="867"/>
              <w:gridCol w:w="926"/>
              <w:gridCol w:w="1146"/>
            </w:tblGrid>
            <w:tr w14:paraId="5CC26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restart"/>
                  <w:vAlign w:val="center"/>
                </w:tcPr>
                <w:p w14:paraId="1FA5AD48">
                  <w:pPr>
                    <w:keepNext w:val="0"/>
                    <w:keepLines w:val="0"/>
                    <w:suppressLineNumbers w:val="0"/>
                    <w:spacing w:before="0" w:beforeAutospacing="0" w:after="0" w:afterAutospacing="0"/>
                    <w:ind w:left="0" w:right="0"/>
                    <w:jc w:val="center"/>
                    <w:rPr>
                      <w:b/>
                      <w:bCs/>
                      <w:color w:val="auto"/>
                      <w:sz w:val="21"/>
                      <w:szCs w:val="21"/>
                    </w:rPr>
                  </w:pPr>
                  <w:r>
                    <w:rPr>
                      <w:b/>
                      <w:bCs/>
                      <w:color w:val="auto"/>
                      <w:sz w:val="21"/>
                      <w:szCs w:val="21"/>
                    </w:rPr>
                    <w:t>名称</w:t>
                  </w:r>
                </w:p>
              </w:tc>
              <w:tc>
                <w:tcPr>
                  <w:tcW w:w="2508" w:type="dxa"/>
                  <w:gridSpan w:val="2"/>
                  <w:vAlign w:val="center"/>
                </w:tcPr>
                <w:p w14:paraId="231C5EC4">
                  <w:pPr>
                    <w:keepNext w:val="0"/>
                    <w:keepLines w:val="0"/>
                    <w:suppressLineNumbers w:val="0"/>
                    <w:spacing w:before="0" w:beforeAutospacing="0" w:after="0" w:afterAutospacing="0"/>
                    <w:ind w:left="0" w:right="0"/>
                    <w:jc w:val="center"/>
                    <w:rPr>
                      <w:b/>
                      <w:bCs/>
                      <w:color w:val="auto"/>
                      <w:sz w:val="21"/>
                      <w:szCs w:val="21"/>
                    </w:rPr>
                  </w:pPr>
                  <w:r>
                    <w:rPr>
                      <w:b/>
                      <w:bCs/>
                      <w:color w:val="auto"/>
                      <w:sz w:val="21"/>
                      <w:szCs w:val="21"/>
                    </w:rPr>
                    <w:t>坐标</w:t>
                  </w:r>
                </w:p>
              </w:tc>
              <w:tc>
                <w:tcPr>
                  <w:tcW w:w="866" w:type="dxa"/>
                  <w:vMerge w:val="restart"/>
                  <w:vAlign w:val="center"/>
                </w:tcPr>
                <w:p w14:paraId="1329FF9C">
                  <w:pPr>
                    <w:keepNext w:val="0"/>
                    <w:keepLines w:val="0"/>
                    <w:suppressLineNumbers w:val="0"/>
                    <w:spacing w:before="0" w:beforeAutospacing="0" w:after="0" w:afterAutospacing="0"/>
                    <w:ind w:left="0" w:right="0"/>
                    <w:jc w:val="center"/>
                    <w:rPr>
                      <w:b/>
                      <w:bCs/>
                      <w:color w:val="auto"/>
                      <w:sz w:val="21"/>
                      <w:szCs w:val="21"/>
                    </w:rPr>
                  </w:pPr>
                  <w:r>
                    <w:rPr>
                      <w:b/>
                      <w:bCs/>
                      <w:color w:val="auto"/>
                      <w:sz w:val="21"/>
                      <w:szCs w:val="21"/>
                    </w:rPr>
                    <w:t>保护对象</w:t>
                  </w:r>
                </w:p>
              </w:tc>
              <w:tc>
                <w:tcPr>
                  <w:tcW w:w="722" w:type="dxa"/>
                  <w:vMerge w:val="restart"/>
                  <w:vAlign w:val="center"/>
                </w:tcPr>
                <w:p w14:paraId="78116B55">
                  <w:pPr>
                    <w:keepNext w:val="0"/>
                    <w:keepLines w:val="0"/>
                    <w:suppressLineNumbers w:val="0"/>
                    <w:spacing w:before="0" w:beforeAutospacing="0" w:after="0" w:afterAutospacing="0"/>
                    <w:ind w:left="0" w:right="0"/>
                    <w:jc w:val="center"/>
                    <w:rPr>
                      <w:b/>
                      <w:bCs/>
                      <w:color w:val="auto"/>
                      <w:sz w:val="21"/>
                      <w:szCs w:val="21"/>
                    </w:rPr>
                  </w:pPr>
                  <w:r>
                    <w:rPr>
                      <w:b/>
                      <w:bCs/>
                      <w:color w:val="auto"/>
                      <w:sz w:val="21"/>
                      <w:szCs w:val="21"/>
                    </w:rPr>
                    <w:t>保护内容</w:t>
                  </w:r>
                </w:p>
              </w:tc>
              <w:tc>
                <w:tcPr>
                  <w:tcW w:w="867" w:type="dxa"/>
                  <w:vMerge w:val="restart"/>
                  <w:vAlign w:val="center"/>
                </w:tcPr>
                <w:p w14:paraId="5CD1E863">
                  <w:pPr>
                    <w:keepNext w:val="0"/>
                    <w:keepLines w:val="0"/>
                    <w:suppressLineNumbers w:val="0"/>
                    <w:spacing w:before="0" w:beforeAutospacing="0" w:after="0" w:afterAutospacing="0"/>
                    <w:ind w:left="0" w:right="0"/>
                    <w:jc w:val="center"/>
                    <w:rPr>
                      <w:b/>
                      <w:bCs/>
                      <w:color w:val="auto"/>
                      <w:sz w:val="21"/>
                      <w:szCs w:val="21"/>
                    </w:rPr>
                  </w:pPr>
                  <w:r>
                    <w:rPr>
                      <w:b/>
                      <w:bCs/>
                      <w:color w:val="auto"/>
                      <w:sz w:val="21"/>
                      <w:szCs w:val="21"/>
                    </w:rPr>
                    <w:t>环境功能区</w:t>
                  </w:r>
                </w:p>
              </w:tc>
              <w:tc>
                <w:tcPr>
                  <w:tcW w:w="926" w:type="dxa"/>
                  <w:vMerge w:val="restart"/>
                  <w:vAlign w:val="center"/>
                </w:tcPr>
                <w:p w14:paraId="3D97E705">
                  <w:pPr>
                    <w:keepNext w:val="0"/>
                    <w:keepLines w:val="0"/>
                    <w:suppressLineNumbers w:val="0"/>
                    <w:spacing w:before="0" w:beforeAutospacing="0" w:after="0" w:afterAutospacing="0"/>
                    <w:ind w:left="0" w:right="0"/>
                    <w:jc w:val="center"/>
                    <w:rPr>
                      <w:b/>
                      <w:bCs/>
                      <w:color w:val="auto"/>
                      <w:sz w:val="21"/>
                      <w:szCs w:val="21"/>
                    </w:rPr>
                  </w:pPr>
                  <w:r>
                    <w:rPr>
                      <w:b/>
                      <w:bCs/>
                      <w:color w:val="auto"/>
                      <w:sz w:val="21"/>
                      <w:szCs w:val="21"/>
                    </w:rPr>
                    <w:t>相对厂址方位</w:t>
                  </w:r>
                </w:p>
              </w:tc>
              <w:tc>
                <w:tcPr>
                  <w:tcW w:w="1146" w:type="dxa"/>
                  <w:vMerge w:val="restart"/>
                  <w:vAlign w:val="center"/>
                </w:tcPr>
                <w:p w14:paraId="5680FB5F">
                  <w:pPr>
                    <w:keepNext w:val="0"/>
                    <w:keepLines w:val="0"/>
                    <w:suppressLineNumbers w:val="0"/>
                    <w:spacing w:before="0" w:beforeAutospacing="0" w:after="0" w:afterAutospacing="0"/>
                    <w:ind w:left="0" w:right="0"/>
                    <w:jc w:val="center"/>
                    <w:rPr>
                      <w:b/>
                      <w:bCs/>
                      <w:color w:val="auto"/>
                      <w:sz w:val="21"/>
                      <w:szCs w:val="21"/>
                    </w:rPr>
                  </w:pPr>
                  <w:r>
                    <w:rPr>
                      <w:rFonts w:hint="eastAsia"/>
                      <w:b/>
                      <w:bCs/>
                      <w:color w:val="auto"/>
                      <w:sz w:val="21"/>
                      <w:szCs w:val="21"/>
                    </w:rPr>
                    <w:t>*</w:t>
                  </w:r>
                  <w:r>
                    <w:rPr>
                      <w:b/>
                      <w:bCs/>
                      <w:color w:val="auto"/>
                      <w:sz w:val="21"/>
                      <w:szCs w:val="21"/>
                    </w:rPr>
                    <w:t>相对厂界距离/m</w:t>
                  </w:r>
                </w:p>
              </w:tc>
            </w:tr>
            <w:tr w14:paraId="6592E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vAlign w:val="center"/>
                </w:tcPr>
                <w:p w14:paraId="703D3C45">
                  <w:pPr>
                    <w:keepNext w:val="0"/>
                    <w:keepLines w:val="0"/>
                    <w:suppressLineNumbers w:val="0"/>
                    <w:spacing w:before="0" w:beforeAutospacing="0" w:after="0" w:afterAutospacing="0"/>
                    <w:ind w:left="0" w:right="0"/>
                    <w:jc w:val="center"/>
                    <w:rPr>
                      <w:color w:val="auto"/>
                      <w:sz w:val="21"/>
                      <w:szCs w:val="21"/>
                    </w:rPr>
                  </w:pPr>
                </w:p>
              </w:tc>
              <w:tc>
                <w:tcPr>
                  <w:tcW w:w="1238" w:type="dxa"/>
                  <w:vAlign w:val="center"/>
                </w:tcPr>
                <w:p w14:paraId="6E5F986B">
                  <w:pPr>
                    <w:keepNext w:val="0"/>
                    <w:keepLines w:val="0"/>
                    <w:suppressLineNumbers w:val="0"/>
                    <w:spacing w:before="0" w:beforeAutospacing="0" w:after="0" w:afterAutospacing="0"/>
                    <w:ind w:left="0" w:right="0"/>
                    <w:jc w:val="center"/>
                    <w:rPr>
                      <w:b/>
                      <w:bCs/>
                      <w:color w:val="auto"/>
                      <w:sz w:val="21"/>
                      <w:szCs w:val="21"/>
                    </w:rPr>
                  </w:pPr>
                  <w:r>
                    <w:rPr>
                      <w:rFonts w:hint="eastAsia"/>
                      <w:b/>
                      <w:bCs/>
                      <w:color w:val="auto"/>
                      <w:sz w:val="21"/>
                      <w:szCs w:val="21"/>
                    </w:rPr>
                    <w:t>经度</w:t>
                  </w:r>
                </w:p>
              </w:tc>
              <w:tc>
                <w:tcPr>
                  <w:tcW w:w="1270" w:type="dxa"/>
                  <w:vAlign w:val="center"/>
                </w:tcPr>
                <w:p w14:paraId="3F736D34">
                  <w:pPr>
                    <w:keepNext w:val="0"/>
                    <w:keepLines w:val="0"/>
                    <w:suppressLineNumbers w:val="0"/>
                    <w:spacing w:before="0" w:beforeAutospacing="0" w:after="0" w:afterAutospacing="0"/>
                    <w:ind w:left="0" w:right="0"/>
                    <w:jc w:val="center"/>
                    <w:rPr>
                      <w:b/>
                      <w:bCs/>
                      <w:color w:val="auto"/>
                      <w:sz w:val="21"/>
                      <w:szCs w:val="21"/>
                    </w:rPr>
                  </w:pPr>
                  <w:r>
                    <w:rPr>
                      <w:rFonts w:hint="eastAsia"/>
                      <w:b/>
                      <w:bCs/>
                      <w:color w:val="auto"/>
                      <w:sz w:val="21"/>
                      <w:szCs w:val="21"/>
                    </w:rPr>
                    <w:t>纬度</w:t>
                  </w:r>
                </w:p>
              </w:tc>
              <w:tc>
                <w:tcPr>
                  <w:tcW w:w="866" w:type="dxa"/>
                  <w:vMerge w:val="continue"/>
                  <w:vAlign w:val="center"/>
                </w:tcPr>
                <w:p w14:paraId="47FC98E7">
                  <w:pPr>
                    <w:keepNext w:val="0"/>
                    <w:keepLines w:val="0"/>
                    <w:suppressLineNumbers w:val="0"/>
                    <w:spacing w:before="0" w:beforeAutospacing="0" w:after="0" w:afterAutospacing="0"/>
                    <w:ind w:left="0" w:right="0"/>
                    <w:jc w:val="center"/>
                    <w:rPr>
                      <w:color w:val="auto"/>
                      <w:sz w:val="21"/>
                      <w:szCs w:val="21"/>
                    </w:rPr>
                  </w:pPr>
                </w:p>
              </w:tc>
              <w:tc>
                <w:tcPr>
                  <w:tcW w:w="722" w:type="dxa"/>
                  <w:vMerge w:val="continue"/>
                  <w:vAlign w:val="center"/>
                </w:tcPr>
                <w:p w14:paraId="68CE7CA0">
                  <w:pPr>
                    <w:keepNext w:val="0"/>
                    <w:keepLines w:val="0"/>
                    <w:suppressLineNumbers w:val="0"/>
                    <w:spacing w:before="0" w:beforeAutospacing="0" w:after="0" w:afterAutospacing="0"/>
                    <w:ind w:left="0" w:right="0"/>
                    <w:jc w:val="center"/>
                    <w:rPr>
                      <w:color w:val="auto"/>
                      <w:sz w:val="21"/>
                      <w:szCs w:val="21"/>
                    </w:rPr>
                  </w:pPr>
                </w:p>
              </w:tc>
              <w:tc>
                <w:tcPr>
                  <w:tcW w:w="867" w:type="dxa"/>
                  <w:vMerge w:val="continue"/>
                  <w:vAlign w:val="center"/>
                </w:tcPr>
                <w:p w14:paraId="2B412B31">
                  <w:pPr>
                    <w:keepNext w:val="0"/>
                    <w:keepLines w:val="0"/>
                    <w:suppressLineNumbers w:val="0"/>
                    <w:spacing w:before="0" w:beforeAutospacing="0" w:after="0" w:afterAutospacing="0"/>
                    <w:ind w:left="0" w:right="0"/>
                    <w:jc w:val="center"/>
                    <w:rPr>
                      <w:color w:val="auto"/>
                      <w:sz w:val="21"/>
                      <w:szCs w:val="21"/>
                    </w:rPr>
                  </w:pPr>
                </w:p>
              </w:tc>
              <w:tc>
                <w:tcPr>
                  <w:tcW w:w="926" w:type="dxa"/>
                  <w:vMerge w:val="continue"/>
                  <w:vAlign w:val="center"/>
                </w:tcPr>
                <w:p w14:paraId="35FE7E68">
                  <w:pPr>
                    <w:keepNext w:val="0"/>
                    <w:keepLines w:val="0"/>
                    <w:suppressLineNumbers w:val="0"/>
                    <w:spacing w:before="0" w:beforeAutospacing="0" w:after="0" w:afterAutospacing="0"/>
                    <w:ind w:left="0" w:right="0"/>
                    <w:jc w:val="center"/>
                    <w:rPr>
                      <w:color w:val="auto"/>
                      <w:sz w:val="21"/>
                      <w:szCs w:val="21"/>
                    </w:rPr>
                  </w:pPr>
                </w:p>
              </w:tc>
              <w:tc>
                <w:tcPr>
                  <w:tcW w:w="1146" w:type="dxa"/>
                  <w:vMerge w:val="continue"/>
                  <w:vAlign w:val="center"/>
                </w:tcPr>
                <w:p w14:paraId="626F56BF">
                  <w:pPr>
                    <w:keepNext w:val="0"/>
                    <w:keepLines w:val="0"/>
                    <w:suppressLineNumbers w:val="0"/>
                    <w:spacing w:before="0" w:beforeAutospacing="0" w:after="0" w:afterAutospacing="0"/>
                    <w:ind w:left="0" w:right="0"/>
                    <w:jc w:val="center"/>
                    <w:rPr>
                      <w:color w:val="auto"/>
                      <w:sz w:val="21"/>
                      <w:szCs w:val="21"/>
                    </w:rPr>
                  </w:pPr>
                </w:p>
              </w:tc>
            </w:tr>
            <w:tr w14:paraId="5B538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Align w:val="center"/>
                </w:tcPr>
                <w:p w14:paraId="39CE23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曹葛庄</w:t>
                  </w:r>
                </w:p>
              </w:tc>
              <w:tc>
                <w:tcPr>
                  <w:tcW w:w="1238" w:type="dxa"/>
                  <w:vAlign w:val="center"/>
                </w:tcPr>
                <w:p w14:paraId="5D8091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118.717979</w:t>
                  </w:r>
                </w:p>
              </w:tc>
              <w:tc>
                <w:tcPr>
                  <w:tcW w:w="1270" w:type="dxa"/>
                  <w:vAlign w:val="center"/>
                </w:tcPr>
                <w:p w14:paraId="44958B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33.627928</w:t>
                  </w:r>
                </w:p>
              </w:tc>
              <w:tc>
                <w:tcPr>
                  <w:tcW w:w="866" w:type="dxa"/>
                  <w:vAlign w:val="center"/>
                </w:tcPr>
                <w:p w14:paraId="7DCA6A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居住区</w:t>
                  </w:r>
                </w:p>
              </w:tc>
              <w:tc>
                <w:tcPr>
                  <w:tcW w:w="722" w:type="dxa"/>
                  <w:vAlign w:val="center"/>
                </w:tcPr>
                <w:p w14:paraId="39AEDF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人群</w:t>
                  </w:r>
                </w:p>
              </w:tc>
              <w:tc>
                <w:tcPr>
                  <w:tcW w:w="867" w:type="dxa"/>
                  <w:vAlign w:val="center"/>
                </w:tcPr>
                <w:p w14:paraId="4E5B03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二级</w:t>
                  </w:r>
                </w:p>
              </w:tc>
              <w:tc>
                <w:tcPr>
                  <w:tcW w:w="926" w:type="dxa"/>
                  <w:vAlign w:val="center"/>
                </w:tcPr>
                <w:p w14:paraId="3BA3495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E</w:t>
                  </w:r>
                </w:p>
              </w:tc>
              <w:tc>
                <w:tcPr>
                  <w:tcW w:w="1146" w:type="dxa"/>
                  <w:vAlign w:val="center"/>
                </w:tcPr>
                <w:p w14:paraId="66A192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r>
            <w:tr w14:paraId="3CD02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Align w:val="center"/>
                </w:tcPr>
                <w:p w14:paraId="3158F59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丽舍名都幼儿园</w:t>
                  </w:r>
                </w:p>
              </w:tc>
              <w:tc>
                <w:tcPr>
                  <w:tcW w:w="1238" w:type="dxa"/>
                  <w:vAlign w:val="center"/>
                </w:tcPr>
                <w:p w14:paraId="3A20268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118.714567</w:t>
                  </w:r>
                </w:p>
              </w:tc>
              <w:tc>
                <w:tcPr>
                  <w:tcW w:w="1270" w:type="dxa"/>
                  <w:vAlign w:val="center"/>
                </w:tcPr>
                <w:p w14:paraId="54D7794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33.625714</w:t>
                  </w:r>
                </w:p>
              </w:tc>
              <w:tc>
                <w:tcPr>
                  <w:tcW w:w="866" w:type="dxa"/>
                  <w:vAlign w:val="center"/>
                </w:tcPr>
                <w:p w14:paraId="0ACF41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学校</w:t>
                  </w:r>
                </w:p>
              </w:tc>
              <w:tc>
                <w:tcPr>
                  <w:tcW w:w="722" w:type="dxa"/>
                  <w:vAlign w:val="center"/>
                </w:tcPr>
                <w:p w14:paraId="66E691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人群</w:t>
                  </w:r>
                </w:p>
              </w:tc>
              <w:tc>
                <w:tcPr>
                  <w:tcW w:w="867" w:type="dxa"/>
                  <w:vAlign w:val="center"/>
                </w:tcPr>
                <w:p w14:paraId="369A84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二级</w:t>
                  </w:r>
                </w:p>
              </w:tc>
              <w:tc>
                <w:tcPr>
                  <w:tcW w:w="926" w:type="dxa"/>
                  <w:vAlign w:val="center"/>
                </w:tcPr>
                <w:p w14:paraId="147BD21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w:t>
                  </w:r>
                </w:p>
              </w:tc>
              <w:tc>
                <w:tcPr>
                  <w:tcW w:w="1146" w:type="dxa"/>
                  <w:vAlign w:val="center"/>
                </w:tcPr>
                <w:p w14:paraId="7B15BCA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45</w:t>
                  </w:r>
                </w:p>
              </w:tc>
            </w:tr>
            <w:tr w14:paraId="6FFCC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shd w:val="clear" w:color="auto" w:fill="auto"/>
                  <w:vAlign w:val="center"/>
                </w:tcPr>
                <w:p w14:paraId="3653D37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散户</w:t>
                  </w:r>
                </w:p>
              </w:tc>
              <w:tc>
                <w:tcPr>
                  <w:tcW w:w="1238" w:type="dxa"/>
                  <w:shd w:val="clear" w:color="auto" w:fill="auto"/>
                  <w:vAlign w:val="center"/>
                </w:tcPr>
                <w:p w14:paraId="0E67EAF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118.714999</w:t>
                  </w:r>
                </w:p>
              </w:tc>
              <w:tc>
                <w:tcPr>
                  <w:tcW w:w="1270" w:type="dxa"/>
                  <w:shd w:val="clear" w:color="auto" w:fill="auto"/>
                  <w:vAlign w:val="center"/>
                </w:tcPr>
                <w:p w14:paraId="79C004F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33.625804</w:t>
                  </w:r>
                </w:p>
              </w:tc>
              <w:tc>
                <w:tcPr>
                  <w:tcW w:w="866" w:type="dxa"/>
                  <w:shd w:val="clear" w:color="auto" w:fill="auto"/>
                  <w:vAlign w:val="center"/>
                </w:tcPr>
                <w:p w14:paraId="3DDDA75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居住区</w:t>
                  </w:r>
                </w:p>
              </w:tc>
              <w:tc>
                <w:tcPr>
                  <w:tcW w:w="722" w:type="dxa"/>
                  <w:shd w:val="clear" w:color="auto" w:fill="auto"/>
                  <w:vAlign w:val="center"/>
                </w:tcPr>
                <w:p w14:paraId="773644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人群</w:t>
                  </w:r>
                </w:p>
              </w:tc>
              <w:tc>
                <w:tcPr>
                  <w:tcW w:w="867" w:type="dxa"/>
                  <w:shd w:val="clear" w:color="auto" w:fill="auto"/>
                  <w:vAlign w:val="center"/>
                </w:tcPr>
                <w:p w14:paraId="6D53B5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二级</w:t>
                  </w:r>
                </w:p>
              </w:tc>
              <w:tc>
                <w:tcPr>
                  <w:tcW w:w="926" w:type="dxa"/>
                  <w:shd w:val="clear" w:color="auto" w:fill="auto"/>
                  <w:vAlign w:val="center"/>
                </w:tcPr>
                <w:p w14:paraId="054745E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w:t>
                  </w:r>
                </w:p>
              </w:tc>
              <w:tc>
                <w:tcPr>
                  <w:tcW w:w="1146" w:type="dxa"/>
                  <w:shd w:val="clear" w:color="auto" w:fill="auto"/>
                  <w:vAlign w:val="center"/>
                </w:tcPr>
                <w:p w14:paraId="0DDD6F0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45</w:t>
                  </w:r>
                </w:p>
              </w:tc>
            </w:tr>
            <w:tr w14:paraId="5580B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6" w:type="dxa"/>
                  <w:gridSpan w:val="8"/>
                  <w:vAlign w:val="center"/>
                </w:tcPr>
                <w:p w14:paraId="2BF93DBF">
                  <w:pPr>
                    <w:keepNext w:val="0"/>
                    <w:keepLines w:val="0"/>
                    <w:suppressLineNumbers w:val="0"/>
                    <w:spacing w:before="0" w:beforeAutospacing="0" w:after="0" w:afterAutospacing="0"/>
                    <w:ind w:left="0" w:right="0"/>
                    <w:rPr>
                      <w:rFonts w:hint="eastAsia" w:cs="Times New Roman"/>
                      <w:i w:val="0"/>
                      <w:iCs w:val="0"/>
                      <w:color w:val="auto"/>
                      <w:kern w:val="0"/>
                      <w:sz w:val="21"/>
                      <w:szCs w:val="21"/>
                      <w:highlight w:val="none"/>
                      <w:u w:val="none"/>
                      <w:lang w:val="en-US" w:eastAsia="zh-CN" w:bidi="ar"/>
                    </w:rPr>
                  </w:pPr>
                  <w:r>
                    <w:rPr>
                      <w:rFonts w:hint="eastAsia"/>
                      <w:b w:val="0"/>
                      <w:bCs/>
                      <w:color w:val="auto"/>
                      <w:sz w:val="21"/>
                      <w:szCs w:val="21"/>
                    </w:rPr>
                    <w:t>*</w:t>
                  </w:r>
                  <w:r>
                    <w:rPr>
                      <w:b w:val="0"/>
                      <w:bCs/>
                      <w:color w:val="auto"/>
                      <w:sz w:val="21"/>
                      <w:szCs w:val="21"/>
                    </w:rPr>
                    <w:t>注：表中距离为厂界与敏感点的最近距离。</w:t>
                  </w:r>
                </w:p>
              </w:tc>
            </w:tr>
          </w:tbl>
          <w:p w14:paraId="0D79A9BB">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20" w:firstLineChars="200"/>
              <w:textAlignment w:val="auto"/>
              <w:rPr>
                <w:color w:val="auto"/>
                <w:kern w:val="0"/>
                <w:sz w:val="21"/>
                <w:szCs w:val="21"/>
                <w:highlight w:val="none"/>
              </w:rPr>
            </w:pPr>
            <w:r>
              <w:rPr>
                <w:color w:val="auto"/>
                <w:kern w:val="0"/>
                <w:sz w:val="21"/>
                <w:szCs w:val="21"/>
                <w:highlight w:val="none"/>
              </w:rPr>
              <w:t>（3）地下水环境</w:t>
            </w:r>
          </w:p>
          <w:p w14:paraId="12D350AF">
            <w:pPr>
              <w:widowControl/>
              <w:adjustRightInd w:val="0"/>
              <w:snapToGrid w:val="0"/>
              <w:spacing w:line="360" w:lineRule="auto"/>
              <w:ind w:firstLine="420" w:firstLineChars="200"/>
              <w:rPr>
                <w:color w:val="auto"/>
                <w:kern w:val="0"/>
                <w:sz w:val="21"/>
                <w:szCs w:val="21"/>
                <w:highlight w:val="none"/>
              </w:rPr>
            </w:pPr>
            <w:r>
              <w:rPr>
                <w:color w:val="auto"/>
                <w:kern w:val="0"/>
                <w:sz w:val="21"/>
                <w:szCs w:val="21"/>
                <w:highlight w:val="none"/>
              </w:rPr>
              <w:t>厂界外500米范围内无地下水集中式饮用水水源和热水、矿泉水、温泉等特殊地下水资源，无地下水环境保护目标。</w:t>
            </w:r>
          </w:p>
          <w:p w14:paraId="625EB91F">
            <w:pPr>
              <w:widowControl/>
              <w:adjustRightInd w:val="0"/>
              <w:snapToGrid w:val="0"/>
              <w:spacing w:line="360" w:lineRule="auto"/>
              <w:ind w:firstLine="420" w:firstLineChars="200"/>
              <w:rPr>
                <w:color w:val="auto"/>
                <w:kern w:val="0"/>
                <w:sz w:val="21"/>
                <w:szCs w:val="21"/>
                <w:highlight w:val="none"/>
              </w:rPr>
            </w:pPr>
            <w:r>
              <w:rPr>
                <w:color w:val="auto"/>
                <w:kern w:val="0"/>
                <w:sz w:val="21"/>
                <w:szCs w:val="21"/>
                <w:highlight w:val="none"/>
              </w:rPr>
              <w:t>（4）生态环境</w:t>
            </w:r>
          </w:p>
          <w:p w14:paraId="625862F9">
            <w:pPr>
              <w:widowControl/>
              <w:adjustRightInd w:val="0"/>
              <w:snapToGrid w:val="0"/>
              <w:spacing w:line="360" w:lineRule="auto"/>
              <w:ind w:firstLine="420" w:firstLineChars="200"/>
              <w:rPr>
                <w:rFonts w:ascii="宋体" w:hAnsi="宋体" w:cs="宋体"/>
                <w:color w:val="auto"/>
                <w:kern w:val="0"/>
                <w:sz w:val="21"/>
                <w:szCs w:val="21"/>
                <w:highlight w:val="none"/>
              </w:rPr>
            </w:pPr>
            <w:r>
              <w:rPr>
                <w:rFonts w:ascii="宋体" w:hAnsi="宋体" w:cs="宋体"/>
                <w:color w:val="auto"/>
                <w:kern w:val="0"/>
                <w:sz w:val="21"/>
                <w:szCs w:val="21"/>
                <w:highlight w:val="none"/>
              </w:rPr>
              <w:t>本项目</w:t>
            </w:r>
            <w:r>
              <w:rPr>
                <w:rFonts w:hint="eastAsia" w:ascii="宋体" w:hAnsi="宋体" w:cs="宋体"/>
                <w:color w:val="auto"/>
                <w:kern w:val="0"/>
                <w:sz w:val="21"/>
                <w:szCs w:val="21"/>
                <w:highlight w:val="none"/>
                <w:lang w:val="en-US" w:eastAsia="zh-CN"/>
              </w:rPr>
              <w:t>位于</w:t>
            </w:r>
            <w:r>
              <w:rPr>
                <w:rFonts w:hint="default" w:ascii="宋体"/>
                <w:color w:val="auto"/>
                <w:sz w:val="21"/>
                <w:szCs w:val="21"/>
              </w:rPr>
              <w:t>李口镇全民创业园</w:t>
            </w:r>
            <w:r>
              <w:rPr>
                <w:rFonts w:ascii="宋体" w:hAnsi="宋体" w:cs="宋体"/>
                <w:color w:val="auto"/>
                <w:kern w:val="0"/>
                <w:sz w:val="21"/>
                <w:szCs w:val="21"/>
                <w:highlight w:val="none"/>
              </w:rPr>
              <w:t>，无需作生态环境保护目标分析。</w:t>
            </w:r>
          </w:p>
        </w:tc>
      </w:tr>
      <w:tr w14:paraId="0C54E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14:paraId="7A01C19D">
            <w:pPr>
              <w:widowControl/>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污染</w:t>
            </w:r>
          </w:p>
          <w:p w14:paraId="27CE44D0">
            <w:pPr>
              <w:widowControl/>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物排</w:t>
            </w:r>
          </w:p>
          <w:p w14:paraId="582B174F">
            <w:pPr>
              <w:widowControl/>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放控</w:t>
            </w:r>
          </w:p>
          <w:p w14:paraId="2AB68A00">
            <w:pPr>
              <w:widowControl/>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制标</w:t>
            </w:r>
          </w:p>
          <w:p w14:paraId="66E01042">
            <w:pPr>
              <w:widowControl/>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准</w:t>
            </w:r>
          </w:p>
        </w:tc>
        <w:tc>
          <w:tcPr>
            <w:tcW w:w="8190" w:type="dxa"/>
            <w:vAlign w:val="center"/>
          </w:tcPr>
          <w:p w14:paraId="60C5BEFB">
            <w:pPr>
              <w:widowControl/>
              <w:spacing w:line="360" w:lineRule="auto"/>
              <w:ind w:firstLine="422" w:firstLineChars="200"/>
              <w:rPr>
                <w:b/>
                <w:color w:val="auto"/>
                <w:sz w:val="21"/>
                <w:szCs w:val="21"/>
                <w:highlight w:val="none"/>
              </w:rPr>
            </w:pPr>
            <w:r>
              <w:rPr>
                <w:b/>
                <w:color w:val="auto"/>
                <w:sz w:val="21"/>
                <w:szCs w:val="21"/>
                <w:highlight w:val="none"/>
              </w:rPr>
              <w:t>1、大气污染物排放标准</w:t>
            </w:r>
          </w:p>
          <w:p w14:paraId="55892376">
            <w:pPr>
              <w:snapToGrid w:val="0"/>
              <w:spacing w:line="360" w:lineRule="auto"/>
              <w:ind w:firstLine="420" w:firstLineChars="200"/>
              <w:rPr>
                <w:color w:val="auto"/>
                <w:sz w:val="21"/>
                <w:szCs w:val="21"/>
                <w:highlight w:val="none"/>
              </w:rPr>
            </w:pPr>
            <w:r>
              <w:rPr>
                <w:rFonts w:hint="eastAsia"/>
                <w:color w:val="auto"/>
                <w:sz w:val="21"/>
                <w:szCs w:val="21"/>
                <w:highlight w:val="none"/>
              </w:rPr>
              <w:t>本项目</w:t>
            </w:r>
            <w:r>
              <w:rPr>
                <w:rFonts w:hint="eastAsia"/>
                <w:color w:val="auto"/>
                <w:sz w:val="21"/>
                <w:szCs w:val="21"/>
                <w:highlight w:val="none"/>
                <w:lang w:val="en-US" w:eastAsia="zh-CN"/>
              </w:rPr>
              <w:t>天然气燃烧产生废气的</w:t>
            </w:r>
            <w:r>
              <w:rPr>
                <w:rFonts w:hint="eastAsia"/>
                <w:color w:val="auto"/>
                <w:sz w:val="21"/>
                <w:szCs w:val="21"/>
                <w:highlight w:val="none"/>
              </w:rPr>
              <w:t>颗粒物</w:t>
            </w:r>
            <w:r>
              <w:rPr>
                <w:rFonts w:hint="eastAsia"/>
                <w:color w:val="auto"/>
                <w:sz w:val="21"/>
                <w:szCs w:val="21"/>
                <w:highlight w:val="none"/>
                <w:lang w:eastAsia="zh-CN"/>
              </w:rPr>
              <w:t>、</w:t>
            </w:r>
            <w:r>
              <w:rPr>
                <w:rFonts w:hint="eastAsia"/>
                <w:color w:val="auto"/>
                <w:sz w:val="21"/>
                <w:szCs w:val="21"/>
                <w:highlight w:val="none"/>
                <w:lang w:val="en-US" w:eastAsia="zh-CN"/>
              </w:rPr>
              <w:t>SO</w:t>
            </w:r>
            <w:r>
              <w:rPr>
                <w:rFonts w:hint="eastAsia"/>
                <w:color w:val="auto"/>
                <w:sz w:val="21"/>
                <w:szCs w:val="21"/>
                <w:highlight w:val="none"/>
                <w:vertAlign w:val="subscript"/>
                <w:lang w:val="en-US" w:eastAsia="zh-CN"/>
              </w:rPr>
              <w:t>2</w:t>
            </w:r>
            <w:r>
              <w:rPr>
                <w:rFonts w:hint="eastAsia"/>
                <w:color w:val="auto"/>
                <w:sz w:val="21"/>
                <w:szCs w:val="21"/>
                <w:highlight w:val="none"/>
              </w:rPr>
              <w:t>、</w:t>
            </w:r>
            <w:r>
              <w:rPr>
                <w:rFonts w:hint="eastAsia"/>
                <w:color w:val="auto"/>
                <w:sz w:val="21"/>
                <w:szCs w:val="21"/>
                <w:highlight w:val="none"/>
                <w:lang w:val="en-US" w:eastAsia="zh-CN"/>
              </w:rPr>
              <w:t>氮氧化物有组织执行《工业炉窑大气污染物排放标准》</w:t>
            </w:r>
            <w:r>
              <w:rPr>
                <w:rFonts w:hint="default" w:ascii="Times New Roman" w:hAnsi="Times New Roman" w:cs="Times New Roman"/>
                <w:color w:val="auto"/>
                <w:sz w:val="21"/>
                <w:szCs w:val="21"/>
                <w:highlight w:val="none"/>
              </w:rPr>
              <w:t>（DB32/</w:t>
            </w:r>
            <w:r>
              <w:rPr>
                <w:rFonts w:hint="eastAsia" w:ascii="Times New Roman" w:hAnsi="Times New Roman" w:cs="Times New Roman"/>
                <w:color w:val="auto"/>
                <w:sz w:val="21"/>
                <w:szCs w:val="21"/>
                <w:highlight w:val="none"/>
                <w:lang w:val="en-US" w:eastAsia="zh-CN"/>
              </w:rPr>
              <w:t>3728</w:t>
            </w:r>
            <w:r>
              <w:rPr>
                <w:rFonts w:hint="default" w:ascii="Times New Roman" w:hAnsi="Times New Roman" w:cs="Times New Roman"/>
                <w:color w:val="auto"/>
                <w:sz w:val="21"/>
                <w:szCs w:val="21"/>
                <w:highlight w:val="none"/>
              </w:rPr>
              <w:t>-20</w:t>
            </w: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w:t>
            </w:r>
            <w:r>
              <w:rPr>
                <w:rFonts w:hint="eastAsia"/>
                <w:color w:val="auto"/>
                <w:sz w:val="21"/>
                <w:szCs w:val="21"/>
                <w:highlight w:val="none"/>
                <w:lang w:val="en-US" w:eastAsia="zh-CN"/>
              </w:rPr>
              <w:t>表1常规大气污染物排放限值标准；粉末固化废气中的非甲烷总烃执行有组织排放执行</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工业涂装工序</w:t>
            </w:r>
            <w:r>
              <w:rPr>
                <w:rFonts w:hint="default" w:ascii="Times New Roman" w:hAnsi="Times New Roman" w:cs="Times New Roman"/>
                <w:color w:val="auto"/>
                <w:sz w:val="21"/>
                <w:szCs w:val="21"/>
                <w:highlight w:val="none"/>
              </w:rPr>
              <w:t>大气污染物排放标准》（DB32/4</w:t>
            </w:r>
            <w:r>
              <w:rPr>
                <w:rFonts w:hint="eastAsia" w:cs="Times New Roman"/>
                <w:color w:val="auto"/>
                <w:sz w:val="21"/>
                <w:szCs w:val="21"/>
                <w:highlight w:val="none"/>
                <w:lang w:val="en-US" w:eastAsia="zh-CN"/>
              </w:rPr>
              <w:t>439</w:t>
            </w: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表1标准</w:t>
            </w:r>
            <w:r>
              <w:rPr>
                <w:rFonts w:hint="eastAsia"/>
                <w:color w:val="auto"/>
                <w:sz w:val="21"/>
                <w:szCs w:val="21"/>
                <w:highlight w:val="none"/>
                <w:lang w:val="en-US" w:eastAsia="zh-CN"/>
              </w:rPr>
              <w:t>；厂区内</w:t>
            </w:r>
            <w:r>
              <w:rPr>
                <w:rFonts w:hint="eastAsia"/>
                <w:color w:val="auto"/>
                <w:sz w:val="21"/>
                <w:szCs w:val="21"/>
                <w:lang w:val="en-US" w:eastAsia="zh-CN"/>
              </w:rPr>
              <w:t>厂房外非甲烷总烃</w:t>
            </w:r>
            <w:r>
              <w:rPr>
                <w:rFonts w:hint="eastAsia"/>
                <w:color w:val="auto"/>
                <w:sz w:val="21"/>
                <w:szCs w:val="21"/>
                <w:highlight w:val="none"/>
                <w:lang w:val="en-US" w:eastAsia="zh-CN"/>
              </w:rPr>
              <w:t>执行</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工业涂装工序</w:t>
            </w:r>
            <w:r>
              <w:rPr>
                <w:rFonts w:hint="default" w:ascii="Times New Roman" w:hAnsi="Times New Roman" w:cs="Times New Roman"/>
                <w:color w:val="auto"/>
                <w:sz w:val="21"/>
                <w:szCs w:val="21"/>
                <w:highlight w:val="none"/>
              </w:rPr>
              <w:t>大气污染物排放标准》（DB32/4</w:t>
            </w:r>
            <w:r>
              <w:rPr>
                <w:rFonts w:hint="eastAsia" w:cs="Times New Roman"/>
                <w:color w:val="auto"/>
                <w:sz w:val="21"/>
                <w:szCs w:val="21"/>
                <w:highlight w:val="none"/>
                <w:lang w:val="en-US" w:eastAsia="zh-CN"/>
              </w:rPr>
              <w:t>439</w:t>
            </w: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表3标准；</w:t>
            </w:r>
            <w:r>
              <w:rPr>
                <w:rFonts w:hint="eastAsia"/>
                <w:color w:val="auto"/>
                <w:sz w:val="21"/>
                <w:szCs w:val="21"/>
                <w:highlight w:val="none"/>
              </w:rPr>
              <w:t>厂界无组织排放的颗粒物、</w:t>
            </w:r>
            <w:r>
              <w:rPr>
                <w:rFonts w:hint="eastAsia"/>
                <w:color w:val="auto"/>
                <w:sz w:val="21"/>
                <w:szCs w:val="21"/>
                <w:highlight w:val="none"/>
                <w:lang w:val="en-US" w:eastAsia="zh-CN"/>
              </w:rPr>
              <w:t>非甲烷总烃</w:t>
            </w:r>
            <w:r>
              <w:rPr>
                <w:rFonts w:hint="eastAsia"/>
                <w:color w:val="auto"/>
                <w:sz w:val="21"/>
                <w:szCs w:val="21"/>
                <w:highlight w:val="none"/>
              </w:rPr>
              <w:t>执行《大气污染物综合排放标准》（DB32/4041-2021）表3标准。</w:t>
            </w:r>
            <w:r>
              <w:rPr>
                <w:color w:val="auto"/>
                <w:sz w:val="21"/>
                <w:szCs w:val="21"/>
                <w:highlight w:val="none"/>
              </w:rPr>
              <w:t>具体标准值见</w:t>
            </w:r>
            <w:r>
              <w:rPr>
                <w:rFonts w:hint="eastAsia"/>
                <w:color w:val="auto"/>
                <w:sz w:val="21"/>
                <w:szCs w:val="21"/>
                <w:highlight w:val="none"/>
                <w:lang w:val="en-US" w:eastAsia="zh-CN"/>
              </w:rPr>
              <w:t>下</w:t>
            </w:r>
            <w:r>
              <w:rPr>
                <w:color w:val="auto"/>
                <w:sz w:val="21"/>
                <w:szCs w:val="21"/>
                <w:highlight w:val="none"/>
              </w:rPr>
              <w:t>表。</w:t>
            </w:r>
          </w:p>
          <w:p w14:paraId="5FDB2B66">
            <w:pPr>
              <w:jc w:val="center"/>
              <w:rPr>
                <w:b/>
                <w:color w:val="auto"/>
                <w:kern w:val="0"/>
                <w:sz w:val="21"/>
                <w:szCs w:val="21"/>
                <w:highlight w:val="none"/>
              </w:rPr>
            </w:pPr>
            <w:r>
              <w:rPr>
                <w:b/>
                <w:color w:val="auto"/>
                <w:kern w:val="0"/>
                <w:sz w:val="21"/>
                <w:szCs w:val="21"/>
                <w:highlight w:val="none"/>
              </w:rPr>
              <w:t>表3-</w:t>
            </w:r>
            <w:r>
              <w:rPr>
                <w:rFonts w:hint="eastAsia"/>
                <w:b/>
                <w:color w:val="auto"/>
                <w:kern w:val="0"/>
                <w:sz w:val="21"/>
                <w:szCs w:val="21"/>
                <w:highlight w:val="none"/>
                <w:lang w:val="en-US" w:eastAsia="zh-CN"/>
              </w:rPr>
              <w:t>6</w:t>
            </w:r>
            <w:r>
              <w:rPr>
                <w:b/>
                <w:color w:val="auto"/>
                <w:kern w:val="0"/>
                <w:sz w:val="21"/>
                <w:szCs w:val="21"/>
                <w:highlight w:val="none"/>
              </w:rPr>
              <w:t xml:space="preserve">  </w:t>
            </w:r>
            <w:r>
              <w:rPr>
                <w:rFonts w:hint="eastAsia"/>
                <w:b/>
                <w:color w:val="auto"/>
                <w:kern w:val="0"/>
                <w:sz w:val="21"/>
                <w:szCs w:val="21"/>
                <w:highlight w:val="none"/>
                <w:lang w:val="en-US" w:eastAsia="zh-CN"/>
              </w:rPr>
              <w:t>项目</w:t>
            </w:r>
            <w:r>
              <w:rPr>
                <w:rFonts w:hint="eastAsia"/>
                <w:b/>
                <w:color w:val="auto"/>
                <w:kern w:val="0"/>
                <w:sz w:val="21"/>
                <w:szCs w:val="21"/>
                <w:highlight w:val="none"/>
              </w:rPr>
              <w:t>大气污染物排放</w:t>
            </w:r>
            <w:r>
              <w:rPr>
                <w:b/>
                <w:color w:val="auto"/>
                <w:kern w:val="0"/>
                <w:sz w:val="21"/>
                <w:szCs w:val="21"/>
                <w:highlight w:val="none"/>
              </w:rPr>
              <w:t>限值</w:t>
            </w:r>
          </w:p>
          <w:tbl>
            <w:tblPr>
              <w:tblStyle w:val="30"/>
              <w:tblW w:w="80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19"/>
              <w:gridCol w:w="978"/>
              <w:gridCol w:w="808"/>
              <w:gridCol w:w="750"/>
              <w:gridCol w:w="1320"/>
              <w:gridCol w:w="3072"/>
            </w:tblGrid>
            <w:tr w14:paraId="34ABC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9" w:type="dxa"/>
                  <w:vAlign w:val="center"/>
                </w:tcPr>
                <w:p w14:paraId="3199D408">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978" w:type="dxa"/>
                  <w:vAlign w:val="center"/>
                </w:tcPr>
                <w:p w14:paraId="74880E60">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排放限值（mg/m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808" w:type="dxa"/>
                  <w:vAlign w:val="center"/>
                </w:tcPr>
                <w:p w14:paraId="77764335">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c>
                <w:tcPr>
                  <w:tcW w:w="750" w:type="dxa"/>
                  <w:vAlign w:val="center"/>
                </w:tcPr>
                <w:p w14:paraId="5288E6ED">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污染物排放监控位置</w:t>
                  </w:r>
                </w:p>
              </w:tc>
              <w:tc>
                <w:tcPr>
                  <w:tcW w:w="1320" w:type="dxa"/>
                  <w:vAlign w:val="center"/>
                </w:tcPr>
                <w:p w14:paraId="0FE2E101">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企业边界大气污染物浓度限值（mg/m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3072" w:type="dxa"/>
                  <w:vAlign w:val="center"/>
                </w:tcPr>
                <w:p w14:paraId="79F0F625">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标准依据</w:t>
                  </w:r>
                </w:p>
              </w:tc>
            </w:tr>
            <w:tr w14:paraId="22ED3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9" w:type="dxa"/>
                  <w:vAlign w:val="center"/>
                </w:tcPr>
                <w:p w14:paraId="5485E775">
                  <w:pPr>
                    <w:pStyle w:val="28"/>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978" w:type="dxa"/>
                  <w:vAlign w:val="center"/>
                </w:tcPr>
                <w:p w14:paraId="5C023263">
                  <w:pPr>
                    <w:pStyle w:val="28"/>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w:t>
                  </w:r>
                </w:p>
              </w:tc>
              <w:tc>
                <w:tcPr>
                  <w:tcW w:w="808" w:type="dxa"/>
                  <w:vAlign w:val="center"/>
                </w:tcPr>
                <w:p w14:paraId="56681E8E">
                  <w:pPr>
                    <w:pStyle w:val="28"/>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2.0</w:t>
                  </w:r>
                </w:p>
              </w:tc>
              <w:tc>
                <w:tcPr>
                  <w:tcW w:w="750" w:type="dxa"/>
                  <w:vMerge w:val="restart"/>
                  <w:vAlign w:val="center"/>
                </w:tcPr>
                <w:p w14:paraId="02901317">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车间或生产设施排气筒</w:t>
                  </w:r>
                </w:p>
              </w:tc>
              <w:tc>
                <w:tcPr>
                  <w:tcW w:w="1320" w:type="dxa"/>
                  <w:vAlign w:val="center"/>
                </w:tcPr>
                <w:p w14:paraId="634854CC">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3072" w:type="dxa"/>
                  <w:vMerge w:val="restart"/>
                  <w:vAlign w:val="center"/>
                </w:tcPr>
                <w:p w14:paraId="1AC9BC23">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工业涂装工序</w:t>
                  </w:r>
                  <w:r>
                    <w:rPr>
                      <w:rFonts w:hint="default" w:ascii="Times New Roman" w:hAnsi="Times New Roman" w:eastAsia="宋体" w:cs="Times New Roman"/>
                      <w:color w:val="auto"/>
                      <w:sz w:val="21"/>
                      <w:szCs w:val="21"/>
                      <w:highlight w:val="none"/>
                    </w:rPr>
                    <w:t>大气污染物排放标准》（DB32/4</w:t>
                  </w:r>
                  <w:r>
                    <w:rPr>
                      <w:rFonts w:hint="default" w:ascii="Times New Roman" w:hAnsi="Times New Roman" w:eastAsia="宋体" w:cs="Times New Roman"/>
                      <w:color w:val="auto"/>
                      <w:sz w:val="21"/>
                      <w:szCs w:val="21"/>
                      <w:highlight w:val="none"/>
                      <w:lang w:val="en-US" w:eastAsia="zh-CN"/>
                    </w:rPr>
                    <w:t>439</w:t>
                  </w: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《大气污染物综合排放标准》（DB32/4041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2021）</w:t>
                  </w:r>
                </w:p>
              </w:tc>
            </w:tr>
            <w:tr w14:paraId="45FB0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9" w:type="dxa"/>
                  <w:vAlign w:val="center"/>
                </w:tcPr>
                <w:p w14:paraId="1D9B388E">
                  <w:pPr>
                    <w:pStyle w:val="28"/>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978" w:type="dxa"/>
                  <w:vAlign w:val="center"/>
                </w:tcPr>
                <w:p w14:paraId="56DB7CCA">
                  <w:pPr>
                    <w:pStyle w:val="28"/>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w:t>
                  </w:r>
                </w:p>
              </w:tc>
              <w:tc>
                <w:tcPr>
                  <w:tcW w:w="808" w:type="dxa"/>
                  <w:vAlign w:val="center"/>
                </w:tcPr>
                <w:p w14:paraId="5A869FCF">
                  <w:pPr>
                    <w:pStyle w:val="28"/>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w:t>
                  </w:r>
                </w:p>
              </w:tc>
              <w:tc>
                <w:tcPr>
                  <w:tcW w:w="750" w:type="dxa"/>
                  <w:vMerge w:val="continue"/>
                  <w:vAlign w:val="center"/>
                </w:tcPr>
                <w:p w14:paraId="261B6852">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c>
                <w:tcPr>
                  <w:tcW w:w="1320" w:type="dxa"/>
                  <w:vAlign w:val="center"/>
                </w:tcPr>
                <w:p w14:paraId="79B0E06A">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0.5</w:t>
                  </w:r>
                </w:p>
              </w:tc>
              <w:tc>
                <w:tcPr>
                  <w:tcW w:w="3072" w:type="dxa"/>
                  <w:vMerge w:val="continue"/>
                  <w:vAlign w:val="center"/>
                </w:tcPr>
                <w:p w14:paraId="0D939216">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r>
            <w:tr w14:paraId="58FBF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9" w:type="dxa"/>
                  <w:vAlign w:val="center"/>
                </w:tcPr>
                <w:p w14:paraId="1580F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颗粒物</w:t>
                  </w:r>
                </w:p>
              </w:tc>
              <w:tc>
                <w:tcPr>
                  <w:tcW w:w="978" w:type="dxa"/>
                  <w:vAlign w:val="center"/>
                </w:tcPr>
                <w:p w14:paraId="6D36D6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20（10）</w:t>
                  </w:r>
                </w:p>
              </w:tc>
              <w:tc>
                <w:tcPr>
                  <w:tcW w:w="808" w:type="dxa"/>
                  <w:vAlign w:val="center"/>
                </w:tcPr>
                <w:p w14:paraId="6FE843FC">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750" w:type="dxa"/>
                  <w:vMerge w:val="continue"/>
                  <w:vAlign w:val="center"/>
                </w:tcPr>
                <w:p w14:paraId="242749DD">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c>
                <w:tcPr>
                  <w:tcW w:w="1320" w:type="dxa"/>
                  <w:vAlign w:val="center"/>
                </w:tcPr>
                <w:p w14:paraId="72ED9746">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3072" w:type="dxa"/>
                  <w:vMerge w:val="restart"/>
                  <w:vAlign w:val="center"/>
                </w:tcPr>
                <w:p w14:paraId="2258EC28">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《工业炉窑大气污染物排放标准》</w:t>
                  </w:r>
                  <w:r>
                    <w:rPr>
                      <w:rFonts w:hint="default" w:ascii="Times New Roman" w:hAnsi="Times New Roman" w:eastAsia="宋体" w:cs="Times New Roman"/>
                      <w:color w:val="auto"/>
                      <w:sz w:val="21"/>
                      <w:szCs w:val="21"/>
                      <w:highlight w:val="none"/>
                    </w:rPr>
                    <w:t>（DB32/</w:t>
                  </w:r>
                  <w:r>
                    <w:rPr>
                      <w:rFonts w:hint="default" w:ascii="Times New Roman" w:hAnsi="Times New Roman" w:eastAsia="宋体" w:cs="Times New Roman"/>
                      <w:color w:val="auto"/>
                      <w:sz w:val="21"/>
                      <w:szCs w:val="21"/>
                      <w:highlight w:val="none"/>
                      <w:lang w:val="en-US" w:eastAsia="zh-CN"/>
                    </w:rPr>
                    <w:t>3728</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w:t>
                  </w:r>
                </w:p>
              </w:tc>
            </w:tr>
            <w:tr w14:paraId="1B7F4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9" w:type="dxa"/>
                  <w:shd w:val="clear" w:color="auto" w:fill="auto"/>
                  <w:vAlign w:val="center"/>
                </w:tcPr>
                <w:p w14:paraId="033BA2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eastAsia="宋体"/>
                      <w:color w:val="auto"/>
                      <w:sz w:val="21"/>
                      <w:szCs w:val="21"/>
                      <w:vertAlign w:val="baseline"/>
                      <w:lang w:val="en-US" w:eastAsia="zh-CN"/>
                    </w:rPr>
                    <w:t>二氧化硫</w:t>
                  </w:r>
                </w:p>
              </w:tc>
              <w:tc>
                <w:tcPr>
                  <w:tcW w:w="978" w:type="dxa"/>
                  <w:shd w:val="clear" w:color="auto" w:fill="auto"/>
                  <w:vAlign w:val="center"/>
                </w:tcPr>
                <w:p w14:paraId="22C58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eastAsia="宋体"/>
                      <w:color w:val="auto"/>
                      <w:sz w:val="21"/>
                      <w:szCs w:val="21"/>
                      <w:vertAlign w:val="baseline"/>
                      <w:lang w:val="en-US" w:eastAsia="zh-CN"/>
                    </w:rPr>
                    <w:t>80</w:t>
                  </w:r>
                  <w:r>
                    <w:rPr>
                      <w:rFonts w:hint="eastAsia"/>
                      <w:color w:val="auto"/>
                      <w:sz w:val="21"/>
                      <w:szCs w:val="21"/>
                      <w:vertAlign w:val="baseline"/>
                      <w:lang w:val="en-US" w:eastAsia="zh-CN"/>
                    </w:rPr>
                    <w:t>（40）</w:t>
                  </w:r>
                </w:p>
              </w:tc>
              <w:tc>
                <w:tcPr>
                  <w:tcW w:w="808" w:type="dxa"/>
                  <w:shd w:val="clear" w:color="auto" w:fill="auto"/>
                  <w:vAlign w:val="center"/>
                </w:tcPr>
                <w:p w14:paraId="04C13CD3">
                  <w:pPr>
                    <w:pStyle w:val="28"/>
                    <w:spacing w:before="0" w:after="0" w:line="240" w:lineRule="auto"/>
                    <w:ind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w:t>
                  </w:r>
                </w:p>
              </w:tc>
              <w:tc>
                <w:tcPr>
                  <w:tcW w:w="750" w:type="dxa"/>
                  <w:vMerge w:val="continue"/>
                  <w:vAlign w:val="center"/>
                </w:tcPr>
                <w:p w14:paraId="434B2BE1">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c>
                <w:tcPr>
                  <w:tcW w:w="1320" w:type="dxa"/>
                  <w:vAlign w:val="center"/>
                </w:tcPr>
                <w:p w14:paraId="15A665D5">
                  <w:pPr>
                    <w:pStyle w:val="28"/>
                    <w:spacing w:before="0" w:after="0" w:line="240" w:lineRule="auto"/>
                    <w:ind w:right="0" w:firstLine="0" w:firstLineChars="0"/>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3072" w:type="dxa"/>
                  <w:vMerge w:val="continue"/>
                  <w:vAlign w:val="center"/>
                </w:tcPr>
                <w:p w14:paraId="22B3D72E">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3D425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9" w:type="dxa"/>
                  <w:vAlign w:val="center"/>
                </w:tcPr>
                <w:p w14:paraId="3D8829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eastAsia="宋体"/>
                      <w:color w:val="auto"/>
                      <w:sz w:val="21"/>
                      <w:szCs w:val="21"/>
                      <w:vertAlign w:val="baseline"/>
                      <w:lang w:val="en-US" w:eastAsia="zh-CN"/>
                    </w:rPr>
                    <w:t>氮氧化物</w:t>
                  </w:r>
                </w:p>
              </w:tc>
              <w:tc>
                <w:tcPr>
                  <w:tcW w:w="978" w:type="dxa"/>
                  <w:vAlign w:val="center"/>
                </w:tcPr>
                <w:p w14:paraId="65854D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eastAsia="宋体"/>
                      <w:color w:val="auto"/>
                      <w:sz w:val="21"/>
                      <w:szCs w:val="21"/>
                      <w:vertAlign w:val="baseline"/>
                      <w:lang w:val="en-US" w:eastAsia="zh-CN"/>
                    </w:rPr>
                    <w:t>180</w:t>
                  </w:r>
                  <w:r>
                    <w:rPr>
                      <w:rFonts w:hint="eastAsia"/>
                      <w:color w:val="auto"/>
                      <w:sz w:val="21"/>
                      <w:szCs w:val="21"/>
                      <w:vertAlign w:val="baseline"/>
                      <w:lang w:val="en-US" w:eastAsia="zh-CN"/>
                    </w:rPr>
                    <w:t>（90）</w:t>
                  </w:r>
                </w:p>
              </w:tc>
              <w:tc>
                <w:tcPr>
                  <w:tcW w:w="808" w:type="dxa"/>
                  <w:vAlign w:val="center"/>
                </w:tcPr>
                <w:p w14:paraId="015B87CD">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750" w:type="dxa"/>
                  <w:vMerge w:val="continue"/>
                  <w:vAlign w:val="center"/>
                </w:tcPr>
                <w:p w14:paraId="53830BC2">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c>
                <w:tcPr>
                  <w:tcW w:w="1320" w:type="dxa"/>
                  <w:vAlign w:val="center"/>
                </w:tcPr>
                <w:p w14:paraId="60FB086A">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3072" w:type="dxa"/>
                  <w:vMerge w:val="continue"/>
                  <w:vAlign w:val="center"/>
                </w:tcPr>
                <w:p w14:paraId="1691524C">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r>
            <w:tr w14:paraId="175C8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9" w:type="dxa"/>
                  <w:vAlign w:val="center"/>
                </w:tcPr>
                <w:p w14:paraId="45E2B9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eastAsia="宋体"/>
                      <w:color w:val="auto"/>
                      <w:sz w:val="21"/>
                      <w:szCs w:val="21"/>
                      <w:vertAlign w:val="baseline"/>
                      <w:lang w:val="en-US" w:eastAsia="zh-CN"/>
                    </w:rPr>
                    <w:t>烟气黑度</w:t>
                  </w:r>
                </w:p>
              </w:tc>
              <w:tc>
                <w:tcPr>
                  <w:tcW w:w="978" w:type="dxa"/>
                  <w:vAlign w:val="center"/>
                </w:tcPr>
                <w:p w14:paraId="1FF27D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eastAsia="宋体"/>
                      <w:color w:val="auto"/>
                      <w:sz w:val="21"/>
                      <w:szCs w:val="21"/>
                      <w:vertAlign w:val="baseline"/>
                      <w:lang w:val="en-US" w:eastAsia="zh-CN"/>
                    </w:rPr>
                    <w:t>格林曼黑度一级</w:t>
                  </w:r>
                </w:p>
              </w:tc>
              <w:tc>
                <w:tcPr>
                  <w:tcW w:w="808" w:type="dxa"/>
                  <w:vAlign w:val="center"/>
                </w:tcPr>
                <w:p w14:paraId="540DF514">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750" w:type="dxa"/>
                  <w:vMerge w:val="continue"/>
                  <w:vAlign w:val="center"/>
                </w:tcPr>
                <w:p w14:paraId="037A5F46">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c>
                <w:tcPr>
                  <w:tcW w:w="1320" w:type="dxa"/>
                  <w:vAlign w:val="center"/>
                </w:tcPr>
                <w:p w14:paraId="317B5826">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3072" w:type="dxa"/>
                  <w:vMerge w:val="continue"/>
                  <w:vAlign w:val="center"/>
                </w:tcPr>
                <w:p w14:paraId="19DC8329">
                  <w:pPr>
                    <w:pStyle w:val="28"/>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r>
            <w:tr w14:paraId="4DAD0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047" w:type="dxa"/>
                  <w:gridSpan w:val="6"/>
                  <w:vAlign w:val="center"/>
                </w:tcPr>
                <w:p w14:paraId="16D01DC0">
                  <w:pPr>
                    <w:pStyle w:val="28"/>
                    <w:spacing w:before="0" w:after="0" w:line="240" w:lineRule="auto"/>
                    <w:ind w:right="0" w:firstLine="0" w:firstLineChars="0"/>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注：本项目排气筒高度不满足高出周围200m半径范围的建筑3m以上要求，故颗粒物、SO</w:t>
                  </w:r>
                  <w:r>
                    <w:rPr>
                      <w:rFonts w:hint="eastAsia" w:eastAsia="宋体" w:cs="Times New Roman"/>
                      <w:color w:val="auto"/>
                      <w:sz w:val="21"/>
                      <w:szCs w:val="21"/>
                      <w:highlight w:val="none"/>
                      <w:vertAlign w:val="subscript"/>
                      <w:lang w:val="en-US" w:eastAsia="zh-CN"/>
                    </w:rPr>
                    <w:t>2</w:t>
                  </w:r>
                  <w:r>
                    <w:rPr>
                      <w:rFonts w:hint="eastAsia" w:eastAsia="宋体" w:cs="Times New Roman"/>
                      <w:color w:val="auto"/>
                      <w:sz w:val="21"/>
                      <w:szCs w:val="21"/>
                      <w:highlight w:val="none"/>
                      <w:lang w:val="en-US" w:eastAsia="zh-CN"/>
                    </w:rPr>
                    <w:t>、NOx最高允许排放浓度按排放标准值的50%执行，即括号内标准值执行。</w:t>
                  </w:r>
                </w:p>
              </w:tc>
            </w:tr>
          </w:tbl>
          <w:p w14:paraId="503E08D8">
            <w:pPr>
              <w:pStyle w:val="103"/>
              <w:rPr>
                <w:color w:val="auto"/>
                <w:sz w:val="21"/>
                <w:szCs w:val="21"/>
                <w:highlight w:val="none"/>
              </w:rPr>
            </w:pPr>
            <w:r>
              <w:rPr>
                <w:color w:val="auto"/>
                <w:sz w:val="21"/>
                <w:szCs w:val="21"/>
                <w:highlight w:val="none"/>
              </w:rPr>
              <w:t>表3-</w:t>
            </w:r>
            <w:r>
              <w:rPr>
                <w:rFonts w:hint="eastAsia"/>
                <w:color w:val="auto"/>
                <w:sz w:val="21"/>
                <w:szCs w:val="21"/>
                <w:highlight w:val="none"/>
                <w:lang w:val="en-US" w:eastAsia="zh-CN"/>
              </w:rPr>
              <w:t>7</w:t>
            </w:r>
            <w:r>
              <w:rPr>
                <w:color w:val="auto"/>
                <w:sz w:val="21"/>
                <w:szCs w:val="21"/>
                <w:highlight w:val="none"/>
              </w:rPr>
              <w:t xml:space="preserve"> 厂区内VOCs无组织排放限值</w:t>
            </w:r>
          </w:p>
          <w:tbl>
            <w:tblPr>
              <w:tblStyle w:val="30"/>
              <w:tblW w:w="805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63"/>
              <w:gridCol w:w="1263"/>
              <w:gridCol w:w="2447"/>
              <w:gridCol w:w="1185"/>
              <w:gridCol w:w="2296"/>
            </w:tblGrid>
            <w:tr w14:paraId="16F87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63" w:type="dxa"/>
                  <w:vAlign w:val="center"/>
                </w:tcPr>
                <w:p w14:paraId="23E85E6A">
                  <w:pPr>
                    <w:autoSpaceDE w:val="0"/>
                    <w:autoSpaceDN w:val="0"/>
                    <w:adjustRightInd w:val="0"/>
                    <w:jc w:val="center"/>
                    <w:outlineLvl w:val="3"/>
                    <w:rPr>
                      <w:b/>
                      <w:color w:val="auto"/>
                      <w:sz w:val="21"/>
                      <w:szCs w:val="21"/>
                      <w:highlight w:val="none"/>
                    </w:rPr>
                  </w:pPr>
                  <w:r>
                    <w:rPr>
                      <w:b/>
                      <w:color w:val="auto"/>
                      <w:sz w:val="21"/>
                      <w:szCs w:val="21"/>
                      <w:highlight w:val="none"/>
                    </w:rPr>
                    <w:t>污染物</w:t>
                  </w:r>
                </w:p>
              </w:tc>
              <w:tc>
                <w:tcPr>
                  <w:tcW w:w="1263" w:type="dxa"/>
                  <w:vAlign w:val="center"/>
                </w:tcPr>
                <w:p w14:paraId="7E288545">
                  <w:pPr>
                    <w:autoSpaceDE w:val="0"/>
                    <w:autoSpaceDN w:val="0"/>
                    <w:adjustRightInd w:val="0"/>
                    <w:jc w:val="center"/>
                    <w:outlineLvl w:val="3"/>
                    <w:rPr>
                      <w:b/>
                      <w:color w:val="auto"/>
                      <w:sz w:val="21"/>
                      <w:szCs w:val="21"/>
                      <w:highlight w:val="none"/>
                    </w:rPr>
                  </w:pPr>
                  <w:r>
                    <w:rPr>
                      <w:b/>
                      <w:color w:val="auto"/>
                      <w:sz w:val="21"/>
                      <w:szCs w:val="21"/>
                      <w:highlight w:val="none"/>
                    </w:rPr>
                    <w:t>特别排放限值</w:t>
                  </w:r>
                  <w:r>
                    <w:rPr>
                      <w:b/>
                      <w:color w:val="auto"/>
                      <w:kern w:val="0"/>
                      <w:sz w:val="21"/>
                      <w:szCs w:val="21"/>
                      <w:highlight w:val="none"/>
                    </w:rPr>
                    <w:t>mg/m³</w:t>
                  </w:r>
                </w:p>
              </w:tc>
              <w:tc>
                <w:tcPr>
                  <w:tcW w:w="2447" w:type="dxa"/>
                  <w:vAlign w:val="center"/>
                </w:tcPr>
                <w:p w14:paraId="38A18CF0">
                  <w:pPr>
                    <w:autoSpaceDE w:val="0"/>
                    <w:autoSpaceDN w:val="0"/>
                    <w:adjustRightInd w:val="0"/>
                    <w:jc w:val="center"/>
                    <w:outlineLvl w:val="3"/>
                    <w:rPr>
                      <w:b/>
                      <w:color w:val="auto"/>
                      <w:sz w:val="21"/>
                      <w:szCs w:val="21"/>
                      <w:highlight w:val="none"/>
                    </w:rPr>
                  </w:pPr>
                  <w:r>
                    <w:rPr>
                      <w:b/>
                      <w:color w:val="auto"/>
                      <w:sz w:val="21"/>
                      <w:szCs w:val="21"/>
                      <w:highlight w:val="none"/>
                    </w:rPr>
                    <w:t>限制含义</w:t>
                  </w:r>
                </w:p>
              </w:tc>
              <w:tc>
                <w:tcPr>
                  <w:tcW w:w="1185" w:type="dxa"/>
                  <w:vAlign w:val="center"/>
                </w:tcPr>
                <w:p w14:paraId="125D7D29">
                  <w:pPr>
                    <w:autoSpaceDE w:val="0"/>
                    <w:autoSpaceDN w:val="0"/>
                    <w:adjustRightInd w:val="0"/>
                    <w:jc w:val="center"/>
                    <w:outlineLvl w:val="3"/>
                    <w:rPr>
                      <w:b/>
                      <w:color w:val="auto"/>
                      <w:sz w:val="21"/>
                      <w:szCs w:val="21"/>
                      <w:highlight w:val="none"/>
                    </w:rPr>
                  </w:pPr>
                  <w:r>
                    <w:rPr>
                      <w:b/>
                      <w:color w:val="auto"/>
                      <w:sz w:val="21"/>
                      <w:szCs w:val="21"/>
                      <w:highlight w:val="none"/>
                    </w:rPr>
                    <w:t>无组织排放监控位置</w:t>
                  </w:r>
                </w:p>
              </w:tc>
              <w:tc>
                <w:tcPr>
                  <w:tcW w:w="2296" w:type="dxa"/>
                  <w:vAlign w:val="center"/>
                </w:tcPr>
                <w:p w14:paraId="4FFED8A5">
                  <w:pPr>
                    <w:autoSpaceDE w:val="0"/>
                    <w:autoSpaceDN w:val="0"/>
                    <w:adjustRightInd w:val="0"/>
                    <w:jc w:val="center"/>
                    <w:outlineLvl w:val="3"/>
                    <w:rPr>
                      <w:b/>
                      <w:color w:val="auto"/>
                      <w:sz w:val="21"/>
                      <w:szCs w:val="21"/>
                      <w:highlight w:val="none"/>
                    </w:rPr>
                  </w:pPr>
                  <w:r>
                    <w:rPr>
                      <w:b/>
                      <w:color w:val="auto"/>
                      <w:sz w:val="21"/>
                      <w:szCs w:val="21"/>
                      <w:highlight w:val="none"/>
                    </w:rPr>
                    <w:t>执行标准</w:t>
                  </w:r>
                </w:p>
              </w:tc>
            </w:tr>
            <w:tr w14:paraId="60F9D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63" w:type="dxa"/>
                  <w:vMerge w:val="restart"/>
                  <w:vAlign w:val="center"/>
                </w:tcPr>
                <w:p w14:paraId="44AE90AC">
                  <w:pPr>
                    <w:autoSpaceDE w:val="0"/>
                    <w:autoSpaceDN w:val="0"/>
                    <w:adjustRightInd w:val="0"/>
                    <w:jc w:val="center"/>
                    <w:outlineLvl w:val="3"/>
                    <w:rPr>
                      <w:bCs/>
                      <w:color w:val="auto"/>
                      <w:sz w:val="21"/>
                      <w:szCs w:val="21"/>
                      <w:highlight w:val="none"/>
                    </w:rPr>
                  </w:pPr>
                  <w:r>
                    <w:rPr>
                      <w:bCs/>
                      <w:color w:val="auto"/>
                      <w:sz w:val="21"/>
                      <w:szCs w:val="21"/>
                      <w:highlight w:val="none"/>
                    </w:rPr>
                    <w:t>NMHC</w:t>
                  </w:r>
                </w:p>
              </w:tc>
              <w:tc>
                <w:tcPr>
                  <w:tcW w:w="1263" w:type="dxa"/>
                  <w:vAlign w:val="center"/>
                </w:tcPr>
                <w:p w14:paraId="3BF9F9D5">
                  <w:pPr>
                    <w:autoSpaceDE w:val="0"/>
                    <w:autoSpaceDN w:val="0"/>
                    <w:adjustRightInd w:val="0"/>
                    <w:jc w:val="center"/>
                    <w:outlineLvl w:val="3"/>
                    <w:rPr>
                      <w:bCs/>
                      <w:color w:val="auto"/>
                      <w:sz w:val="21"/>
                      <w:szCs w:val="21"/>
                      <w:highlight w:val="none"/>
                    </w:rPr>
                  </w:pPr>
                  <w:r>
                    <w:rPr>
                      <w:bCs/>
                      <w:color w:val="auto"/>
                      <w:sz w:val="21"/>
                      <w:szCs w:val="21"/>
                      <w:highlight w:val="none"/>
                    </w:rPr>
                    <w:t>6</w:t>
                  </w:r>
                </w:p>
              </w:tc>
              <w:tc>
                <w:tcPr>
                  <w:tcW w:w="2447" w:type="dxa"/>
                  <w:vAlign w:val="center"/>
                </w:tcPr>
                <w:p w14:paraId="710B8884">
                  <w:pPr>
                    <w:autoSpaceDE w:val="0"/>
                    <w:autoSpaceDN w:val="0"/>
                    <w:adjustRightInd w:val="0"/>
                    <w:jc w:val="center"/>
                    <w:outlineLvl w:val="3"/>
                    <w:rPr>
                      <w:bCs/>
                      <w:color w:val="auto"/>
                      <w:sz w:val="21"/>
                      <w:szCs w:val="21"/>
                      <w:highlight w:val="none"/>
                    </w:rPr>
                  </w:pPr>
                  <w:r>
                    <w:rPr>
                      <w:bCs/>
                      <w:color w:val="auto"/>
                      <w:sz w:val="21"/>
                      <w:szCs w:val="21"/>
                      <w:highlight w:val="none"/>
                    </w:rPr>
                    <w:t>监控点处1h平均浓度值</w:t>
                  </w:r>
                </w:p>
              </w:tc>
              <w:tc>
                <w:tcPr>
                  <w:tcW w:w="1185" w:type="dxa"/>
                  <w:vMerge w:val="restart"/>
                  <w:vAlign w:val="center"/>
                </w:tcPr>
                <w:p w14:paraId="3CC76B07">
                  <w:pPr>
                    <w:autoSpaceDE w:val="0"/>
                    <w:autoSpaceDN w:val="0"/>
                    <w:adjustRightInd w:val="0"/>
                    <w:jc w:val="center"/>
                    <w:outlineLvl w:val="3"/>
                    <w:rPr>
                      <w:bCs/>
                      <w:color w:val="auto"/>
                      <w:sz w:val="21"/>
                      <w:szCs w:val="21"/>
                      <w:highlight w:val="none"/>
                    </w:rPr>
                  </w:pPr>
                  <w:r>
                    <w:rPr>
                      <w:bCs/>
                      <w:color w:val="auto"/>
                      <w:sz w:val="21"/>
                      <w:szCs w:val="21"/>
                      <w:highlight w:val="none"/>
                    </w:rPr>
                    <w:t>在厂房外设置监控点</w:t>
                  </w:r>
                </w:p>
              </w:tc>
              <w:tc>
                <w:tcPr>
                  <w:tcW w:w="2296" w:type="dxa"/>
                  <w:vMerge w:val="restart"/>
                  <w:vAlign w:val="center"/>
                </w:tcPr>
                <w:p w14:paraId="1A809C7D">
                  <w:pPr>
                    <w:adjustRightInd w:val="0"/>
                    <w:snapToGrid w:val="0"/>
                    <w:rPr>
                      <w:b/>
                      <w:bCs/>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工业涂装工序</w:t>
                  </w:r>
                  <w:r>
                    <w:rPr>
                      <w:rFonts w:hint="default" w:ascii="Times New Roman" w:hAnsi="Times New Roman" w:eastAsia="宋体" w:cs="Times New Roman"/>
                      <w:color w:val="auto"/>
                      <w:sz w:val="21"/>
                      <w:szCs w:val="21"/>
                      <w:highlight w:val="none"/>
                    </w:rPr>
                    <w:t>大气污染物排放标准》（DB32/4</w:t>
                  </w:r>
                  <w:r>
                    <w:rPr>
                      <w:rFonts w:hint="default" w:ascii="Times New Roman" w:hAnsi="Times New Roman" w:eastAsia="宋体" w:cs="Times New Roman"/>
                      <w:color w:val="auto"/>
                      <w:sz w:val="21"/>
                      <w:szCs w:val="21"/>
                      <w:highlight w:val="none"/>
                      <w:lang w:val="en-US" w:eastAsia="zh-CN"/>
                    </w:rPr>
                    <w:t>439</w:t>
                  </w: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tc>
            </w:tr>
            <w:tr w14:paraId="4F567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63" w:type="dxa"/>
                  <w:vMerge w:val="continue"/>
                  <w:vAlign w:val="center"/>
                </w:tcPr>
                <w:p w14:paraId="704E4636">
                  <w:pPr>
                    <w:autoSpaceDE w:val="0"/>
                    <w:autoSpaceDN w:val="0"/>
                    <w:adjustRightInd w:val="0"/>
                    <w:jc w:val="center"/>
                    <w:outlineLvl w:val="3"/>
                    <w:rPr>
                      <w:b/>
                      <w:color w:val="auto"/>
                      <w:sz w:val="21"/>
                      <w:szCs w:val="21"/>
                      <w:highlight w:val="none"/>
                    </w:rPr>
                  </w:pPr>
                </w:p>
              </w:tc>
              <w:tc>
                <w:tcPr>
                  <w:tcW w:w="1263" w:type="dxa"/>
                  <w:vAlign w:val="center"/>
                </w:tcPr>
                <w:p w14:paraId="3893B77B">
                  <w:pPr>
                    <w:autoSpaceDE w:val="0"/>
                    <w:autoSpaceDN w:val="0"/>
                    <w:adjustRightInd w:val="0"/>
                    <w:jc w:val="center"/>
                    <w:outlineLvl w:val="3"/>
                    <w:rPr>
                      <w:bCs/>
                      <w:color w:val="auto"/>
                      <w:sz w:val="21"/>
                      <w:szCs w:val="21"/>
                      <w:highlight w:val="none"/>
                    </w:rPr>
                  </w:pPr>
                  <w:r>
                    <w:rPr>
                      <w:bCs/>
                      <w:color w:val="auto"/>
                      <w:sz w:val="21"/>
                      <w:szCs w:val="21"/>
                      <w:highlight w:val="none"/>
                    </w:rPr>
                    <w:t>20</w:t>
                  </w:r>
                </w:p>
              </w:tc>
              <w:tc>
                <w:tcPr>
                  <w:tcW w:w="2447" w:type="dxa"/>
                  <w:vAlign w:val="center"/>
                </w:tcPr>
                <w:p w14:paraId="78C72DB0">
                  <w:pPr>
                    <w:autoSpaceDE w:val="0"/>
                    <w:autoSpaceDN w:val="0"/>
                    <w:adjustRightInd w:val="0"/>
                    <w:jc w:val="center"/>
                    <w:outlineLvl w:val="3"/>
                    <w:rPr>
                      <w:bCs/>
                      <w:color w:val="auto"/>
                      <w:sz w:val="21"/>
                      <w:szCs w:val="21"/>
                      <w:highlight w:val="none"/>
                    </w:rPr>
                  </w:pPr>
                  <w:r>
                    <w:rPr>
                      <w:bCs/>
                      <w:color w:val="auto"/>
                      <w:sz w:val="21"/>
                      <w:szCs w:val="21"/>
                      <w:highlight w:val="none"/>
                    </w:rPr>
                    <w:t>监控点处任意一次浓度值</w:t>
                  </w:r>
                </w:p>
              </w:tc>
              <w:tc>
                <w:tcPr>
                  <w:tcW w:w="1185" w:type="dxa"/>
                  <w:vMerge w:val="continue"/>
                  <w:vAlign w:val="center"/>
                </w:tcPr>
                <w:p w14:paraId="4AFA5AA5">
                  <w:pPr>
                    <w:autoSpaceDE w:val="0"/>
                    <w:autoSpaceDN w:val="0"/>
                    <w:adjustRightInd w:val="0"/>
                    <w:jc w:val="center"/>
                    <w:outlineLvl w:val="3"/>
                    <w:rPr>
                      <w:b/>
                      <w:color w:val="auto"/>
                      <w:sz w:val="21"/>
                      <w:szCs w:val="21"/>
                      <w:highlight w:val="none"/>
                    </w:rPr>
                  </w:pPr>
                </w:p>
              </w:tc>
              <w:tc>
                <w:tcPr>
                  <w:tcW w:w="2296" w:type="dxa"/>
                  <w:vMerge w:val="continue"/>
                  <w:vAlign w:val="center"/>
                </w:tcPr>
                <w:p w14:paraId="189BD25E">
                  <w:pPr>
                    <w:autoSpaceDE w:val="0"/>
                    <w:autoSpaceDN w:val="0"/>
                    <w:adjustRightInd w:val="0"/>
                    <w:jc w:val="center"/>
                    <w:outlineLvl w:val="3"/>
                    <w:rPr>
                      <w:b/>
                      <w:color w:val="auto"/>
                      <w:sz w:val="21"/>
                      <w:szCs w:val="21"/>
                      <w:highlight w:val="none"/>
                    </w:rPr>
                  </w:pPr>
                </w:p>
              </w:tc>
            </w:tr>
          </w:tbl>
          <w:p w14:paraId="437BB59F">
            <w:pPr>
              <w:widowControl/>
              <w:spacing w:line="360" w:lineRule="auto"/>
              <w:ind w:firstLine="422" w:firstLineChars="200"/>
              <w:rPr>
                <w:b/>
                <w:color w:val="auto"/>
                <w:sz w:val="21"/>
                <w:szCs w:val="21"/>
                <w:highlight w:val="none"/>
              </w:rPr>
            </w:pPr>
            <w:r>
              <w:rPr>
                <w:b/>
                <w:color w:val="auto"/>
                <w:sz w:val="21"/>
                <w:szCs w:val="21"/>
                <w:highlight w:val="none"/>
              </w:rPr>
              <w:t>2、水污染物排放标准</w:t>
            </w:r>
          </w:p>
          <w:p w14:paraId="47672C56">
            <w:pPr>
              <w:widowControl/>
              <w:spacing w:line="360" w:lineRule="auto"/>
              <w:ind w:firstLine="420" w:firstLineChars="200"/>
              <w:rPr>
                <w:rFonts w:hint="default"/>
                <w:color w:val="auto"/>
                <w:sz w:val="21"/>
                <w:szCs w:val="21"/>
                <w:highlight w:val="none"/>
                <w:lang w:val="en-US" w:eastAsia="zh-CN"/>
              </w:rPr>
            </w:pPr>
            <w:r>
              <w:rPr>
                <w:rFonts w:hint="eastAsia" w:hAnsi="宋体"/>
                <w:color w:val="auto"/>
                <w:sz w:val="21"/>
                <w:szCs w:val="21"/>
                <w:highlight w:val="none"/>
                <w:lang w:val="en-US" w:eastAsia="zh-CN"/>
              </w:rPr>
              <w:t>本项目生活污水</w:t>
            </w:r>
            <w:r>
              <w:rPr>
                <w:rFonts w:hint="eastAsia"/>
                <w:color w:val="auto"/>
                <w:sz w:val="21"/>
                <w:szCs w:val="21"/>
                <w:highlight w:val="none"/>
                <w:lang w:val="en-US" w:eastAsia="zh-CN"/>
              </w:rPr>
              <w:t>经化粪池处理后与经厂内污水处理站处理后的生产废水一起接管至李口镇污水处理厂。石油类浓度企业总排口达到《污水排入城镇下水道水质标准》（GB/T31962-2015）C级标准；总锌</w:t>
            </w:r>
            <w:r>
              <w:rPr>
                <w:rFonts w:hint="eastAsia"/>
                <w:bCs/>
                <w:color w:val="auto"/>
                <w:sz w:val="21"/>
                <w:szCs w:val="21"/>
                <w:highlight w:val="none"/>
                <w:lang w:val="en-US" w:eastAsia="zh-CN"/>
              </w:rPr>
              <w:t>浓度企业总排口达到《城镇污水处理厂污染物排放标准》（DB32/4440-2022）中表4标准限值；其他因子满足</w:t>
            </w:r>
            <w:r>
              <w:rPr>
                <w:rFonts w:hint="eastAsia"/>
                <w:color w:val="auto"/>
                <w:sz w:val="21"/>
                <w:szCs w:val="21"/>
                <w:highlight w:val="none"/>
                <w:lang w:val="en-US" w:eastAsia="zh-CN"/>
              </w:rPr>
              <w:t>李口镇污水处理厂</w:t>
            </w:r>
            <w:r>
              <w:rPr>
                <w:rFonts w:hint="eastAsia"/>
                <w:bCs/>
                <w:color w:val="auto"/>
                <w:sz w:val="21"/>
                <w:szCs w:val="21"/>
                <w:highlight w:val="none"/>
                <w:lang w:val="en-US" w:eastAsia="zh-CN"/>
              </w:rPr>
              <w:t>接管标准，接入污水处理厂。</w:t>
            </w:r>
          </w:p>
          <w:p w14:paraId="68C96479">
            <w:pPr>
              <w:widowControl/>
              <w:spacing w:line="360" w:lineRule="auto"/>
              <w:ind w:firstLine="420" w:firstLineChars="200"/>
              <w:rPr>
                <w:rFonts w:hint="eastAsia" w:hAnsi="宋体"/>
                <w:color w:val="auto"/>
                <w:sz w:val="21"/>
                <w:szCs w:val="21"/>
                <w:highlight w:val="none"/>
                <w:lang w:val="en-US" w:eastAsia="zh-CN"/>
              </w:rPr>
            </w:pPr>
            <w:r>
              <w:rPr>
                <w:rFonts w:hint="eastAsia"/>
                <w:color w:val="auto"/>
                <w:sz w:val="21"/>
                <w:szCs w:val="21"/>
                <w:highlight w:val="none"/>
                <w:lang w:val="en-US" w:eastAsia="zh-CN"/>
              </w:rPr>
              <w:t>污水厂尾水排入其葛河，尾水排放执行《城镇污水处理厂污染物排放标准》（GB18918-2002）一级A标准，具体标准见下表</w:t>
            </w:r>
            <w:r>
              <w:rPr>
                <w:rFonts w:hint="eastAsia" w:hAnsi="宋体"/>
                <w:color w:val="auto"/>
                <w:sz w:val="21"/>
                <w:szCs w:val="21"/>
                <w:highlight w:val="none"/>
                <w:lang w:val="en-US" w:eastAsia="zh-CN"/>
              </w:rPr>
              <w:t>。</w:t>
            </w:r>
          </w:p>
          <w:p w14:paraId="1D690A88">
            <w:pPr>
              <w:adjustRightInd w:val="0"/>
              <w:snapToGrid w:val="0"/>
              <w:spacing w:line="360" w:lineRule="auto"/>
              <w:jc w:val="center"/>
              <w:rPr>
                <w:rFonts w:hint="default" w:ascii="Times New Roman" w:hAnsi="Times New Roman" w:eastAsia="宋体" w:cs="Times New Roman"/>
                <w:bCs/>
                <w:color w:val="auto"/>
                <w:sz w:val="21"/>
                <w:szCs w:val="21"/>
                <w:highlight w:val="none"/>
                <w:lang w:val="en-US" w:eastAsia="zh-CN"/>
              </w:rPr>
            </w:pPr>
            <w:r>
              <w:rPr>
                <w:rFonts w:ascii="Times New Roman" w:hAnsi="Times New Roman" w:eastAsia="宋体" w:cs="Times New Roman"/>
                <w:b/>
                <w:bCs w:val="0"/>
                <w:color w:val="auto"/>
                <w:sz w:val="21"/>
                <w:szCs w:val="21"/>
                <w:highlight w:val="none"/>
              </w:rPr>
              <w:t>表</w:t>
            </w:r>
            <w:r>
              <w:rPr>
                <w:rFonts w:hint="eastAsia" w:ascii="Times New Roman" w:hAnsi="Times New Roman" w:eastAsia="宋体" w:cs="Times New Roman"/>
                <w:b/>
                <w:bCs w:val="0"/>
                <w:color w:val="auto"/>
                <w:sz w:val="21"/>
                <w:szCs w:val="21"/>
                <w:highlight w:val="none"/>
                <w:lang w:val="en-US" w:eastAsia="zh-CN"/>
              </w:rPr>
              <w:t>3-</w:t>
            </w:r>
            <w:r>
              <w:rPr>
                <w:rFonts w:hint="eastAsia" w:cs="Times New Roman"/>
                <w:b/>
                <w:bCs w:val="0"/>
                <w:color w:val="auto"/>
                <w:sz w:val="21"/>
                <w:szCs w:val="21"/>
                <w:highlight w:val="none"/>
                <w:lang w:val="en-US" w:eastAsia="zh-CN"/>
              </w:rPr>
              <w:t>8</w:t>
            </w:r>
            <w:r>
              <w:rPr>
                <w:rFonts w:hint="eastAsia" w:ascii="Times New Roman" w:hAnsi="Times New Roman" w:eastAsia="宋体" w:cs="Times New Roman"/>
                <w:b/>
                <w:bCs w:val="0"/>
                <w:color w:val="auto"/>
                <w:sz w:val="21"/>
                <w:szCs w:val="21"/>
                <w:highlight w:val="none"/>
              </w:rPr>
              <w:t xml:space="preserve">  废水接管标准的浓度限值</w:t>
            </w:r>
            <w:r>
              <w:rPr>
                <w:rFonts w:ascii="Times New Roman" w:hAnsi="Times New Roman" w:eastAsia="宋体" w:cs="Times New Roman"/>
                <w:b/>
                <w:bCs w:val="0"/>
                <w:color w:val="auto"/>
                <w:sz w:val="21"/>
                <w:szCs w:val="21"/>
                <w:highlight w:val="none"/>
              </w:rPr>
              <w:t xml:space="preserve">   单位：mg/L</w:t>
            </w:r>
            <w:r>
              <w:rPr>
                <w:rFonts w:hint="eastAsia" w:ascii="Times New Roman" w:hAnsi="Times New Roman" w:eastAsia="宋体" w:cs="Times New Roman"/>
                <w:b/>
                <w:bCs w:val="0"/>
                <w:color w:val="auto"/>
                <w:sz w:val="21"/>
                <w:szCs w:val="21"/>
                <w:highlight w:val="none"/>
              </w:rPr>
              <w:t>，p</w:t>
            </w:r>
            <w:r>
              <w:rPr>
                <w:rFonts w:ascii="Times New Roman" w:hAnsi="Times New Roman" w:eastAsia="宋体" w:cs="Times New Roman"/>
                <w:b/>
                <w:bCs w:val="0"/>
                <w:color w:val="auto"/>
                <w:sz w:val="21"/>
                <w:szCs w:val="21"/>
                <w:highlight w:val="none"/>
              </w:rPr>
              <w:t>H</w:t>
            </w:r>
            <w:r>
              <w:rPr>
                <w:rFonts w:hint="eastAsia" w:ascii="Times New Roman" w:hAnsi="Times New Roman" w:eastAsia="宋体" w:cs="Times New Roman"/>
                <w:b/>
                <w:bCs w:val="0"/>
                <w:color w:val="auto"/>
                <w:sz w:val="21"/>
                <w:szCs w:val="21"/>
                <w:highlight w:val="none"/>
              </w:rPr>
              <w:t>无量纲</w:t>
            </w:r>
          </w:p>
          <w:tbl>
            <w:tblPr>
              <w:tblStyle w:val="30"/>
              <w:tblW w:w="79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590"/>
              <w:gridCol w:w="1179"/>
              <w:gridCol w:w="1440"/>
              <w:gridCol w:w="3288"/>
            </w:tblGrid>
            <w:tr w14:paraId="66C6C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61B7D548">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序号</w:t>
                  </w:r>
                </w:p>
              </w:tc>
              <w:tc>
                <w:tcPr>
                  <w:tcW w:w="1590" w:type="dxa"/>
                  <w:tcBorders>
                    <w:tl2br w:val="nil"/>
                    <w:tr2bl w:val="nil"/>
                  </w:tcBorders>
                  <w:noWrap w:val="0"/>
                  <w:vAlign w:val="center"/>
                </w:tcPr>
                <w:p w14:paraId="1D811454">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污染物项目</w:t>
                  </w:r>
                </w:p>
              </w:tc>
              <w:tc>
                <w:tcPr>
                  <w:tcW w:w="1179" w:type="dxa"/>
                  <w:tcBorders>
                    <w:tl2br w:val="nil"/>
                    <w:tr2bl w:val="nil"/>
                  </w:tcBorders>
                  <w:noWrap w:val="0"/>
                  <w:vAlign w:val="center"/>
                </w:tcPr>
                <w:p w14:paraId="51317C69">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排放限值</w:t>
                  </w:r>
                </w:p>
              </w:tc>
              <w:tc>
                <w:tcPr>
                  <w:tcW w:w="1440" w:type="dxa"/>
                  <w:tcBorders>
                    <w:tl2br w:val="nil"/>
                    <w:tr2bl w:val="nil"/>
                  </w:tcBorders>
                  <w:noWrap w:val="0"/>
                  <w:vAlign w:val="center"/>
                </w:tcPr>
                <w:p w14:paraId="191FBC08">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污染物排放监控位置</w:t>
                  </w:r>
                </w:p>
              </w:tc>
              <w:tc>
                <w:tcPr>
                  <w:tcW w:w="3288" w:type="dxa"/>
                  <w:tcBorders>
                    <w:tl2br w:val="nil"/>
                    <w:tr2bl w:val="nil"/>
                  </w:tcBorders>
                  <w:noWrap w:val="0"/>
                  <w:vAlign w:val="center"/>
                </w:tcPr>
                <w:p w14:paraId="0C9B6CEA">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标准来源</w:t>
                  </w:r>
                </w:p>
              </w:tc>
            </w:tr>
            <w:tr w14:paraId="2EA2A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74EA29E8">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590" w:type="dxa"/>
                  <w:tcBorders>
                    <w:tl2br w:val="nil"/>
                    <w:tr2bl w:val="nil"/>
                  </w:tcBorders>
                  <w:noWrap w:val="0"/>
                  <w:vAlign w:val="center"/>
                </w:tcPr>
                <w:p w14:paraId="12379DED">
                  <w:pPr>
                    <w:adjustRightInd w:val="0"/>
                    <w:snapToGrid w:val="0"/>
                    <w:ind w:left="-105" w:leftChars="-50" w:right="-105" w:rightChars="-5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p</w:t>
                  </w:r>
                  <w:r>
                    <w:rPr>
                      <w:rFonts w:ascii="Times New Roman" w:hAnsi="Times New Roman" w:eastAsia="宋体" w:cs="Times New Roman"/>
                      <w:color w:val="auto"/>
                      <w:sz w:val="21"/>
                      <w:szCs w:val="21"/>
                      <w:highlight w:val="none"/>
                    </w:rPr>
                    <w:t>H</w:t>
                  </w:r>
                </w:p>
              </w:tc>
              <w:tc>
                <w:tcPr>
                  <w:tcW w:w="1179" w:type="dxa"/>
                  <w:tcBorders>
                    <w:tl2br w:val="nil"/>
                    <w:tr2bl w:val="nil"/>
                  </w:tcBorders>
                  <w:noWrap w:val="0"/>
                  <w:vAlign w:val="center"/>
                </w:tcPr>
                <w:p w14:paraId="792A8521">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1440" w:type="dxa"/>
                  <w:vMerge w:val="restart"/>
                  <w:tcBorders>
                    <w:tl2br w:val="nil"/>
                    <w:tr2bl w:val="nil"/>
                  </w:tcBorders>
                  <w:noWrap w:val="0"/>
                  <w:vAlign w:val="center"/>
                </w:tcPr>
                <w:p w14:paraId="1C9C8FD5">
                  <w:pPr>
                    <w:adjustRightInd w:val="0"/>
                    <w:snapToGrid w:val="0"/>
                    <w:ind w:left="-105" w:leftChars="-50" w:right="-105" w:rightChars="-5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企业废水总排口</w:t>
                  </w:r>
                </w:p>
              </w:tc>
              <w:tc>
                <w:tcPr>
                  <w:tcW w:w="3288" w:type="dxa"/>
                  <w:vMerge w:val="restart"/>
                  <w:tcBorders>
                    <w:tl2br w:val="nil"/>
                    <w:tr2bl w:val="nil"/>
                  </w:tcBorders>
                  <w:noWrap w:val="0"/>
                  <w:vAlign w:val="center"/>
                </w:tcPr>
                <w:p w14:paraId="7B0FE2F8">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李口镇污水处理厂接管要求</w:t>
                  </w:r>
                </w:p>
              </w:tc>
            </w:tr>
            <w:tr w14:paraId="0AB3A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2D18EBF7">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590" w:type="dxa"/>
                  <w:tcBorders>
                    <w:tl2br w:val="nil"/>
                    <w:tr2bl w:val="nil"/>
                  </w:tcBorders>
                  <w:noWrap w:val="0"/>
                  <w:vAlign w:val="center"/>
                </w:tcPr>
                <w:p w14:paraId="5E16208F">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p>
              </w:tc>
              <w:tc>
                <w:tcPr>
                  <w:tcW w:w="1179" w:type="dxa"/>
                  <w:tcBorders>
                    <w:tl2br w:val="nil"/>
                    <w:tr2bl w:val="nil"/>
                  </w:tcBorders>
                  <w:noWrap w:val="0"/>
                  <w:vAlign w:val="center"/>
                </w:tcPr>
                <w:p w14:paraId="74698002">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280</w:t>
                  </w:r>
                </w:p>
              </w:tc>
              <w:tc>
                <w:tcPr>
                  <w:tcW w:w="1440" w:type="dxa"/>
                  <w:vMerge w:val="continue"/>
                  <w:tcBorders>
                    <w:tl2br w:val="nil"/>
                    <w:tr2bl w:val="nil"/>
                  </w:tcBorders>
                  <w:noWrap w:val="0"/>
                  <w:vAlign w:val="center"/>
                </w:tcPr>
                <w:p w14:paraId="533BFD63">
                  <w:pPr>
                    <w:adjustRightInd w:val="0"/>
                    <w:snapToGrid w:val="0"/>
                    <w:ind w:left="-105" w:leftChars="-50" w:right="-105" w:rightChars="-50"/>
                    <w:jc w:val="center"/>
                    <w:rPr>
                      <w:rFonts w:hint="eastAsia" w:ascii="宋体" w:hAnsi="宋体" w:eastAsia="宋体" w:cs="宋体"/>
                      <w:color w:val="auto"/>
                      <w:kern w:val="0"/>
                      <w:sz w:val="21"/>
                      <w:szCs w:val="21"/>
                      <w:highlight w:val="none"/>
                      <w:lang w:val="en-US" w:eastAsia="zh-CN" w:bidi="ar"/>
                    </w:rPr>
                  </w:pPr>
                </w:p>
              </w:tc>
              <w:tc>
                <w:tcPr>
                  <w:tcW w:w="3288" w:type="dxa"/>
                  <w:vMerge w:val="continue"/>
                  <w:tcBorders>
                    <w:tl2br w:val="nil"/>
                    <w:tr2bl w:val="nil"/>
                  </w:tcBorders>
                  <w:noWrap w:val="0"/>
                  <w:vAlign w:val="center"/>
                </w:tcPr>
                <w:p w14:paraId="061EA66C">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p>
              </w:tc>
            </w:tr>
            <w:tr w14:paraId="57ADC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742EC0C8">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1590" w:type="dxa"/>
                  <w:tcBorders>
                    <w:tl2br w:val="nil"/>
                    <w:tr2bl w:val="nil"/>
                  </w:tcBorders>
                  <w:noWrap w:val="0"/>
                  <w:vAlign w:val="center"/>
                </w:tcPr>
                <w:p w14:paraId="4AD16707">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BOD</w:t>
                  </w:r>
                  <w:r>
                    <w:rPr>
                      <w:rFonts w:hint="eastAsia" w:ascii="Times New Roman" w:hAnsi="Times New Roman" w:eastAsia="宋体" w:cs="Times New Roman"/>
                      <w:color w:val="auto"/>
                      <w:sz w:val="21"/>
                      <w:szCs w:val="21"/>
                      <w:highlight w:val="none"/>
                      <w:vertAlign w:val="subscript"/>
                      <w:lang w:val="en-US" w:eastAsia="zh-CN"/>
                    </w:rPr>
                    <w:t>5</w:t>
                  </w:r>
                </w:p>
              </w:tc>
              <w:tc>
                <w:tcPr>
                  <w:tcW w:w="1179" w:type="dxa"/>
                  <w:tcBorders>
                    <w:tl2br w:val="nil"/>
                    <w:tr2bl w:val="nil"/>
                  </w:tcBorders>
                  <w:noWrap w:val="0"/>
                  <w:vAlign w:val="center"/>
                </w:tcPr>
                <w:p w14:paraId="2297ADCA">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160</w:t>
                  </w:r>
                </w:p>
              </w:tc>
              <w:tc>
                <w:tcPr>
                  <w:tcW w:w="1440" w:type="dxa"/>
                  <w:vMerge w:val="continue"/>
                  <w:tcBorders>
                    <w:tl2br w:val="nil"/>
                    <w:tr2bl w:val="nil"/>
                  </w:tcBorders>
                  <w:noWrap w:val="0"/>
                  <w:vAlign w:val="center"/>
                </w:tcPr>
                <w:p w14:paraId="3C9BBE55">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c>
                <w:tcPr>
                  <w:tcW w:w="3288" w:type="dxa"/>
                  <w:vMerge w:val="continue"/>
                  <w:tcBorders>
                    <w:tl2br w:val="nil"/>
                    <w:tr2bl w:val="nil"/>
                  </w:tcBorders>
                  <w:noWrap w:val="0"/>
                  <w:vAlign w:val="center"/>
                </w:tcPr>
                <w:p w14:paraId="62C8A5C2">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r>
            <w:tr w14:paraId="79597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2B3D49F9">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590" w:type="dxa"/>
                  <w:tcBorders>
                    <w:tl2br w:val="nil"/>
                    <w:tr2bl w:val="nil"/>
                  </w:tcBorders>
                  <w:noWrap w:val="0"/>
                  <w:vAlign w:val="center"/>
                </w:tcPr>
                <w:p w14:paraId="2154E2B4">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SS</w:t>
                  </w:r>
                </w:p>
              </w:tc>
              <w:tc>
                <w:tcPr>
                  <w:tcW w:w="1179" w:type="dxa"/>
                  <w:tcBorders>
                    <w:tl2br w:val="nil"/>
                    <w:tr2bl w:val="nil"/>
                  </w:tcBorders>
                  <w:noWrap w:val="0"/>
                  <w:vAlign w:val="center"/>
                </w:tcPr>
                <w:p w14:paraId="18D1C933">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w:t>
                  </w:r>
                </w:p>
              </w:tc>
              <w:tc>
                <w:tcPr>
                  <w:tcW w:w="1440" w:type="dxa"/>
                  <w:vMerge w:val="continue"/>
                  <w:tcBorders>
                    <w:tl2br w:val="nil"/>
                    <w:tr2bl w:val="nil"/>
                  </w:tcBorders>
                  <w:noWrap w:val="0"/>
                  <w:vAlign w:val="center"/>
                </w:tcPr>
                <w:p w14:paraId="3A584037">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c>
                <w:tcPr>
                  <w:tcW w:w="3288" w:type="dxa"/>
                  <w:vMerge w:val="continue"/>
                  <w:tcBorders>
                    <w:tl2br w:val="nil"/>
                    <w:tr2bl w:val="nil"/>
                  </w:tcBorders>
                  <w:noWrap w:val="0"/>
                  <w:vAlign w:val="center"/>
                </w:tcPr>
                <w:p w14:paraId="061063E7">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r>
            <w:tr w14:paraId="5FB76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235D3C0C">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1590" w:type="dxa"/>
                  <w:tcBorders>
                    <w:tl2br w:val="nil"/>
                    <w:tr2bl w:val="nil"/>
                  </w:tcBorders>
                  <w:noWrap w:val="0"/>
                  <w:vAlign w:val="center"/>
                </w:tcPr>
                <w:p w14:paraId="39E84894">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NH</w:t>
                  </w:r>
                  <w:r>
                    <w:rPr>
                      <w:rFonts w:ascii="Times New Roman" w:hAnsi="Times New Roman" w:eastAsia="宋体" w:cs="Times New Roman"/>
                      <w:color w:val="auto"/>
                      <w:sz w:val="21"/>
                      <w:szCs w:val="21"/>
                      <w:highlight w:val="none"/>
                      <w:vertAlign w:val="subscript"/>
                    </w:rPr>
                    <w:t>3</w:t>
                  </w:r>
                  <w:r>
                    <w:rPr>
                      <w:rFonts w:ascii="Times New Roman" w:hAnsi="Times New Roman" w:eastAsia="宋体" w:cs="Times New Roman"/>
                      <w:color w:val="auto"/>
                      <w:sz w:val="21"/>
                      <w:szCs w:val="21"/>
                      <w:highlight w:val="none"/>
                    </w:rPr>
                    <w:t>-N</w:t>
                  </w:r>
                </w:p>
              </w:tc>
              <w:tc>
                <w:tcPr>
                  <w:tcW w:w="1179" w:type="dxa"/>
                  <w:tcBorders>
                    <w:tl2br w:val="nil"/>
                    <w:tr2bl w:val="nil"/>
                  </w:tcBorders>
                  <w:noWrap w:val="0"/>
                  <w:vAlign w:val="center"/>
                </w:tcPr>
                <w:p w14:paraId="782C2BE2">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1440" w:type="dxa"/>
                  <w:vMerge w:val="continue"/>
                  <w:tcBorders>
                    <w:tl2br w:val="nil"/>
                    <w:tr2bl w:val="nil"/>
                  </w:tcBorders>
                  <w:noWrap w:val="0"/>
                  <w:vAlign w:val="center"/>
                </w:tcPr>
                <w:p w14:paraId="5AEFB393">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c>
                <w:tcPr>
                  <w:tcW w:w="3288" w:type="dxa"/>
                  <w:vMerge w:val="continue"/>
                  <w:tcBorders>
                    <w:tl2br w:val="nil"/>
                    <w:tr2bl w:val="nil"/>
                  </w:tcBorders>
                  <w:noWrap w:val="0"/>
                  <w:vAlign w:val="center"/>
                </w:tcPr>
                <w:p w14:paraId="4D20294C">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r>
            <w:tr w14:paraId="1A469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50A55253">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w:t>
                  </w:r>
                </w:p>
              </w:tc>
              <w:tc>
                <w:tcPr>
                  <w:tcW w:w="1590" w:type="dxa"/>
                  <w:tcBorders>
                    <w:tl2br w:val="nil"/>
                    <w:tr2bl w:val="nil"/>
                  </w:tcBorders>
                  <w:noWrap w:val="0"/>
                  <w:vAlign w:val="center"/>
                </w:tcPr>
                <w:p w14:paraId="7C02D7FC">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TN</w:t>
                  </w:r>
                </w:p>
              </w:tc>
              <w:tc>
                <w:tcPr>
                  <w:tcW w:w="1179" w:type="dxa"/>
                  <w:tcBorders>
                    <w:tl2br w:val="nil"/>
                    <w:tr2bl w:val="nil"/>
                  </w:tcBorders>
                  <w:noWrap w:val="0"/>
                  <w:vAlign w:val="center"/>
                </w:tcPr>
                <w:p w14:paraId="2B97E105">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440" w:type="dxa"/>
                  <w:vMerge w:val="continue"/>
                  <w:tcBorders>
                    <w:tl2br w:val="nil"/>
                    <w:tr2bl w:val="nil"/>
                  </w:tcBorders>
                  <w:noWrap w:val="0"/>
                  <w:vAlign w:val="center"/>
                </w:tcPr>
                <w:p w14:paraId="0913045B">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c>
                <w:tcPr>
                  <w:tcW w:w="3288" w:type="dxa"/>
                  <w:vMerge w:val="continue"/>
                  <w:tcBorders>
                    <w:tl2br w:val="nil"/>
                    <w:tr2bl w:val="nil"/>
                  </w:tcBorders>
                  <w:noWrap w:val="0"/>
                  <w:vAlign w:val="center"/>
                </w:tcPr>
                <w:p w14:paraId="5A00D45B">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r>
            <w:tr w14:paraId="14F6F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41EA641D">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w:t>
                  </w:r>
                </w:p>
              </w:tc>
              <w:tc>
                <w:tcPr>
                  <w:tcW w:w="1590" w:type="dxa"/>
                  <w:tcBorders>
                    <w:tl2br w:val="nil"/>
                    <w:tr2bl w:val="nil"/>
                  </w:tcBorders>
                  <w:noWrap w:val="0"/>
                  <w:vAlign w:val="center"/>
                </w:tcPr>
                <w:p w14:paraId="467A8EFB">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TP</w:t>
                  </w:r>
                </w:p>
              </w:tc>
              <w:tc>
                <w:tcPr>
                  <w:tcW w:w="1179" w:type="dxa"/>
                  <w:tcBorders>
                    <w:tl2br w:val="nil"/>
                    <w:tr2bl w:val="nil"/>
                  </w:tcBorders>
                  <w:noWrap w:val="0"/>
                  <w:vAlign w:val="center"/>
                </w:tcPr>
                <w:p w14:paraId="486DB982">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440" w:type="dxa"/>
                  <w:vMerge w:val="continue"/>
                  <w:tcBorders>
                    <w:tl2br w:val="nil"/>
                    <w:tr2bl w:val="nil"/>
                  </w:tcBorders>
                  <w:noWrap w:val="0"/>
                  <w:vAlign w:val="center"/>
                </w:tcPr>
                <w:p w14:paraId="7A90195D">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c>
                <w:tcPr>
                  <w:tcW w:w="3288" w:type="dxa"/>
                  <w:vMerge w:val="continue"/>
                  <w:tcBorders>
                    <w:tl2br w:val="nil"/>
                    <w:tr2bl w:val="nil"/>
                  </w:tcBorders>
                  <w:noWrap w:val="0"/>
                  <w:vAlign w:val="center"/>
                </w:tcPr>
                <w:p w14:paraId="2C0777D5">
                  <w:pPr>
                    <w:adjustRightInd w:val="0"/>
                    <w:snapToGrid w:val="0"/>
                    <w:ind w:left="-105" w:leftChars="-50" w:right="-105" w:rightChars="-50"/>
                    <w:jc w:val="center"/>
                    <w:rPr>
                      <w:rFonts w:hint="eastAsia" w:ascii="Times New Roman" w:hAnsi="Times New Roman" w:eastAsia="宋体" w:cs="Times New Roman"/>
                      <w:color w:val="auto"/>
                      <w:sz w:val="21"/>
                      <w:szCs w:val="21"/>
                      <w:highlight w:val="none"/>
                    </w:rPr>
                  </w:pPr>
                </w:p>
              </w:tc>
            </w:tr>
            <w:tr w14:paraId="74311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7C6AE9D1">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1590" w:type="dxa"/>
                  <w:tcBorders>
                    <w:tl2br w:val="nil"/>
                    <w:tr2bl w:val="nil"/>
                  </w:tcBorders>
                  <w:noWrap w:val="0"/>
                  <w:vAlign w:val="center"/>
                </w:tcPr>
                <w:p w14:paraId="7CC1A2DD">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石油类</w:t>
                  </w:r>
                </w:p>
              </w:tc>
              <w:tc>
                <w:tcPr>
                  <w:tcW w:w="1179" w:type="dxa"/>
                  <w:tcBorders>
                    <w:tl2br w:val="nil"/>
                    <w:tr2bl w:val="nil"/>
                  </w:tcBorders>
                  <w:noWrap w:val="0"/>
                  <w:vAlign w:val="center"/>
                </w:tcPr>
                <w:p w14:paraId="574E3B33">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440" w:type="dxa"/>
                  <w:tcBorders>
                    <w:tl2br w:val="nil"/>
                    <w:tr2bl w:val="nil"/>
                  </w:tcBorders>
                  <w:noWrap w:val="0"/>
                  <w:vAlign w:val="center"/>
                </w:tcPr>
                <w:p w14:paraId="4A0820A3">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企业废水总排口</w:t>
                  </w:r>
                </w:p>
              </w:tc>
              <w:tc>
                <w:tcPr>
                  <w:tcW w:w="3288" w:type="dxa"/>
                  <w:tcBorders>
                    <w:tl2br w:val="nil"/>
                    <w:tr2bl w:val="nil"/>
                  </w:tcBorders>
                  <w:noWrap w:val="0"/>
                  <w:vAlign w:val="center"/>
                </w:tcPr>
                <w:p w14:paraId="23DD44BE">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《污水排入城镇下水道水质标准》（GB/T31962-2015）</w:t>
                  </w:r>
                </w:p>
              </w:tc>
            </w:tr>
            <w:tr w14:paraId="52776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77" w:type="dxa"/>
                  <w:tcBorders>
                    <w:tl2br w:val="nil"/>
                    <w:tr2bl w:val="nil"/>
                  </w:tcBorders>
                  <w:noWrap w:val="0"/>
                  <w:vAlign w:val="center"/>
                </w:tcPr>
                <w:p w14:paraId="1A357579">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590" w:type="dxa"/>
                  <w:tcBorders>
                    <w:tl2br w:val="nil"/>
                    <w:tr2bl w:val="nil"/>
                  </w:tcBorders>
                  <w:noWrap w:val="0"/>
                  <w:vAlign w:val="center"/>
                </w:tcPr>
                <w:p w14:paraId="0772908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总锌</w:t>
                  </w:r>
                </w:p>
              </w:tc>
              <w:tc>
                <w:tcPr>
                  <w:tcW w:w="1179" w:type="dxa"/>
                  <w:tcBorders>
                    <w:tl2br w:val="nil"/>
                    <w:tr2bl w:val="nil"/>
                  </w:tcBorders>
                  <w:noWrap w:val="0"/>
                  <w:vAlign w:val="center"/>
                </w:tcPr>
                <w:p w14:paraId="742D50DF">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1440" w:type="dxa"/>
                  <w:tcBorders>
                    <w:tl2br w:val="nil"/>
                    <w:tr2bl w:val="nil"/>
                  </w:tcBorders>
                  <w:noWrap w:val="0"/>
                  <w:vAlign w:val="center"/>
                </w:tcPr>
                <w:p w14:paraId="6BE8EC84">
                  <w:pPr>
                    <w:adjustRightInd w:val="0"/>
                    <w:snapToGrid w:val="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企业废水总排口</w:t>
                  </w:r>
                </w:p>
              </w:tc>
              <w:tc>
                <w:tcPr>
                  <w:tcW w:w="3288" w:type="dxa"/>
                  <w:tcBorders>
                    <w:tl2br w:val="nil"/>
                    <w:tr2bl w:val="nil"/>
                  </w:tcBorders>
                  <w:noWrap w:val="0"/>
                  <w:vAlign w:val="center"/>
                </w:tcPr>
                <w:p w14:paraId="23FB3FA8">
                  <w:pPr>
                    <w:adjustRightInd w:val="0"/>
                    <w:snapToGrid w:val="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bCs/>
                      <w:color w:val="auto"/>
                      <w:sz w:val="21"/>
                      <w:szCs w:val="21"/>
                      <w:highlight w:val="none"/>
                      <w:lang w:val="en-US" w:eastAsia="zh-CN"/>
                    </w:rPr>
                    <w:t>《城镇污水处理厂污染物排放标准》（DB32/4440-2022）</w:t>
                  </w:r>
                </w:p>
              </w:tc>
            </w:tr>
          </w:tbl>
          <w:p w14:paraId="00E0A67B">
            <w:pPr>
              <w:keepNext w:val="0"/>
              <w:keepLines w:val="0"/>
              <w:suppressLineNumbers w:val="0"/>
              <w:adjustRightInd w:val="0"/>
              <w:snapToGrid w:val="0"/>
              <w:spacing w:before="120" w:beforeLines="50" w:beforeAutospacing="0" w:after="0" w:afterAutospacing="0"/>
              <w:ind w:left="0" w:right="0"/>
              <w:jc w:val="center"/>
              <w:rPr>
                <w:b/>
                <w:color w:val="auto"/>
                <w:kern w:val="0"/>
                <w:sz w:val="21"/>
                <w:szCs w:val="21"/>
              </w:rPr>
            </w:pPr>
            <w:r>
              <w:rPr>
                <w:rFonts w:hint="eastAsia"/>
                <w:b/>
                <w:color w:val="auto"/>
                <w:kern w:val="0"/>
                <w:sz w:val="21"/>
                <w:szCs w:val="21"/>
              </w:rPr>
              <w:t>表3-</w:t>
            </w:r>
            <w:r>
              <w:rPr>
                <w:rFonts w:hint="eastAsia"/>
                <w:b/>
                <w:color w:val="auto"/>
                <w:kern w:val="0"/>
                <w:sz w:val="21"/>
                <w:szCs w:val="21"/>
                <w:lang w:val="en-US" w:eastAsia="zh-CN"/>
              </w:rPr>
              <w:t>9</w:t>
            </w:r>
            <w:r>
              <w:rPr>
                <w:rFonts w:hint="eastAsia"/>
                <w:b/>
                <w:color w:val="auto"/>
                <w:kern w:val="0"/>
                <w:sz w:val="21"/>
                <w:szCs w:val="21"/>
              </w:rPr>
              <w:t xml:space="preserve"> </w:t>
            </w:r>
            <w:r>
              <w:rPr>
                <w:rFonts w:hint="eastAsia"/>
                <w:b/>
                <w:color w:val="auto"/>
                <w:kern w:val="0"/>
                <w:sz w:val="21"/>
                <w:szCs w:val="21"/>
                <w:lang w:val="en-US" w:eastAsia="zh-CN"/>
              </w:rPr>
              <w:t>李口镇污水处理厂</w:t>
            </w:r>
            <w:r>
              <w:rPr>
                <w:rFonts w:hint="eastAsia"/>
                <w:b/>
                <w:color w:val="auto"/>
                <w:kern w:val="0"/>
                <w:sz w:val="21"/>
                <w:szCs w:val="21"/>
              </w:rPr>
              <w:t>排放标准（单位：mg/L，pH无量纲）</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85"/>
              <w:gridCol w:w="886"/>
              <w:gridCol w:w="886"/>
              <w:gridCol w:w="886"/>
              <w:gridCol w:w="886"/>
              <w:gridCol w:w="886"/>
              <w:gridCol w:w="886"/>
              <w:gridCol w:w="886"/>
              <w:gridCol w:w="887"/>
            </w:tblGrid>
            <w:tr w14:paraId="6EEDD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5" w:type="pct"/>
                  <w:vAlign w:val="center"/>
                </w:tcPr>
                <w:p w14:paraId="6601011C">
                  <w:pPr>
                    <w:keepNext w:val="0"/>
                    <w:keepLines w:val="0"/>
                    <w:suppressLineNumbers w:val="0"/>
                    <w:adjustRightInd w:val="0"/>
                    <w:snapToGrid w:val="0"/>
                    <w:spacing w:before="0" w:beforeAutospacing="0" w:after="0" w:afterAutospacing="0"/>
                    <w:ind w:left="0" w:right="0"/>
                    <w:jc w:val="center"/>
                    <w:rPr>
                      <w:rFonts w:hint="eastAsia" w:eastAsia="宋体"/>
                      <w:b w:val="0"/>
                      <w:bCs/>
                      <w:color w:val="auto"/>
                      <w:kern w:val="0"/>
                      <w:sz w:val="21"/>
                      <w:szCs w:val="21"/>
                      <w:lang w:val="en-US" w:eastAsia="zh-CN"/>
                    </w:rPr>
                  </w:pPr>
                  <w:r>
                    <w:rPr>
                      <w:rFonts w:hint="eastAsia"/>
                      <w:b w:val="0"/>
                      <w:bCs/>
                      <w:color w:val="auto"/>
                      <w:kern w:val="0"/>
                      <w:sz w:val="21"/>
                      <w:szCs w:val="21"/>
                      <w:lang w:val="en-US" w:eastAsia="zh-CN"/>
                    </w:rPr>
                    <w:t>因子</w:t>
                  </w:r>
                </w:p>
              </w:tc>
              <w:tc>
                <w:tcPr>
                  <w:tcW w:w="555" w:type="pct"/>
                  <w:vAlign w:val="center"/>
                </w:tcPr>
                <w:p w14:paraId="46EDEC12">
                  <w:pPr>
                    <w:keepNext w:val="0"/>
                    <w:keepLines w:val="0"/>
                    <w:suppressLineNumbers w:val="0"/>
                    <w:adjustRightInd w:val="0"/>
                    <w:snapToGrid w:val="0"/>
                    <w:spacing w:before="0" w:beforeAutospacing="0" w:after="0" w:afterAutospacing="0"/>
                    <w:ind w:left="0" w:right="0"/>
                    <w:jc w:val="center"/>
                    <w:rPr>
                      <w:b w:val="0"/>
                      <w:bCs/>
                      <w:color w:val="auto"/>
                      <w:kern w:val="0"/>
                      <w:sz w:val="21"/>
                      <w:szCs w:val="21"/>
                    </w:rPr>
                  </w:pPr>
                  <w:r>
                    <w:rPr>
                      <w:b w:val="0"/>
                      <w:bCs/>
                      <w:color w:val="auto"/>
                      <w:kern w:val="0"/>
                      <w:sz w:val="21"/>
                      <w:szCs w:val="21"/>
                    </w:rPr>
                    <w:t>pH</w:t>
                  </w:r>
                </w:p>
              </w:tc>
              <w:tc>
                <w:tcPr>
                  <w:tcW w:w="555" w:type="pct"/>
                  <w:vAlign w:val="center"/>
                </w:tcPr>
                <w:p w14:paraId="364B9CEE">
                  <w:pPr>
                    <w:keepNext w:val="0"/>
                    <w:keepLines w:val="0"/>
                    <w:suppressLineNumbers w:val="0"/>
                    <w:adjustRightInd w:val="0"/>
                    <w:snapToGrid w:val="0"/>
                    <w:spacing w:before="0" w:beforeAutospacing="0" w:after="0" w:afterAutospacing="0"/>
                    <w:ind w:left="0" w:right="0"/>
                    <w:jc w:val="center"/>
                    <w:rPr>
                      <w:b w:val="0"/>
                      <w:bCs/>
                      <w:color w:val="auto"/>
                      <w:kern w:val="0"/>
                      <w:sz w:val="21"/>
                      <w:szCs w:val="21"/>
                    </w:rPr>
                  </w:pPr>
                  <w:r>
                    <w:rPr>
                      <w:b w:val="0"/>
                      <w:bCs/>
                      <w:color w:val="auto"/>
                      <w:kern w:val="0"/>
                      <w:sz w:val="21"/>
                      <w:szCs w:val="21"/>
                    </w:rPr>
                    <w:t>COD</w:t>
                  </w:r>
                </w:p>
              </w:tc>
              <w:tc>
                <w:tcPr>
                  <w:tcW w:w="555" w:type="pct"/>
                  <w:vAlign w:val="center"/>
                </w:tcPr>
                <w:p w14:paraId="54D5EF1F">
                  <w:pPr>
                    <w:keepNext w:val="0"/>
                    <w:keepLines w:val="0"/>
                    <w:suppressLineNumbers w:val="0"/>
                    <w:adjustRightInd w:val="0"/>
                    <w:snapToGrid w:val="0"/>
                    <w:spacing w:before="0" w:beforeAutospacing="0" w:after="0" w:afterAutospacing="0"/>
                    <w:ind w:left="0" w:right="0"/>
                    <w:jc w:val="center"/>
                    <w:rPr>
                      <w:rFonts w:hint="default" w:eastAsia="宋体"/>
                      <w:b w:val="0"/>
                      <w:bCs/>
                      <w:color w:val="auto"/>
                      <w:kern w:val="0"/>
                      <w:sz w:val="21"/>
                      <w:szCs w:val="21"/>
                      <w:lang w:val="en-US" w:eastAsia="zh-CN"/>
                    </w:rPr>
                  </w:pPr>
                  <w:r>
                    <w:rPr>
                      <w:rFonts w:hint="eastAsia"/>
                      <w:b w:val="0"/>
                      <w:bCs/>
                      <w:color w:val="auto"/>
                      <w:kern w:val="0"/>
                      <w:sz w:val="21"/>
                      <w:szCs w:val="21"/>
                      <w:lang w:val="en-US" w:eastAsia="zh-CN"/>
                    </w:rPr>
                    <w:t>BOD</w:t>
                  </w:r>
                  <w:r>
                    <w:rPr>
                      <w:rFonts w:hint="eastAsia"/>
                      <w:b w:val="0"/>
                      <w:bCs/>
                      <w:color w:val="auto"/>
                      <w:kern w:val="0"/>
                      <w:sz w:val="21"/>
                      <w:szCs w:val="21"/>
                      <w:vertAlign w:val="subscript"/>
                      <w:lang w:val="en-US" w:eastAsia="zh-CN"/>
                    </w:rPr>
                    <w:t>5</w:t>
                  </w:r>
                </w:p>
              </w:tc>
              <w:tc>
                <w:tcPr>
                  <w:tcW w:w="555" w:type="pct"/>
                  <w:vAlign w:val="center"/>
                </w:tcPr>
                <w:p w14:paraId="7096A6D6">
                  <w:pPr>
                    <w:keepNext w:val="0"/>
                    <w:keepLines w:val="0"/>
                    <w:suppressLineNumbers w:val="0"/>
                    <w:adjustRightInd w:val="0"/>
                    <w:snapToGrid w:val="0"/>
                    <w:spacing w:before="0" w:beforeAutospacing="0" w:after="0" w:afterAutospacing="0"/>
                    <w:ind w:left="0" w:leftChars="0" w:right="0" w:rightChars="0"/>
                    <w:jc w:val="center"/>
                    <w:rPr>
                      <w:b w:val="0"/>
                      <w:bCs/>
                      <w:color w:val="auto"/>
                      <w:kern w:val="0"/>
                      <w:sz w:val="21"/>
                      <w:szCs w:val="21"/>
                    </w:rPr>
                  </w:pPr>
                  <w:r>
                    <w:rPr>
                      <w:b w:val="0"/>
                      <w:bCs/>
                      <w:color w:val="auto"/>
                      <w:kern w:val="0"/>
                      <w:sz w:val="21"/>
                      <w:szCs w:val="21"/>
                    </w:rPr>
                    <w:t>SS</w:t>
                  </w:r>
                </w:p>
              </w:tc>
              <w:tc>
                <w:tcPr>
                  <w:tcW w:w="555" w:type="pct"/>
                  <w:vAlign w:val="center"/>
                </w:tcPr>
                <w:p w14:paraId="79D64EFE">
                  <w:pPr>
                    <w:keepNext w:val="0"/>
                    <w:keepLines w:val="0"/>
                    <w:suppressLineNumbers w:val="0"/>
                    <w:adjustRightInd w:val="0"/>
                    <w:snapToGrid w:val="0"/>
                    <w:spacing w:before="0" w:beforeAutospacing="0" w:after="0" w:afterAutospacing="0"/>
                    <w:ind w:left="0" w:right="0"/>
                    <w:jc w:val="center"/>
                    <w:rPr>
                      <w:b w:val="0"/>
                      <w:bCs/>
                      <w:color w:val="auto"/>
                      <w:kern w:val="0"/>
                      <w:sz w:val="21"/>
                      <w:szCs w:val="21"/>
                    </w:rPr>
                  </w:pPr>
                  <w:r>
                    <w:rPr>
                      <w:b w:val="0"/>
                      <w:bCs/>
                      <w:color w:val="auto"/>
                      <w:kern w:val="0"/>
                      <w:sz w:val="21"/>
                      <w:szCs w:val="21"/>
                    </w:rPr>
                    <w:t>氨氮</w:t>
                  </w:r>
                </w:p>
              </w:tc>
              <w:tc>
                <w:tcPr>
                  <w:tcW w:w="555" w:type="pct"/>
                  <w:vAlign w:val="center"/>
                </w:tcPr>
                <w:p w14:paraId="103DB423">
                  <w:pPr>
                    <w:keepNext w:val="0"/>
                    <w:keepLines w:val="0"/>
                    <w:suppressLineNumbers w:val="0"/>
                    <w:adjustRightInd w:val="0"/>
                    <w:snapToGrid w:val="0"/>
                    <w:spacing w:before="0" w:beforeAutospacing="0" w:after="0" w:afterAutospacing="0"/>
                    <w:ind w:left="0" w:right="0"/>
                    <w:jc w:val="center"/>
                    <w:rPr>
                      <w:b w:val="0"/>
                      <w:bCs/>
                      <w:color w:val="auto"/>
                      <w:kern w:val="0"/>
                      <w:sz w:val="21"/>
                      <w:szCs w:val="21"/>
                    </w:rPr>
                  </w:pPr>
                  <w:r>
                    <w:rPr>
                      <w:b w:val="0"/>
                      <w:bCs/>
                      <w:color w:val="auto"/>
                      <w:kern w:val="0"/>
                      <w:sz w:val="21"/>
                      <w:szCs w:val="21"/>
                    </w:rPr>
                    <w:t>总氮</w:t>
                  </w:r>
                </w:p>
              </w:tc>
              <w:tc>
                <w:tcPr>
                  <w:tcW w:w="555" w:type="pct"/>
                  <w:vAlign w:val="center"/>
                </w:tcPr>
                <w:p w14:paraId="3CCC4CD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 w:val="0"/>
                      <w:bCs/>
                      <w:color w:val="auto"/>
                      <w:kern w:val="0"/>
                      <w:sz w:val="21"/>
                      <w:szCs w:val="21"/>
                      <w:lang w:val="en-US" w:eastAsia="zh-CN" w:bidi="ar-SA"/>
                    </w:rPr>
                  </w:pPr>
                  <w:r>
                    <w:rPr>
                      <w:b w:val="0"/>
                      <w:bCs/>
                      <w:color w:val="auto"/>
                      <w:kern w:val="0"/>
                      <w:sz w:val="21"/>
                      <w:szCs w:val="21"/>
                    </w:rPr>
                    <w:t>总磷</w:t>
                  </w:r>
                </w:p>
              </w:tc>
              <w:tc>
                <w:tcPr>
                  <w:tcW w:w="556" w:type="pct"/>
                  <w:vAlign w:val="center"/>
                </w:tcPr>
                <w:p w14:paraId="26F8AC4E">
                  <w:pPr>
                    <w:keepNext w:val="0"/>
                    <w:keepLines w:val="0"/>
                    <w:suppressLineNumbers w:val="0"/>
                    <w:adjustRightInd w:val="0"/>
                    <w:snapToGrid w:val="0"/>
                    <w:spacing w:before="0" w:beforeAutospacing="0" w:after="0" w:afterAutospacing="0"/>
                    <w:ind w:left="0" w:right="0"/>
                    <w:jc w:val="center"/>
                    <w:rPr>
                      <w:rFonts w:hint="eastAsia" w:eastAsia="宋体"/>
                      <w:b w:val="0"/>
                      <w:bCs/>
                      <w:color w:val="auto"/>
                      <w:kern w:val="0"/>
                      <w:sz w:val="21"/>
                      <w:szCs w:val="21"/>
                      <w:lang w:val="en-US" w:eastAsia="zh-CN"/>
                    </w:rPr>
                  </w:pPr>
                  <w:r>
                    <w:rPr>
                      <w:rFonts w:hint="eastAsia"/>
                      <w:b w:val="0"/>
                      <w:bCs/>
                      <w:color w:val="auto"/>
                      <w:kern w:val="0"/>
                      <w:sz w:val="21"/>
                      <w:szCs w:val="21"/>
                      <w:lang w:val="en-US" w:eastAsia="zh-CN"/>
                    </w:rPr>
                    <w:t>石油类</w:t>
                  </w:r>
                </w:p>
              </w:tc>
            </w:tr>
            <w:tr w14:paraId="68A28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Align w:val="center"/>
                </w:tcPr>
                <w:p w14:paraId="3905884B">
                  <w:pPr>
                    <w:keepNext w:val="0"/>
                    <w:keepLines w:val="0"/>
                    <w:suppressLineNumbers w:val="0"/>
                    <w:adjustRightInd w:val="0"/>
                    <w:snapToGrid w:val="0"/>
                    <w:spacing w:before="0" w:beforeAutospacing="0" w:after="0" w:afterAutospacing="0"/>
                    <w:ind w:left="0" w:right="0"/>
                    <w:jc w:val="center"/>
                    <w:rPr>
                      <w:rFonts w:hint="eastAsia" w:eastAsia="宋体"/>
                      <w:b w:val="0"/>
                      <w:bCs/>
                      <w:color w:val="auto"/>
                      <w:kern w:val="0"/>
                      <w:sz w:val="21"/>
                      <w:szCs w:val="21"/>
                      <w:lang w:val="en-US" w:eastAsia="zh-CN"/>
                    </w:rPr>
                  </w:pPr>
                  <w:r>
                    <w:rPr>
                      <w:rFonts w:hint="eastAsia"/>
                      <w:b w:val="0"/>
                      <w:bCs/>
                      <w:color w:val="auto"/>
                      <w:kern w:val="0"/>
                      <w:sz w:val="21"/>
                      <w:szCs w:val="21"/>
                      <w:lang w:val="en-US" w:eastAsia="zh-CN"/>
                    </w:rPr>
                    <w:t>排放标准</w:t>
                  </w:r>
                </w:p>
              </w:tc>
              <w:tc>
                <w:tcPr>
                  <w:tcW w:w="555" w:type="pct"/>
                  <w:vAlign w:val="center"/>
                </w:tcPr>
                <w:p w14:paraId="1900B32A">
                  <w:pPr>
                    <w:keepNext w:val="0"/>
                    <w:keepLines w:val="0"/>
                    <w:suppressLineNumbers w:val="0"/>
                    <w:adjustRightInd w:val="0"/>
                    <w:snapToGrid w:val="0"/>
                    <w:spacing w:before="0" w:beforeAutospacing="0" w:after="0" w:afterAutospacing="0"/>
                    <w:ind w:left="0" w:right="0"/>
                    <w:jc w:val="center"/>
                    <w:rPr>
                      <w:b w:val="0"/>
                      <w:bCs/>
                      <w:color w:val="auto"/>
                      <w:kern w:val="0"/>
                      <w:sz w:val="21"/>
                      <w:szCs w:val="21"/>
                    </w:rPr>
                  </w:pPr>
                  <w:r>
                    <w:rPr>
                      <w:b w:val="0"/>
                      <w:bCs/>
                      <w:color w:val="auto"/>
                      <w:kern w:val="0"/>
                      <w:sz w:val="21"/>
                      <w:szCs w:val="21"/>
                    </w:rPr>
                    <w:t>6~</w:t>
                  </w:r>
                  <w:r>
                    <w:rPr>
                      <w:rFonts w:hint="eastAsia"/>
                      <w:b w:val="0"/>
                      <w:bCs/>
                      <w:color w:val="auto"/>
                      <w:kern w:val="0"/>
                      <w:sz w:val="21"/>
                      <w:szCs w:val="21"/>
                    </w:rPr>
                    <w:t>9</w:t>
                  </w:r>
                </w:p>
              </w:tc>
              <w:tc>
                <w:tcPr>
                  <w:tcW w:w="555" w:type="pct"/>
                  <w:vAlign w:val="center"/>
                </w:tcPr>
                <w:p w14:paraId="178F4E74">
                  <w:pPr>
                    <w:keepNext w:val="0"/>
                    <w:keepLines w:val="0"/>
                    <w:suppressLineNumbers w:val="0"/>
                    <w:adjustRightInd w:val="0"/>
                    <w:snapToGrid w:val="0"/>
                    <w:spacing w:before="0" w:beforeAutospacing="0" w:after="0" w:afterAutospacing="0"/>
                    <w:ind w:left="0" w:right="0"/>
                    <w:jc w:val="center"/>
                    <w:rPr>
                      <w:b w:val="0"/>
                      <w:bCs/>
                      <w:color w:val="auto"/>
                      <w:kern w:val="0"/>
                      <w:sz w:val="21"/>
                      <w:szCs w:val="21"/>
                    </w:rPr>
                  </w:pPr>
                  <w:r>
                    <w:rPr>
                      <w:b w:val="0"/>
                      <w:bCs/>
                      <w:color w:val="auto"/>
                      <w:kern w:val="0"/>
                      <w:sz w:val="21"/>
                      <w:szCs w:val="21"/>
                    </w:rPr>
                    <w:t>≤50</w:t>
                  </w:r>
                </w:p>
              </w:tc>
              <w:tc>
                <w:tcPr>
                  <w:tcW w:w="555" w:type="pct"/>
                  <w:vAlign w:val="center"/>
                </w:tcPr>
                <w:p w14:paraId="7FDC81E1">
                  <w:pPr>
                    <w:keepNext w:val="0"/>
                    <w:keepLines w:val="0"/>
                    <w:suppressLineNumbers w:val="0"/>
                    <w:adjustRightInd w:val="0"/>
                    <w:snapToGrid w:val="0"/>
                    <w:spacing w:before="0" w:beforeAutospacing="0" w:after="0" w:afterAutospacing="0"/>
                    <w:ind w:left="0" w:right="0"/>
                    <w:jc w:val="center"/>
                    <w:rPr>
                      <w:b w:val="0"/>
                      <w:bCs/>
                      <w:color w:val="auto"/>
                      <w:kern w:val="0"/>
                      <w:sz w:val="21"/>
                      <w:szCs w:val="21"/>
                    </w:rPr>
                  </w:pPr>
                  <w:r>
                    <w:rPr>
                      <w:b w:val="0"/>
                      <w:bCs/>
                      <w:color w:val="auto"/>
                      <w:kern w:val="0"/>
                      <w:sz w:val="21"/>
                      <w:szCs w:val="21"/>
                    </w:rPr>
                    <w:t>≤10</w:t>
                  </w:r>
                </w:p>
              </w:tc>
              <w:tc>
                <w:tcPr>
                  <w:tcW w:w="555" w:type="pct"/>
                  <w:vAlign w:val="center"/>
                </w:tcPr>
                <w:p w14:paraId="68B3CDD5">
                  <w:pPr>
                    <w:keepNext w:val="0"/>
                    <w:keepLines w:val="0"/>
                    <w:suppressLineNumbers w:val="0"/>
                    <w:adjustRightInd w:val="0"/>
                    <w:snapToGrid w:val="0"/>
                    <w:spacing w:before="0" w:beforeAutospacing="0" w:after="0" w:afterAutospacing="0"/>
                    <w:ind w:left="0" w:leftChars="0" w:right="0" w:rightChars="0"/>
                    <w:jc w:val="center"/>
                    <w:rPr>
                      <w:b w:val="0"/>
                      <w:bCs/>
                      <w:color w:val="auto"/>
                      <w:kern w:val="0"/>
                      <w:sz w:val="21"/>
                      <w:szCs w:val="21"/>
                    </w:rPr>
                  </w:pPr>
                  <w:r>
                    <w:rPr>
                      <w:b w:val="0"/>
                      <w:bCs/>
                      <w:color w:val="auto"/>
                      <w:kern w:val="0"/>
                      <w:sz w:val="21"/>
                      <w:szCs w:val="21"/>
                    </w:rPr>
                    <w:t>≤10</w:t>
                  </w:r>
                </w:p>
              </w:tc>
              <w:tc>
                <w:tcPr>
                  <w:tcW w:w="555" w:type="pct"/>
                  <w:vAlign w:val="center"/>
                </w:tcPr>
                <w:p w14:paraId="62B40D35">
                  <w:pPr>
                    <w:keepNext w:val="0"/>
                    <w:keepLines w:val="0"/>
                    <w:suppressLineNumbers w:val="0"/>
                    <w:adjustRightInd w:val="0"/>
                    <w:snapToGrid w:val="0"/>
                    <w:spacing w:before="0" w:beforeAutospacing="0" w:after="0" w:afterAutospacing="0"/>
                    <w:ind w:left="0" w:right="0"/>
                    <w:jc w:val="center"/>
                    <w:rPr>
                      <w:b w:val="0"/>
                      <w:bCs/>
                      <w:color w:val="auto"/>
                      <w:kern w:val="0"/>
                      <w:sz w:val="21"/>
                      <w:szCs w:val="21"/>
                    </w:rPr>
                  </w:pPr>
                  <w:r>
                    <w:rPr>
                      <w:b w:val="0"/>
                      <w:bCs/>
                      <w:color w:val="auto"/>
                      <w:kern w:val="0"/>
                      <w:sz w:val="21"/>
                      <w:szCs w:val="21"/>
                    </w:rPr>
                    <w:t>≤5(8)</w:t>
                  </w:r>
                  <w:r>
                    <w:rPr>
                      <w:rFonts w:hint="eastAsia"/>
                      <w:b w:val="0"/>
                      <w:bCs/>
                      <w:color w:val="auto"/>
                      <w:kern w:val="0"/>
                      <w:sz w:val="21"/>
                      <w:szCs w:val="21"/>
                    </w:rPr>
                    <w:t>*</w:t>
                  </w:r>
                </w:p>
              </w:tc>
              <w:tc>
                <w:tcPr>
                  <w:tcW w:w="555" w:type="pct"/>
                  <w:vAlign w:val="center"/>
                </w:tcPr>
                <w:p w14:paraId="64DAF9F6">
                  <w:pPr>
                    <w:keepNext w:val="0"/>
                    <w:keepLines w:val="0"/>
                    <w:suppressLineNumbers w:val="0"/>
                    <w:adjustRightInd w:val="0"/>
                    <w:snapToGrid w:val="0"/>
                    <w:spacing w:before="0" w:beforeAutospacing="0" w:after="0" w:afterAutospacing="0"/>
                    <w:ind w:left="0" w:right="0"/>
                    <w:jc w:val="center"/>
                    <w:rPr>
                      <w:b w:val="0"/>
                      <w:bCs/>
                      <w:color w:val="auto"/>
                      <w:kern w:val="0"/>
                      <w:sz w:val="21"/>
                      <w:szCs w:val="21"/>
                    </w:rPr>
                  </w:pPr>
                  <w:r>
                    <w:rPr>
                      <w:b w:val="0"/>
                      <w:bCs/>
                      <w:color w:val="auto"/>
                      <w:kern w:val="0"/>
                      <w:sz w:val="21"/>
                      <w:szCs w:val="21"/>
                    </w:rPr>
                    <w:t>≤15</w:t>
                  </w:r>
                </w:p>
              </w:tc>
              <w:tc>
                <w:tcPr>
                  <w:tcW w:w="555" w:type="pct"/>
                  <w:vAlign w:val="center"/>
                </w:tcPr>
                <w:p w14:paraId="78E0F11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 w:val="0"/>
                      <w:bCs/>
                      <w:color w:val="auto"/>
                      <w:kern w:val="0"/>
                      <w:sz w:val="21"/>
                      <w:szCs w:val="21"/>
                      <w:lang w:val="en-US" w:eastAsia="zh-CN" w:bidi="ar-SA"/>
                    </w:rPr>
                  </w:pPr>
                  <w:r>
                    <w:rPr>
                      <w:b w:val="0"/>
                      <w:bCs/>
                      <w:color w:val="auto"/>
                      <w:kern w:val="0"/>
                      <w:sz w:val="21"/>
                      <w:szCs w:val="21"/>
                    </w:rPr>
                    <w:t>≤0.5</w:t>
                  </w:r>
                </w:p>
              </w:tc>
              <w:tc>
                <w:tcPr>
                  <w:tcW w:w="556" w:type="pct"/>
                  <w:vAlign w:val="center"/>
                </w:tcPr>
                <w:p w14:paraId="3EC93141">
                  <w:pPr>
                    <w:keepNext w:val="0"/>
                    <w:keepLines w:val="0"/>
                    <w:suppressLineNumbers w:val="0"/>
                    <w:adjustRightInd w:val="0"/>
                    <w:snapToGrid w:val="0"/>
                    <w:spacing w:before="0" w:beforeAutospacing="0" w:after="0" w:afterAutospacing="0"/>
                    <w:ind w:left="0" w:right="0"/>
                    <w:jc w:val="center"/>
                    <w:rPr>
                      <w:rFonts w:hint="eastAsia" w:eastAsia="宋体"/>
                      <w:b w:val="0"/>
                      <w:bCs/>
                      <w:color w:val="auto"/>
                      <w:kern w:val="0"/>
                      <w:sz w:val="21"/>
                      <w:szCs w:val="21"/>
                      <w:lang w:val="en-US" w:eastAsia="zh-CN"/>
                    </w:rPr>
                  </w:pPr>
                  <w:r>
                    <w:rPr>
                      <w:rFonts w:hint="eastAsia"/>
                      <w:b w:val="0"/>
                      <w:bCs/>
                      <w:color w:val="auto"/>
                      <w:kern w:val="0"/>
                      <w:sz w:val="21"/>
                      <w:szCs w:val="21"/>
                      <w:lang w:val="en-US" w:eastAsia="zh-CN"/>
                    </w:rPr>
                    <w:t>1</w:t>
                  </w:r>
                </w:p>
              </w:tc>
            </w:tr>
          </w:tbl>
          <w:p w14:paraId="08D51A88">
            <w:pPr>
              <w:keepNext w:val="0"/>
              <w:keepLines w:val="0"/>
              <w:suppressLineNumbers w:val="0"/>
              <w:adjustRightInd w:val="0"/>
              <w:snapToGrid w:val="0"/>
              <w:spacing w:before="0" w:beforeAutospacing="0" w:after="0" w:afterAutospacing="0" w:line="360" w:lineRule="auto"/>
              <w:ind w:left="0" w:right="0"/>
              <w:rPr>
                <w:b/>
                <w:bCs/>
                <w:color w:val="auto"/>
                <w:sz w:val="21"/>
                <w:szCs w:val="21"/>
                <w:lang w:val="zh-CN"/>
              </w:rPr>
            </w:pPr>
            <w:r>
              <w:rPr>
                <w:rFonts w:hAnsi="宋体"/>
                <w:b/>
                <w:color w:val="auto"/>
                <w:sz w:val="21"/>
                <w:szCs w:val="21"/>
              </w:rPr>
              <w:t>注：</w:t>
            </w:r>
            <w:r>
              <w:rPr>
                <w:b/>
                <w:color w:val="auto"/>
                <w:sz w:val="21"/>
                <w:szCs w:val="21"/>
              </w:rPr>
              <w:t>*</w:t>
            </w:r>
            <w:r>
              <w:rPr>
                <w:rFonts w:hAnsi="宋体"/>
                <w:b/>
                <w:color w:val="auto"/>
                <w:sz w:val="21"/>
                <w:szCs w:val="21"/>
              </w:rPr>
              <w:t>括号外数值为水温＞</w:t>
            </w:r>
            <w:r>
              <w:rPr>
                <w:b/>
                <w:color w:val="auto"/>
                <w:sz w:val="21"/>
                <w:szCs w:val="21"/>
              </w:rPr>
              <w:t>12</w:t>
            </w:r>
            <w:r>
              <w:rPr>
                <w:rFonts w:hAnsi="宋体"/>
                <w:b/>
                <w:color w:val="auto"/>
                <w:sz w:val="21"/>
                <w:szCs w:val="21"/>
              </w:rPr>
              <w:t>℃时的控制指标，括号内数值为水温</w:t>
            </w:r>
            <w:r>
              <w:rPr>
                <w:b/>
                <w:color w:val="auto"/>
                <w:sz w:val="21"/>
                <w:szCs w:val="21"/>
              </w:rPr>
              <w:t>≤12</w:t>
            </w:r>
            <w:r>
              <w:rPr>
                <w:rFonts w:hAnsi="宋体"/>
                <w:b/>
                <w:color w:val="auto"/>
                <w:sz w:val="21"/>
                <w:szCs w:val="21"/>
              </w:rPr>
              <w:t>℃时的控制指标。</w:t>
            </w:r>
          </w:p>
          <w:p w14:paraId="25DBF27E">
            <w:pPr>
              <w:widowControl/>
              <w:spacing w:line="360" w:lineRule="auto"/>
              <w:ind w:firstLine="422" w:firstLineChars="200"/>
              <w:rPr>
                <w:b/>
                <w:color w:val="auto"/>
                <w:sz w:val="21"/>
                <w:szCs w:val="21"/>
                <w:highlight w:val="none"/>
              </w:rPr>
            </w:pPr>
            <w:r>
              <w:rPr>
                <w:b/>
                <w:color w:val="auto"/>
                <w:sz w:val="21"/>
                <w:szCs w:val="21"/>
                <w:highlight w:val="none"/>
              </w:rPr>
              <w:t>3、噪声排放标准</w:t>
            </w:r>
          </w:p>
          <w:p w14:paraId="17039BD2">
            <w:pPr>
              <w:spacing w:line="360" w:lineRule="auto"/>
              <w:ind w:firstLine="420" w:firstLineChars="200"/>
              <w:rPr>
                <w:color w:val="auto"/>
                <w:sz w:val="21"/>
                <w:szCs w:val="21"/>
                <w:highlight w:val="none"/>
              </w:rPr>
            </w:pPr>
            <w:r>
              <w:rPr>
                <w:rFonts w:hint="eastAsia"/>
                <w:color w:val="auto"/>
                <w:kern w:val="0"/>
                <w:sz w:val="21"/>
                <w:szCs w:val="21"/>
                <w:highlight w:val="none"/>
              </w:rPr>
              <w:t>施工期厂界噪声执行《建筑施工场界环境噪声排放标准》（GB12523-2011）表1标准要求；</w:t>
            </w:r>
            <w:r>
              <w:rPr>
                <w:color w:val="auto"/>
                <w:sz w:val="21"/>
                <w:szCs w:val="21"/>
                <w:highlight w:val="none"/>
              </w:rPr>
              <w:t>项目运营期厂界噪声执行《工业企业厂界环境噪声排放标准》（GB12348-2008）中的3类标准，标准限值见</w:t>
            </w:r>
            <w:r>
              <w:rPr>
                <w:rFonts w:hint="eastAsia"/>
                <w:color w:val="auto"/>
                <w:sz w:val="21"/>
                <w:szCs w:val="21"/>
                <w:highlight w:val="none"/>
              </w:rPr>
              <w:t>下表</w:t>
            </w:r>
            <w:r>
              <w:rPr>
                <w:color w:val="auto"/>
                <w:sz w:val="21"/>
                <w:szCs w:val="21"/>
                <w:highlight w:val="none"/>
              </w:rPr>
              <w:t>。</w:t>
            </w:r>
          </w:p>
          <w:p w14:paraId="3328EAAB">
            <w:pPr>
              <w:pStyle w:val="22"/>
              <w:jc w:val="center"/>
              <w:rPr>
                <w:bCs/>
                <w:color w:val="auto"/>
                <w:sz w:val="21"/>
                <w:szCs w:val="21"/>
                <w:highlight w:val="none"/>
              </w:rPr>
            </w:pPr>
            <w:r>
              <w:rPr>
                <w:b/>
                <w:color w:val="auto"/>
                <w:sz w:val="21"/>
                <w:szCs w:val="21"/>
                <w:highlight w:val="none"/>
              </w:rPr>
              <w:t>表</w:t>
            </w:r>
            <w:bookmarkStart w:id="23" w:name="OLE_LINK1"/>
            <w:r>
              <w:rPr>
                <w:rFonts w:hint="eastAsia"/>
                <w:b/>
                <w:color w:val="auto"/>
                <w:sz w:val="21"/>
                <w:szCs w:val="21"/>
                <w:highlight w:val="none"/>
              </w:rPr>
              <w:t>3-</w:t>
            </w:r>
            <w:r>
              <w:rPr>
                <w:rFonts w:hint="eastAsia"/>
                <w:b/>
                <w:color w:val="auto"/>
                <w:sz w:val="21"/>
                <w:szCs w:val="21"/>
                <w:highlight w:val="none"/>
                <w:lang w:val="en-US" w:eastAsia="zh-CN"/>
              </w:rPr>
              <w:t>10</w:t>
            </w:r>
            <w:r>
              <w:rPr>
                <w:b/>
                <w:color w:val="auto"/>
                <w:sz w:val="21"/>
                <w:szCs w:val="21"/>
                <w:highlight w:val="none"/>
              </w:rPr>
              <w:t xml:space="preserve"> </w:t>
            </w:r>
            <w:r>
              <w:rPr>
                <w:rFonts w:hint="eastAsia"/>
                <w:b/>
                <w:color w:val="auto"/>
                <w:sz w:val="21"/>
                <w:szCs w:val="21"/>
                <w:highlight w:val="none"/>
              </w:rPr>
              <w:t xml:space="preserve"> </w:t>
            </w:r>
            <w:r>
              <w:rPr>
                <w:b/>
                <w:color w:val="auto"/>
                <w:sz w:val="21"/>
                <w:szCs w:val="21"/>
                <w:highlight w:val="none"/>
              </w:rPr>
              <w:t>工业企业厂界环境噪声排放限值（dB(A)）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502"/>
              <w:gridCol w:w="2628"/>
              <w:gridCol w:w="2341"/>
            </w:tblGrid>
            <w:tr w14:paraId="06220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2" w:type="dxa"/>
                  <w:tcBorders>
                    <w:tl2br w:val="nil"/>
                    <w:tr2bl w:val="nil"/>
                  </w:tcBorders>
                  <w:vAlign w:val="center"/>
                </w:tcPr>
                <w:p w14:paraId="5256CF30">
                  <w:pPr>
                    <w:ind w:left="422" w:hanging="422" w:hangingChars="200"/>
                    <w:contextualSpacing/>
                    <w:jc w:val="center"/>
                    <w:rPr>
                      <w:b/>
                      <w:bCs/>
                      <w:color w:val="auto"/>
                      <w:sz w:val="21"/>
                      <w:szCs w:val="21"/>
                      <w:highlight w:val="none"/>
                    </w:rPr>
                  </w:pPr>
                  <w:r>
                    <w:rPr>
                      <w:rFonts w:hint="eastAsia"/>
                      <w:b/>
                      <w:bCs/>
                      <w:color w:val="auto"/>
                      <w:sz w:val="21"/>
                      <w:szCs w:val="21"/>
                      <w:highlight w:val="none"/>
                    </w:rPr>
                    <w:t>时期</w:t>
                  </w:r>
                </w:p>
              </w:tc>
              <w:tc>
                <w:tcPr>
                  <w:tcW w:w="1602" w:type="dxa"/>
                  <w:tcBorders>
                    <w:tl2br w:val="nil"/>
                    <w:tr2bl w:val="nil"/>
                  </w:tcBorders>
                  <w:vAlign w:val="center"/>
                </w:tcPr>
                <w:p w14:paraId="102EB426">
                  <w:pPr>
                    <w:ind w:left="422" w:hanging="422" w:hangingChars="200"/>
                    <w:contextualSpacing/>
                    <w:jc w:val="center"/>
                    <w:rPr>
                      <w:b/>
                      <w:bCs/>
                      <w:color w:val="auto"/>
                      <w:sz w:val="21"/>
                      <w:szCs w:val="21"/>
                      <w:highlight w:val="none"/>
                    </w:rPr>
                  </w:pPr>
                  <w:r>
                    <w:rPr>
                      <w:rFonts w:hint="eastAsia"/>
                      <w:b/>
                      <w:bCs/>
                      <w:color w:val="auto"/>
                      <w:sz w:val="21"/>
                      <w:szCs w:val="21"/>
                      <w:highlight w:val="none"/>
                    </w:rPr>
                    <w:t>类别</w:t>
                  </w:r>
                </w:p>
              </w:tc>
              <w:tc>
                <w:tcPr>
                  <w:tcW w:w="2817" w:type="dxa"/>
                  <w:tcBorders>
                    <w:tl2br w:val="nil"/>
                    <w:tr2bl w:val="nil"/>
                  </w:tcBorders>
                  <w:vAlign w:val="center"/>
                </w:tcPr>
                <w:p w14:paraId="274F4A94">
                  <w:pPr>
                    <w:ind w:left="422" w:hanging="422" w:hangingChars="200"/>
                    <w:contextualSpacing/>
                    <w:jc w:val="center"/>
                    <w:rPr>
                      <w:b/>
                      <w:bCs/>
                      <w:color w:val="auto"/>
                      <w:sz w:val="21"/>
                      <w:szCs w:val="21"/>
                      <w:highlight w:val="none"/>
                    </w:rPr>
                  </w:pPr>
                  <w:r>
                    <w:rPr>
                      <w:b/>
                      <w:bCs/>
                      <w:color w:val="auto"/>
                      <w:sz w:val="21"/>
                      <w:szCs w:val="21"/>
                      <w:highlight w:val="none"/>
                    </w:rPr>
                    <w:t>昼间</w:t>
                  </w:r>
                  <w:r>
                    <w:rPr>
                      <w:rFonts w:hint="eastAsia"/>
                      <w:b/>
                      <w:bCs/>
                      <w:color w:val="auto"/>
                      <w:sz w:val="21"/>
                      <w:szCs w:val="21"/>
                      <w:highlight w:val="none"/>
                    </w:rPr>
                    <w:t>（</w:t>
                  </w:r>
                  <w:r>
                    <w:rPr>
                      <w:b/>
                      <w:bCs/>
                      <w:color w:val="auto"/>
                      <w:sz w:val="21"/>
                      <w:szCs w:val="21"/>
                      <w:highlight w:val="none"/>
                    </w:rPr>
                    <w:t>dB(A)</w:t>
                  </w:r>
                  <w:r>
                    <w:rPr>
                      <w:rFonts w:hint="eastAsia"/>
                      <w:b/>
                      <w:bCs/>
                      <w:color w:val="auto"/>
                      <w:sz w:val="21"/>
                      <w:szCs w:val="21"/>
                      <w:highlight w:val="none"/>
                    </w:rPr>
                    <w:t>）</w:t>
                  </w:r>
                </w:p>
              </w:tc>
              <w:tc>
                <w:tcPr>
                  <w:tcW w:w="2507" w:type="dxa"/>
                  <w:tcBorders>
                    <w:tl2br w:val="nil"/>
                    <w:tr2bl w:val="nil"/>
                  </w:tcBorders>
                  <w:vAlign w:val="center"/>
                </w:tcPr>
                <w:p w14:paraId="33BC780C">
                  <w:pPr>
                    <w:ind w:left="422" w:hanging="422" w:hangingChars="200"/>
                    <w:contextualSpacing/>
                    <w:jc w:val="center"/>
                    <w:rPr>
                      <w:b/>
                      <w:bCs/>
                      <w:color w:val="auto"/>
                      <w:sz w:val="21"/>
                      <w:szCs w:val="21"/>
                      <w:highlight w:val="none"/>
                    </w:rPr>
                  </w:pPr>
                  <w:r>
                    <w:rPr>
                      <w:b/>
                      <w:bCs/>
                      <w:color w:val="auto"/>
                      <w:sz w:val="21"/>
                      <w:szCs w:val="21"/>
                      <w:highlight w:val="none"/>
                    </w:rPr>
                    <w:t>夜间</w:t>
                  </w:r>
                  <w:r>
                    <w:rPr>
                      <w:rFonts w:hint="eastAsia"/>
                      <w:b/>
                      <w:bCs/>
                      <w:color w:val="auto"/>
                      <w:sz w:val="21"/>
                      <w:szCs w:val="21"/>
                      <w:highlight w:val="none"/>
                    </w:rPr>
                    <w:t>（</w:t>
                  </w:r>
                  <w:r>
                    <w:rPr>
                      <w:b/>
                      <w:bCs/>
                      <w:color w:val="auto"/>
                      <w:sz w:val="21"/>
                      <w:szCs w:val="21"/>
                      <w:highlight w:val="none"/>
                    </w:rPr>
                    <w:t>dB(A)</w:t>
                  </w:r>
                  <w:r>
                    <w:rPr>
                      <w:rFonts w:hint="eastAsia"/>
                      <w:b/>
                      <w:bCs/>
                      <w:color w:val="auto"/>
                      <w:sz w:val="21"/>
                      <w:szCs w:val="21"/>
                      <w:highlight w:val="none"/>
                    </w:rPr>
                    <w:t>）</w:t>
                  </w:r>
                </w:p>
              </w:tc>
            </w:tr>
            <w:tr w14:paraId="363E2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2" w:type="dxa"/>
                  <w:tcBorders>
                    <w:tl2br w:val="nil"/>
                    <w:tr2bl w:val="nil"/>
                  </w:tcBorders>
                  <w:vAlign w:val="center"/>
                </w:tcPr>
                <w:p w14:paraId="4B6586EB">
                  <w:pPr>
                    <w:ind w:left="420" w:hanging="420" w:hangingChars="200"/>
                    <w:contextualSpacing/>
                    <w:jc w:val="center"/>
                    <w:rPr>
                      <w:color w:val="auto"/>
                      <w:sz w:val="21"/>
                      <w:szCs w:val="21"/>
                      <w:highlight w:val="none"/>
                    </w:rPr>
                  </w:pPr>
                  <w:r>
                    <w:rPr>
                      <w:rFonts w:hint="eastAsia"/>
                      <w:color w:val="auto"/>
                      <w:sz w:val="21"/>
                      <w:szCs w:val="21"/>
                      <w:highlight w:val="none"/>
                    </w:rPr>
                    <w:t>施工期</w:t>
                  </w:r>
                </w:p>
              </w:tc>
              <w:tc>
                <w:tcPr>
                  <w:tcW w:w="1602" w:type="dxa"/>
                  <w:tcBorders>
                    <w:tl2br w:val="nil"/>
                    <w:tr2bl w:val="nil"/>
                  </w:tcBorders>
                  <w:vAlign w:val="center"/>
                </w:tcPr>
                <w:p w14:paraId="528C6AF6">
                  <w:pPr>
                    <w:ind w:left="420" w:hanging="420" w:hangingChars="200"/>
                    <w:contextualSpacing/>
                    <w:jc w:val="center"/>
                    <w:rPr>
                      <w:color w:val="auto"/>
                      <w:sz w:val="21"/>
                      <w:szCs w:val="21"/>
                      <w:highlight w:val="none"/>
                    </w:rPr>
                  </w:pPr>
                  <w:r>
                    <w:rPr>
                      <w:rFonts w:hint="eastAsia"/>
                      <w:color w:val="auto"/>
                      <w:sz w:val="21"/>
                      <w:szCs w:val="21"/>
                      <w:highlight w:val="none"/>
                    </w:rPr>
                    <w:t>-</w:t>
                  </w:r>
                </w:p>
              </w:tc>
              <w:tc>
                <w:tcPr>
                  <w:tcW w:w="2817" w:type="dxa"/>
                  <w:tcBorders>
                    <w:tl2br w:val="nil"/>
                    <w:tr2bl w:val="nil"/>
                  </w:tcBorders>
                  <w:vAlign w:val="center"/>
                </w:tcPr>
                <w:p w14:paraId="291DC82A">
                  <w:pPr>
                    <w:ind w:left="420" w:hanging="420" w:hangingChars="200"/>
                    <w:contextualSpacing/>
                    <w:jc w:val="center"/>
                    <w:rPr>
                      <w:color w:val="auto"/>
                      <w:sz w:val="21"/>
                      <w:szCs w:val="21"/>
                      <w:highlight w:val="none"/>
                    </w:rPr>
                  </w:pPr>
                  <w:r>
                    <w:rPr>
                      <w:rFonts w:hint="eastAsia"/>
                      <w:color w:val="auto"/>
                      <w:sz w:val="21"/>
                      <w:szCs w:val="21"/>
                      <w:highlight w:val="none"/>
                    </w:rPr>
                    <w:t>70</w:t>
                  </w:r>
                </w:p>
              </w:tc>
              <w:tc>
                <w:tcPr>
                  <w:tcW w:w="2507" w:type="dxa"/>
                  <w:tcBorders>
                    <w:tl2br w:val="nil"/>
                    <w:tr2bl w:val="nil"/>
                  </w:tcBorders>
                  <w:vAlign w:val="center"/>
                </w:tcPr>
                <w:p w14:paraId="0E47BD9C">
                  <w:pPr>
                    <w:ind w:left="420" w:hanging="420" w:hangingChars="200"/>
                    <w:contextualSpacing/>
                    <w:jc w:val="center"/>
                    <w:rPr>
                      <w:color w:val="auto"/>
                      <w:sz w:val="21"/>
                      <w:szCs w:val="21"/>
                      <w:highlight w:val="none"/>
                    </w:rPr>
                  </w:pPr>
                  <w:r>
                    <w:rPr>
                      <w:rFonts w:hint="eastAsia"/>
                      <w:color w:val="auto"/>
                      <w:sz w:val="21"/>
                      <w:szCs w:val="21"/>
                      <w:highlight w:val="none"/>
                    </w:rPr>
                    <w:t>55</w:t>
                  </w:r>
                </w:p>
              </w:tc>
            </w:tr>
            <w:tr w14:paraId="0862D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2" w:type="dxa"/>
                  <w:tcBorders>
                    <w:tl2br w:val="nil"/>
                    <w:tr2bl w:val="nil"/>
                  </w:tcBorders>
                  <w:vAlign w:val="center"/>
                </w:tcPr>
                <w:p w14:paraId="09A2390F">
                  <w:pPr>
                    <w:ind w:left="420" w:hanging="420" w:hangingChars="200"/>
                    <w:contextualSpacing/>
                    <w:jc w:val="center"/>
                    <w:rPr>
                      <w:color w:val="auto"/>
                      <w:sz w:val="21"/>
                      <w:szCs w:val="21"/>
                      <w:highlight w:val="none"/>
                    </w:rPr>
                  </w:pPr>
                  <w:r>
                    <w:rPr>
                      <w:rFonts w:hint="eastAsia"/>
                      <w:color w:val="auto"/>
                      <w:sz w:val="21"/>
                      <w:szCs w:val="21"/>
                      <w:highlight w:val="none"/>
                    </w:rPr>
                    <w:t>运营期</w:t>
                  </w:r>
                </w:p>
              </w:tc>
              <w:tc>
                <w:tcPr>
                  <w:tcW w:w="1602" w:type="dxa"/>
                  <w:tcBorders>
                    <w:tl2br w:val="nil"/>
                    <w:tr2bl w:val="nil"/>
                  </w:tcBorders>
                  <w:vAlign w:val="center"/>
                </w:tcPr>
                <w:p w14:paraId="638A44FE">
                  <w:pPr>
                    <w:ind w:left="420" w:hanging="420" w:hangingChars="200"/>
                    <w:contextualSpacing/>
                    <w:jc w:val="center"/>
                    <w:rPr>
                      <w:color w:val="auto"/>
                      <w:sz w:val="21"/>
                      <w:szCs w:val="21"/>
                      <w:highlight w:val="none"/>
                    </w:rPr>
                  </w:pPr>
                  <w:r>
                    <w:rPr>
                      <w:rFonts w:hint="eastAsia"/>
                      <w:color w:val="auto"/>
                      <w:sz w:val="21"/>
                      <w:szCs w:val="21"/>
                      <w:highlight w:val="none"/>
                    </w:rPr>
                    <w:t>3类</w:t>
                  </w:r>
                </w:p>
              </w:tc>
              <w:tc>
                <w:tcPr>
                  <w:tcW w:w="2817" w:type="dxa"/>
                  <w:tcBorders>
                    <w:tl2br w:val="nil"/>
                    <w:tr2bl w:val="nil"/>
                  </w:tcBorders>
                  <w:vAlign w:val="center"/>
                </w:tcPr>
                <w:p w14:paraId="21744268">
                  <w:pPr>
                    <w:ind w:left="420" w:hanging="420" w:hangingChars="200"/>
                    <w:contextualSpacing/>
                    <w:jc w:val="center"/>
                    <w:rPr>
                      <w:color w:val="auto"/>
                      <w:sz w:val="21"/>
                      <w:szCs w:val="21"/>
                      <w:highlight w:val="none"/>
                    </w:rPr>
                  </w:pPr>
                  <w:r>
                    <w:rPr>
                      <w:rFonts w:hint="eastAsia"/>
                      <w:color w:val="auto"/>
                      <w:sz w:val="21"/>
                      <w:szCs w:val="21"/>
                      <w:highlight w:val="none"/>
                    </w:rPr>
                    <w:t>65</w:t>
                  </w:r>
                </w:p>
              </w:tc>
              <w:tc>
                <w:tcPr>
                  <w:tcW w:w="2507" w:type="dxa"/>
                  <w:tcBorders>
                    <w:tl2br w:val="nil"/>
                    <w:tr2bl w:val="nil"/>
                  </w:tcBorders>
                  <w:vAlign w:val="center"/>
                </w:tcPr>
                <w:p w14:paraId="3651852F">
                  <w:pPr>
                    <w:ind w:left="420" w:hanging="420" w:hangingChars="200"/>
                    <w:contextualSpacing/>
                    <w:jc w:val="center"/>
                    <w:rPr>
                      <w:color w:val="auto"/>
                      <w:sz w:val="21"/>
                      <w:szCs w:val="21"/>
                      <w:highlight w:val="none"/>
                    </w:rPr>
                  </w:pPr>
                  <w:r>
                    <w:rPr>
                      <w:rFonts w:hint="eastAsia"/>
                      <w:color w:val="auto"/>
                      <w:sz w:val="21"/>
                      <w:szCs w:val="21"/>
                      <w:highlight w:val="none"/>
                    </w:rPr>
                    <w:t>55</w:t>
                  </w:r>
                </w:p>
              </w:tc>
            </w:tr>
            <w:bookmarkEnd w:id="23"/>
          </w:tbl>
          <w:p w14:paraId="75DE77D5">
            <w:pPr>
              <w:pStyle w:val="72"/>
              <w:widowControl/>
              <w:ind w:firstLine="422"/>
              <w:rPr>
                <w:color w:val="auto"/>
                <w:sz w:val="21"/>
                <w:szCs w:val="21"/>
                <w:highlight w:val="none"/>
              </w:rPr>
            </w:pPr>
            <w:r>
              <w:rPr>
                <w:color w:val="auto"/>
                <w:sz w:val="21"/>
                <w:szCs w:val="21"/>
                <w:highlight w:val="none"/>
              </w:rPr>
              <w:t>4、固体废物评价执行标准</w:t>
            </w:r>
          </w:p>
          <w:p w14:paraId="2F765AF8">
            <w:pPr>
              <w:pStyle w:val="9"/>
              <w:widowControl/>
              <w:spacing w:line="360" w:lineRule="auto"/>
              <w:ind w:firstLine="420" w:firstLineChars="200"/>
              <w:rPr>
                <w:rFonts w:ascii="宋体" w:hAnsi="宋体" w:cs="宋体"/>
                <w:color w:val="auto"/>
                <w:sz w:val="21"/>
                <w:szCs w:val="21"/>
                <w:highlight w:val="none"/>
              </w:rPr>
            </w:pPr>
            <w:r>
              <w:rPr>
                <w:color w:val="auto"/>
                <w:sz w:val="21"/>
                <w:szCs w:val="21"/>
                <w:highlight w:val="none"/>
              </w:rPr>
              <w:t>固体废物鉴别执行《固体废物鉴别标准通则》（GB34330</w:t>
            </w:r>
            <w:r>
              <w:rPr>
                <w:rFonts w:hint="eastAsia"/>
                <w:color w:val="auto"/>
                <w:sz w:val="21"/>
                <w:szCs w:val="21"/>
                <w:highlight w:val="none"/>
                <w:lang w:val="en-US" w:eastAsia="zh-CN"/>
              </w:rPr>
              <w:t>-</w:t>
            </w:r>
            <w:r>
              <w:rPr>
                <w:color w:val="auto"/>
                <w:sz w:val="21"/>
                <w:szCs w:val="21"/>
                <w:highlight w:val="none"/>
              </w:rPr>
              <w:t>2017）。一般固体废物处理、处置执行《一般工业固体废物贮存和填埋污染控制标准》（GB18599-2020）。危险废物贮存和处置执行《危险废物贮存污染控制标准》（GB18597</w:t>
            </w:r>
            <w:r>
              <w:rPr>
                <w:rFonts w:hint="eastAsia"/>
                <w:color w:val="auto"/>
                <w:sz w:val="21"/>
                <w:szCs w:val="21"/>
                <w:highlight w:val="none"/>
                <w:lang w:val="en-US" w:eastAsia="zh-CN"/>
              </w:rPr>
              <w:t>-</w:t>
            </w:r>
            <w:r>
              <w:rPr>
                <w:color w:val="auto"/>
                <w:sz w:val="21"/>
                <w:szCs w:val="21"/>
                <w:highlight w:val="none"/>
              </w:rPr>
              <w:t>20</w:t>
            </w:r>
            <w:r>
              <w:rPr>
                <w:rFonts w:hint="eastAsia"/>
                <w:color w:val="auto"/>
                <w:sz w:val="21"/>
                <w:szCs w:val="21"/>
                <w:highlight w:val="none"/>
              </w:rPr>
              <w:t>23</w:t>
            </w:r>
            <w:r>
              <w:rPr>
                <w:color w:val="auto"/>
                <w:sz w:val="21"/>
                <w:szCs w:val="21"/>
                <w:highlight w:val="none"/>
              </w:rPr>
              <w:t>）及《危险废物收集储存运输技术规范》（HJ2025—2012）中相关规定要求。</w:t>
            </w:r>
          </w:p>
        </w:tc>
      </w:tr>
      <w:tr w14:paraId="14F02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0053C1CD">
            <w:pPr>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总量</w:t>
            </w:r>
          </w:p>
          <w:p w14:paraId="5DCB8392">
            <w:pPr>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控制</w:t>
            </w:r>
          </w:p>
          <w:p w14:paraId="287D64EC">
            <w:pPr>
              <w:adjustRightInd w:val="0"/>
              <w:snapToGrid w:val="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指标</w:t>
            </w:r>
          </w:p>
        </w:tc>
        <w:tc>
          <w:tcPr>
            <w:tcW w:w="8190" w:type="dxa"/>
          </w:tcPr>
          <w:p w14:paraId="375CEDD7">
            <w:pPr>
              <w:pStyle w:val="10"/>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422" w:firstLineChars="200"/>
              <w:jc w:val="center"/>
              <w:textAlignment w:val="auto"/>
              <w:rPr>
                <w:b/>
                <w:bCs/>
                <w:color w:val="auto"/>
                <w:kern w:val="2"/>
                <w:sz w:val="21"/>
                <w:szCs w:val="21"/>
                <w:highlight w:val="none"/>
              </w:rPr>
            </w:pPr>
            <w:r>
              <w:rPr>
                <w:rFonts w:hint="eastAsia"/>
                <w:b/>
                <w:bCs/>
                <w:color w:val="auto"/>
                <w:kern w:val="2"/>
                <w:sz w:val="21"/>
                <w:szCs w:val="21"/>
                <w:highlight w:val="none"/>
              </w:rPr>
              <w:t>表3-</w:t>
            </w:r>
            <w:r>
              <w:rPr>
                <w:rFonts w:hint="eastAsia"/>
                <w:b/>
                <w:bCs/>
                <w:color w:val="auto"/>
                <w:kern w:val="2"/>
                <w:sz w:val="21"/>
                <w:szCs w:val="21"/>
                <w:highlight w:val="none"/>
                <w:lang w:val="en-US" w:eastAsia="zh-CN"/>
              </w:rPr>
              <w:t xml:space="preserve">11 </w:t>
            </w:r>
            <w:r>
              <w:rPr>
                <w:rFonts w:hint="eastAsia"/>
                <w:b/>
                <w:bCs/>
                <w:color w:val="auto"/>
                <w:kern w:val="2"/>
                <w:sz w:val="21"/>
                <w:szCs w:val="21"/>
                <w:highlight w:val="none"/>
              </w:rPr>
              <w:t>本项目污染物产生、排放情况汇总表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49"/>
              <w:gridCol w:w="721"/>
              <w:gridCol w:w="1260"/>
              <w:gridCol w:w="1367"/>
              <w:gridCol w:w="1122"/>
              <w:gridCol w:w="1429"/>
              <w:gridCol w:w="1526"/>
            </w:tblGrid>
            <w:tr w14:paraId="11413D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restart"/>
                  <w:tcBorders>
                    <w:top w:val="single" w:color="auto" w:sz="12" w:space="0"/>
                    <w:left w:val="nil"/>
                    <w:bottom w:val="single" w:color="auto" w:sz="6" w:space="0"/>
                  </w:tcBorders>
                  <w:vAlign w:val="center"/>
                </w:tcPr>
                <w:p w14:paraId="26C6413B">
                  <w:pPr>
                    <w:adjustRightInd w:val="0"/>
                    <w:snapToGrid w:val="0"/>
                    <w:jc w:val="center"/>
                    <w:rPr>
                      <w:color w:val="auto"/>
                      <w:sz w:val="21"/>
                      <w:szCs w:val="21"/>
                      <w:highlight w:val="none"/>
                    </w:rPr>
                  </w:pPr>
                  <w:r>
                    <w:rPr>
                      <w:color w:val="auto"/>
                      <w:sz w:val="21"/>
                      <w:szCs w:val="21"/>
                      <w:highlight w:val="none"/>
                    </w:rPr>
                    <w:t>种类</w:t>
                  </w:r>
                </w:p>
              </w:tc>
              <w:tc>
                <w:tcPr>
                  <w:tcW w:w="1981" w:type="dxa"/>
                  <w:gridSpan w:val="2"/>
                  <w:vMerge w:val="restart"/>
                  <w:vAlign w:val="center"/>
                </w:tcPr>
                <w:p w14:paraId="40EE3CAB">
                  <w:pPr>
                    <w:adjustRightInd w:val="0"/>
                    <w:snapToGrid w:val="0"/>
                    <w:jc w:val="center"/>
                    <w:rPr>
                      <w:color w:val="auto"/>
                      <w:sz w:val="21"/>
                      <w:szCs w:val="21"/>
                      <w:highlight w:val="none"/>
                    </w:rPr>
                  </w:pPr>
                  <w:r>
                    <w:rPr>
                      <w:color w:val="auto"/>
                      <w:sz w:val="21"/>
                      <w:szCs w:val="21"/>
                      <w:highlight w:val="none"/>
                    </w:rPr>
                    <w:t>污染物名称</w:t>
                  </w:r>
                </w:p>
              </w:tc>
              <w:tc>
                <w:tcPr>
                  <w:tcW w:w="1367" w:type="dxa"/>
                  <w:vMerge w:val="restart"/>
                  <w:vAlign w:val="center"/>
                </w:tcPr>
                <w:p w14:paraId="17E9674F">
                  <w:pPr>
                    <w:adjustRightInd w:val="0"/>
                    <w:snapToGrid w:val="0"/>
                    <w:jc w:val="center"/>
                    <w:rPr>
                      <w:color w:val="auto"/>
                      <w:sz w:val="21"/>
                      <w:szCs w:val="21"/>
                      <w:highlight w:val="none"/>
                    </w:rPr>
                  </w:pPr>
                  <w:r>
                    <w:rPr>
                      <w:color w:val="auto"/>
                      <w:sz w:val="21"/>
                      <w:szCs w:val="21"/>
                      <w:highlight w:val="none"/>
                    </w:rPr>
                    <w:t>产生量</w:t>
                  </w:r>
                  <w:r>
                    <w:rPr>
                      <w:rFonts w:hint="eastAsia"/>
                      <w:color w:val="auto"/>
                      <w:sz w:val="21"/>
                      <w:szCs w:val="21"/>
                      <w:highlight w:val="none"/>
                    </w:rPr>
                    <w:t>t/a</w:t>
                  </w:r>
                </w:p>
              </w:tc>
              <w:tc>
                <w:tcPr>
                  <w:tcW w:w="1122" w:type="dxa"/>
                  <w:vMerge w:val="restart"/>
                  <w:vAlign w:val="center"/>
                </w:tcPr>
                <w:p w14:paraId="66F068D4">
                  <w:pPr>
                    <w:adjustRightInd w:val="0"/>
                    <w:snapToGrid w:val="0"/>
                    <w:jc w:val="center"/>
                    <w:rPr>
                      <w:color w:val="auto"/>
                      <w:sz w:val="21"/>
                      <w:szCs w:val="21"/>
                      <w:highlight w:val="none"/>
                    </w:rPr>
                  </w:pPr>
                  <w:r>
                    <w:rPr>
                      <w:color w:val="auto"/>
                      <w:sz w:val="21"/>
                      <w:szCs w:val="21"/>
                      <w:highlight w:val="none"/>
                    </w:rPr>
                    <w:t>削减量</w:t>
                  </w:r>
                  <w:r>
                    <w:rPr>
                      <w:rFonts w:hint="eastAsia"/>
                      <w:color w:val="auto"/>
                      <w:sz w:val="21"/>
                      <w:szCs w:val="21"/>
                      <w:highlight w:val="none"/>
                    </w:rPr>
                    <w:t>t/a</w:t>
                  </w:r>
                </w:p>
              </w:tc>
              <w:tc>
                <w:tcPr>
                  <w:tcW w:w="2955" w:type="dxa"/>
                  <w:gridSpan w:val="2"/>
                  <w:vAlign w:val="center"/>
                </w:tcPr>
                <w:p w14:paraId="220411FD">
                  <w:pPr>
                    <w:adjustRightInd w:val="0"/>
                    <w:snapToGrid w:val="0"/>
                    <w:jc w:val="center"/>
                    <w:rPr>
                      <w:color w:val="auto"/>
                      <w:sz w:val="21"/>
                      <w:szCs w:val="21"/>
                      <w:highlight w:val="none"/>
                    </w:rPr>
                  </w:pPr>
                  <w:r>
                    <w:rPr>
                      <w:color w:val="auto"/>
                      <w:sz w:val="21"/>
                      <w:szCs w:val="21"/>
                      <w:highlight w:val="none"/>
                    </w:rPr>
                    <w:t>排放量</w:t>
                  </w:r>
                </w:p>
              </w:tc>
            </w:tr>
            <w:tr w14:paraId="586E97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tcBorders>
                    <w:top w:val="single" w:color="auto" w:sz="6" w:space="0"/>
                    <w:left w:val="nil"/>
                    <w:bottom w:val="single" w:color="auto" w:sz="6" w:space="0"/>
                  </w:tcBorders>
                  <w:vAlign w:val="center"/>
                </w:tcPr>
                <w:p w14:paraId="2D43FD8D">
                  <w:pPr>
                    <w:adjustRightInd w:val="0"/>
                    <w:snapToGrid w:val="0"/>
                    <w:jc w:val="center"/>
                    <w:rPr>
                      <w:color w:val="auto"/>
                      <w:sz w:val="21"/>
                      <w:szCs w:val="21"/>
                      <w:highlight w:val="none"/>
                    </w:rPr>
                  </w:pPr>
                </w:p>
              </w:tc>
              <w:tc>
                <w:tcPr>
                  <w:tcW w:w="1981" w:type="dxa"/>
                  <w:gridSpan w:val="2"/>
                  <w:vMerge w:val="continue"/>
                  <w:vAlign w:val="center"/>
                </w:tcPr>
                <w:p w14:paraId="052416D6">
                  <w:pPr>
                    <w:adjustRightInd w:val="0"/>
                    <w:snapToGrid w:val="0"/>
                    <w:jc w:val="center"/>
                    <w:rPr>
                      <w:color w:val="auto"/>
                      <w:sz w:val="21"/>
                      <w:szCs w:val="21"/>
                      <w:highlight w:val="none"/>
                    </w:rPr>
                  </w:pPr>
                </w:p>
              </w:tc>
              <w:tc>
                <w:tcPr>
                  <w:tcW w:w="1367" w:type="dxa"/>
                  <w:vMerge w:val="continue"/>
                  <w:vAlign w:val="center"/>
                </w:tcPr>
                <w:p w14:paraId="77325A2D">
                  <w:pPr>
                    <w:adjustRightInd w:val="0"/>
                    <w:snapToGrid w:val="0"/>
                    <w:jc w:val="center"/>
                    <w:rPr>
                      <w:color w:val="auto"/>
                      <w:sz w:val="21"/>
                      <w:szCs w:val="21"/>
                      <w:highlight w:val="none"/>
                    </w:rPr>
                  </w:pPr>
                </w:p>
              </w:tc>
              <w:tc>
                <w:tcPr>
                  <w:tcW w:w="1122" w:type="dxa"/>
                  <w:vMerge w:val="continue"/>
                  <w:vAlign w:val="center"/>
                </w:tcPr>
                <w:p w14:paraId="29608951">
                  <w:pPr>
                    <w:adjustRightInd w:val="0"/>
                    <w:snapToGrid w:val="0"/>
                    <w:jc w:val="center"/>
                    <w:rPr>
                      <w:color w:val="auto"/>
                      <w:sz w:val="21"/>
                      <w:szCs w:val="21"/>
                      <w:highlight w:val="none"/>
                    </w:rPr>
                  </w:pPr>
                </w:p>
              </w:tc>
              <w:tc>
                <w:tcPr>
                  <w:tcW w:w="1429" w:type="dxa"/>
                  <w:vAlign w:val="center"/>
                </w:tcPr>
                <w:p w14:paraId="209A1A53">
                  <w:pPr>
                    <w:adjustRightInd w:val="0"/>
                    <w:snapToGrid w:val="0"/>
                    <w:jc w:val="center"/>
                    <w:rPr>
                      <w:color w:val="auto"/>
                      <w:sz w:val="21"/>
                      <w:szCs w:val="21"/>
                      <w:highlight w:val="none"/>
                    </w:rPr>
                  </w:pPr>
                  <w:r>
                    <w:rPr>
                      <w:color w:val="auto"/>
                      <w:sz w:val="21"/>
                      <w:szCs w:val="21"/>
                      <w:highlight w:val="none"/>
                    </w:rPr>
                    <w:t>接管量</w:t>
                  </w:r>
                  <w:r>
                    <w:rPr>
                      <w:rFonts w:hint="eastAsia"/>
                      <w:color w:val="auto"/>
                      <w:sz w:val="21"/>
                      <w:szCs w:val="21"/>
                      <w:highlight w:val="none"/>
                    </w:rPr>
                    <w:t>t/a</w:t>
                  </w:r>
                </w:p>
              </w:tc>
              <w:tc>
                <w:tcPr>
                  <w:tcW w:w="1526" w:type="dxa"/>
                  <w:vAlign w:val="center"/>
                </w:tcPr>
                <w:p w14:paraId="7E1E57F4">
                  <w:pPr>
                    <w:adjustRightInd w:val="0"/>
                    <w:snapToGrid w:val="0"/>
                    <w:jc w:val="center"/>
                    <w:rPr>
                      <w:color w:val="auto"/>
                      <w:sz w:val="21"/>
                      <w:szCs w:val="21"/>
                      <w:highlight w:val="none"/>
                    </w:rPr>
                  </w:pPr>
                  <w:r>
                    <w:rPr>
                      <w:color w:val="auto"/>
                      <w:sz w:val="21"/>
                      <w:szCs w:val="21"/>
                      <w:highlight w:val="none"/>
                    </w:rPr>
                    <w:t>进入环境量</w:t>
                  </w:r>
                  <w:r>
                    <w:rPr>
                      <w:rFonts w:hint="eastAsia"/>
                      <w:color w:val="auto"/>
                      <w:sz w:val="21"/>
                      <w:szCs w:val="21"/>
                      <w:highlight w:val="none"/>
                    </w:rPr>
                    <w:t>t/a</w:t>
                  </w:r>
                </w:p>
              </w:tc>
            </w:tr>
            <w:tr w14:paraId="732ADE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restart"/>
                  <w:tcBorders>
                    <w:top w:val="single" w:color="auto" w:sz="6" w:space="0"/>
                  </w:tcBorders>
                  <w:vAlign w:val="center"/>
                </w:tcPr>
                <w:p w14:paraId="1E46E5A3">
                  <w:pPr>
                    <w:adjustRightInd w:val="0"/>
                    <w:snapToGrid w:val="0"/>
                    <w:jc w:val="center"/>
                    <w:rPr>
                      <w:color w:val="auto"/>
                      <w:sz w:val="21"/>
                      <w:szCs w:val="21"/>
                      <w:highlight w:val="none"/>
                    </w:rPr>
                  </w:pPr>
                  <w:r>
                    <w:rPr>
                      <w:color w:val="auto"/>
                      <w:sz w:val="21"/>
                      <w:szCs w:val="21"/>
                      <w:highlight w:val="none"/>
                    </w:rPr>
                    <w:t>废气</w:t>
                  </w:r>
                </w:p>
              </w:tc>
              <w:tc>
                <w:tcPr>
                  <w:tcW w:w="721" w:type="dxa"/>
                  <w:vMerge w:val="restart"/>
                  <w:tcBorders>
                    <w:right w:val="single" w:color="auto" w:sz="4" w:space="0"/>
                  </w:tcBorders>
                  <w:vAlign w:val="center"/>
                </w:tcPr>
                <w:p w14:paraId="14C48C5B">
                  <w:pPr>
                    <w:adjustRightInd w:val="0"/>
                    <w:snapToGrid w:val="0"/>
                    <w:jc w:val="center"/>
                    <w:rPr>
                      <w:color w:val="auto"/>
                      <w:sz w:val="21"/>
                      <w:szCs w:val="21"/>
                      <w:highlight w:val="none"/>
                    </w:rPr>
                  </w:pPr>
                  <w:r>
                    <w:rPr>
                      <w:color w:val="auto"/>
                      <w:sz w:val="21"/>
                      <w:szCs w:val="21"/>
                      <w:highlight w:val="none"/>
                    </w:rPr>
                    <w:t>有组织</w:t>
                  </w:r>
                </w:p>
              </w:tc>
              <w:tc>
                <w:tcPr>
                  <w:tcW w:w="1260" w:type="dxa"/>
                  <w:tcBorders>
                    <w:left w:val="single" w:color="auto" w:sz="4" w:space="0"/>
                  </w:tcBorders>
                  <w:vAlign w:val="center"/>
                </w:tcPr>
                <w:p w14:paraId="38E7332D">
                  <w:pPr>
                    <w:keepNext w:val="0"/>
                    <w:keepLines w:val="0"/>
                    <w:widowControl/>
                    <w:suppressLineNumbers w:val="0"/>
                    <w:jc w:val="center"/>
                    <w:textAlignment w:val="center"/>
                    <w:rPr>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颗粒物</w:t>
                  </w:r>
                </w:p>
              </w:tc>
              <w:tc>
                <w:tcPr>
                  <w:tcW w:w="1367" w:type="dxa"/>
                  <w:vAlign w:val="center"/>
                </w:tcPr>
                <w:p w14:paraId="20513017">
                  <w:pPr>
                    <w:pStyle w:val="119"/>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10.2886</w:t>
                  </w:r>
                </w:p>
              </w:tc>
              <w:tc>
                <w:tcPr>
                  <w:tcW w:w="1122" w:type="dxa"/>
                  <w:vAlign w:val="center"/>
                </w:tcPr>
                <w:p w14:paraId="7E2EA336">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10.26</w:t>
                  </w:r>
                </w:p>
              </w:tc>
              <w:tc>
                <w:tcPr>
                  <w:tcW w:w="1429" w:type="dxa"/>
                  <w:vAlign w:val="center"/>
                </w:tcPr>
                <w:p w14:paraId="21CF1E19">
                  <w:pPr>
                    <w:adjustRightInd w:val="0"/>
                    <w:snapToGrid w:val="0"/>
                    <w:jc w:val="center"/>
                    <w:rPr>
                      <w:color w:val="auto"/>
                      <w:sz w:val="21"/>
                      <w:szCs w:val="21"/>
                      <w:highlight w:val="none"/>
                    </w:rPr>
                  </w:pPr>
                  <w:r>
                    <w:rPr>
                      <w:rFonts w:hint="eastAsia"/>
                      <w:color w:val="auto"/>
                      <w:sz w:val="21"/>
                      <w:szCs w:val="21"/>
                      <w:highlight w:val="none"/>
                    </w:rPr>
                    <w:t>/</w:t>
                  </w:r>
                </w:p>
              </w:tc>
              <w:tc>
                <w:tcPr>
                  <w:tcW w:w="1526" w:type="dxa"/>
                  <w:vAlign w:val="center"/>
                </w:tcPr>
                <w:p w14:paraId="5BA9DD0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0.0286</w:t>
                  </w:r>
                </w:p>
              </w:tc>
            </w:tr>
            <w:tr w14:paraId="3ECA38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053DDBA4">
                  <w:pPr>
                    <w:adjustRightInd w:val="0"/>
                    <w:snapToGrid w:val="0"/>
                    <w:jc w:val="center"/>
                    <w:rPr>
                      <w:color w:val="auto"/>
                      <w:sz w:val="21"/>
                      <w:szCs w:val="21"/>
                      <w:highlight w:val="none"/>
                    </w:rPr>
                  </w:pPr>
                </w:p>
              </w:tc>
              <w:tc>
                <w:tcPr>
                  <w:tcW w:w="721" w:type="dxa"/>
                  <w:vMerge w:val="continue"/>
                  <w:tcBorders>
                    <w:right w:val="single" w:color="auto" w:sz="4" w:space="0"/>
                  </w:tcBorders>
                  <w:vAlign w:val="center"/>
                </w:tcPr>
                <w:p w14:paraId="5BE82405">
                  <w:pPr>
                    <w:adjustRightInd w:val="0"/>
                    <w:snapToGrid w:val="0"/>
                    <w:jc w:val="center"/>
                    <w:rPr>
                      <w:color w:val="auto"/>
                      <w:sz w:val="21"/>
                      <w:szCs w:val="21"/>
                      <w:highlight w:val="none"/>
                    </w:rPr>
                  </w:pPr>
                </w:p>
              </w:tc>
              <w:tc>
                <w:tcPr>
                  <w:tcW w:w="1260" w:type="dxa"/>
                  <w:tcBorders>
                    <w:left w:val="single" w:color="auto" w:sz="4" w:space="0"/>
                  </w:tcBorders>
                  <w:vAlign w:val="center"/>
                </w:tcPr>
                <w:p w14:paraId="5057B2F1">
                  <w:pPr>
                    <w:keepNext w:val="0"/>
                    <w:keepLines w:val="0"/>
                    <w:widowControl/>
                    <w:suppressLineNumbers w:val="0"/>
                    <w:jc w:val="center"/>
                    <w:textAlignment w:val="center"/>
                    <w:rPr>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SO</w:t>
                  </w:r>
                  <w:r>
                    <w:rPr>
                      <w:rFonts w:hint="default" w:ascii="Times New Roman" w:hAnsi="Times New Roman" w:cs="Times New Roman"/>
                      <w:i w:val="0"/>
                      <w:iCs w:val="0"/>
                      <w:color w:val="auto"/>
                      <w:kern w:val="0"/>
                      <w:sz w:val="21"/>
                      <w:szCs w:val="21"/>
                      <w:highlight w:val="none"/>
                      <w:u w:val="none"/>
                      <w:vertAlign w:val="subscript"/>
                      <w:lang w:val="en-US" w:eastAsia="zh-CN" w:bidi="ar"/>
                    </w:rPr>
                    <w:t>2</w:t>
                  </w:r>
                </w:p>
              </w:tc>
              <w:tc>
                <w:tcPr>
                  <w:tcW w:w="1367" w:type="dxa"/>
                  <w:vAlign w:val="center"/>
                </w:tcPr>
                <w:p w14:paraId="560FC6ED">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122" w:type="dxa"/>
                  <w:vAlign w:val="center"/>
                </w:tcPr>
                <w:p w14:paraId="2AC62465">
                  <w:pPr>
                    <w:keepNext w:val="0"/>
                    <w:keepLines w:val="0"/>
                    <w:widowControl/>
                    <w:suppressLineNumbers w:val="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429" w:type="dxa"/>
                  <w:vAlign w:val="center"/>
                </w:tcPr>
                <w:p w14:paraId="6DFF344E">
                  <w:pPr>
                    <w:pStyle w:val="119"/>
                    <w:spacing w:line="240" w:lineRule="auto"/>
                    <w:jc w:val="center"/>
                    <w:rPr>
                      <w:color w:val="auto"/>
                      <w:sz w:val="21"/>
                      <w:szCs w:val="21"/>
                      <w:highlight w:val="none"/>
                    </w:rPr>
                  </w:pPr>
                  <w:r>
                    <w:rPr>
                      <w:rFonts w:hint="eastAsia"/>
                      <w:color w:val="auto"/>
                      <w:sz w:val="21"/>
                      <w:szCs w:val="21"/>
                      <w:highlight w:val="none"/>
                    </w:rPr>
                    <w:t>/</w:t>
                  </w:r>
                </w:p>
              </w:tc>
              <w:tc>
                <w:tcPr>
                  <w:tcW w:w="1526" w:type="dxa"/>
                  <w:vAlign w:val="center"/>
                </w:tcPr>
                <w:p w14:paraId="178D001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w:t>
                  </w:r>
                </w:p>
              </w:tc>
            </w:tr>
            <w:tr w14:paraId="71ADD2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3FFDF0BF">
                  <w:pPr>
                    <w:adjustRightInd w:val="0"/>
                    <w:snapToGrid w:val="0"/>
                    <w:jc w:val="center"/>
                    <w:rPr>
                      <w:color w:val="auto"/>
                      <w:sz w:val="21"/>
                      <w:szCs w:val="21"/>
                      <w:highlight w:val="none"/>
                    </w:rPr>
                  </w:pPr>
                </w:p>
              </w:tc>
              <w:tc>
                <w:tcPr>
                  <w:tcW w:w="721" w:type="dxa"/>
                  <w:vMerge w:val="continue"/>
                  <w:tcBorders>
                    <w:right w:val="single" w:color="auto" w:sz="4" w:space="0"/>
                  </w:tcBorders>
                  <w:vAlign w:val="center"/>
                </w:tcPr>
                <w:p w14:paraId="43B10E12">
                  <w:pPr>
                    <w:adjustRightInd w:val="0"/>
                    <w:snapToGrid w:val="0"/>
                    <w:jc w:val="center"/>
                    <w:rPr>
                      <w:color w:val="auto"/>
                      <w:sz w:val="21"/>
                      <w:szCs w:val="21"/>
                      <w:highlight w:val="none"/>
                    </w:rPr>
                  </w:pPr>
                </w:p>
              </w:tc>
              <w:tc>
                <w:tcPr>
                  <w:tcW w:w="1260" w:type="dxa"/>
                  <w:tcBorders>
                    <w:left w:val="single" w:color="auto" w:sz="4" w:space="0"/>
                  </w:tcBorders>
                  <w:vAlign w:val="center"/>
                </w:tcPr>
                <w:p w14:paraId="6A51DE72">
                  <w:pPr>
                    <w:keepNext w:val="0"/>
                    <w:keepLines w:val="0"/>
                    <w:widowControl/>
                    <w:suppressLineNumbers w:val="0"/>
                    <w:jc w:val="center"/>
                    <w:textAlignment w:val="center"/>
                    <w:rPr>
                      <w:rFonts w:hint="eastAsia"/>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NOx</w:t>
                  </w:r>
                </w:p>
              </w:tc>
              <w:tc>
                <w:tcPr>
                  <w:tcW w:w="1367" w:type="dxa"/>
                  <w:vAlign w:val="center"/>
                </w:tcPr>
                <w:p w14:paraId="6341E0E7">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0935</w:t>
                  </w:r>
                </w:p>
              </w:tc>
              <w:tc>
                <w:tcPr>
                  <w:tcW w:w="1122" w:type="dxa"/>
                  <w:vAlign w:val="center"/>
                </w:tcPr>
                <w:p w14:paraId="378329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1429" w:type="dxa"/>
                  <w:vAlign w:val="center"/>
                </w:tcPr>
                <w:p w14:paraId="71D32CC0">
                  <w:pPr>
                    <w:pStyle w:val="119"/>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526" w:type="dxa"/>
                  <w:vAlign w:val="center"/>
                </w:tcPr>
                <w:p w14:paraId="794B10C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0.0935</w:t>
                  </w:r>
                </w:p>
              </w:tc>
            </w:tr>
            <w:tr w14:paraId="64CE19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1AEB3323">
                  <w:pPr>
                    <w:adjustRightInd w:val="0"/>
                    <w:snapToGrid w:val="0"/>
                    <w:jc w:val="center"/>
                    <w:rPr>
                      <w:color w:val="auto"/>
                      <w:sz w:val="21"/>
                      <w:szCs w:val="21"/>
                      <w:highlight w:val="none"/>
                    </w:rPr>
                  </w:pPr>
                </w:p>
              </w:tc>
              <w:tc>
                <w:tcPr>
                  <w:tcW w:w="721" w:type="dxa"/>
                  <w:vMerge w:val="continue"/>
                  <w:tcBorders>
                    <w:right w:val="single" w:color="auto" w:sz="4" w:space="0"/>
                  </w:tcBorders>
                  <w:vAlign w:val="center"/>
                </w:tcPr>
                <w:p w14:paraId="566D6933">
                  <w:pPr>
                    <w:adjustRightInd w:val="0"/>
                    <w:snapToGrid w:val="0"/>
                    <w:jc w:val="center"/>
                    <w:rPr>
                      <w:color w:val="auto"/>
                      <w:sz w:val="21"/>
                      <w:szCs w:val="21"/>
                      <w:highlight w:val="none"/>
                    </w:rPr>
                  </w:pPr>
                </w:p>
              </w:tc>
              <w:tc>
                <w:tcPr>
                  <w:tcW w:w="1260" w:type="dxa"/>
                  <w:tcBorders>
                    <w:left w:val="single" w:color="auto" w:sz="4" w:space="0"/>
                  </w:tcBorders>
                  <w:vAlign w:val="center"/>
                </w:tcPr>
                <w:p w14:paraId="4CA4CDA6">
                  <w:pPr>
                    <w:keepNext w:val="0"/>
                    <w:keepLines w:val="0"/>
                    <w:widowControl/>
                    <w:suppressLineNumbers w:val="0"/>
                    <w:jc w:val="center"/>
                    <w:textAlignment w:val="center"/>
                    <w:rPr>
                      <w:rFonts w:hint="eastAsia"/>
                      <w:color w:val="auto"/>
                      <w:sz w:val="21"/>
                      <w:szCs w:val="21"/>
                      <w:highlight w:val="none"/>
                    </w:rPr>
                  </w:pPr>
                  <w:r>
                    <w:rPr>
                      <w:rFonts w:hint="eastAsia" w:cs="Times New Roman"/>
                      <w:color w:val="auto"/>
                      <w:sz w:val="21"/>
                      <w:szCs w:val="21"/>
                      <w:highlight w:val="none"/>
                      <w:lang w:val="en-US" w:eastAsia="zh-CN"/>
                    </w:rPr>
                    <w:t>VOCs</w:t>
                  </w:r>
                </w:p>
              </w:tc>
              <w:tc>
                <w:tcPr>
                  <w:tcW w:w="1367" w:type="dxa"/>
                  <w:vAlign w:val="center"/>
                </w:tcPr>
                <w:p w14:paraId="61E3D353">
                  <w:pPr>
                    <w:pStyle w:val="119"/>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0.041</w:t>
                  </w:r>
                </w:p>
              </w:tc>
              <w:tc>
                <w:tcPr>
                  <w:tcW w:w="1122" w:type="dxa"/>
                  <w:vAlign w:val="center"/>
                </w:tcPr>
                <w:p w14:paraId="2B5930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0.0369</w:t>
                  </w:r>
                </w:p>
              </w:tc>
              <w:tc>
                <w:tcPr>
                  <w:tcW w:w="1429" w:type="dxa"/>
                  <w:vAlign w:val="center"/>
                </w:tcPr>
                <w:p w14:paraId="6B165955">
                  <w:pPr>
                    <w:pStyle w:val="119"/>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526" w:type="dxa"/>
                  <w:vAlign w:val="center"/>
                </w:tcPr>
                <w:p w14:paraId="71DC62D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0.0041</w:t>
                  </w:r>
                </w:p>
              </w:tc>
            </w:tr>
            <w:tr w14:paraId="4F26A8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0CF6A109">
                  <w:pPr>
                    <w:adjustRightInd w:val="0"/>
                    <w:snapToGrid w:val="0"/>
                    <w:jc w:val="center"/>
                    <w:rPr>
                      <w:color w:val="auto"/>
                      <w:sz w:val="21"/>
                      <w:szCs w:val="21"/>
                      <w:highlight w:val="none"/>
                    </w:rPr>
                  </w:pPr>
                </w:p>
              </w:tc>
              <w:tc>
                <w:tcPr>
                  <w:tcW w:w="721" w:type="dxa"/>
                  <w:vMerge w:val="restart"/>
                  <w:tcBorders>
                    <w:right w:val="single" w:color="auto" w:sz="4" w:space="0"/>
                  </w:tcBorders>
                  <w:vAlign w:val="center"/>
                </w:tcPr>
                <w:p w14:paraId="79144FC9">
                  <w:pPr>
                    <w:adjustRightInd w:val="0"/>
                    <w:snapToGrid w:val="0"/>
                    <w:jc w:val="center"/>
                    <w:rPr>
                      <w:color w:val="auto"/>
                      <w:sz w:val="21"/>
                      <w:szCs w:val="21"/>
                      <w:highlight w:val="none"/>
                    </w:rPr>
                  </w:pPr>
                  <w:r>
                    <w:rPr>
                      <w:color w:val="auto"/>
                      <w:sz w:val="21"/>
                      <w:szCs w:val="21"/>
                      <w:highlight w:val="none"/>
                    </w:rPr>
                    <w:t>无组织</w:t>
                  </w:r>
                </w:p>
              </w:tc>
              <w:tc>
                <w:tcPr>
                  <w:tcW w:w="1260" w:type="dxa"/>
                  <w:tcBorders>
                    <w:left w:val="single" w:color="auto" w:sz="4" w:space="0"/>
                  </w:tcBorders>
                  <w:vAlign w:val="center"/>
                </w:tcPr>
                <w:p w14:paraId="171E98D0">
                  <w:pPr>
                    <w:pStyle w:val="119"/>
                    <w:spacing w:line="240" w:lineRule="auto"/>
                    <w:jc w:val="center"/>
                    <w:rPr>
                      <w:rFonts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rPr>
                    <w:t>颗粒物</w:t>
                  </w:r>
                </w:p>
              </w:tc>
              <w:tc>
                <w:tcPr>
                  <w:tcW w:w="1367" w:type="dxa"/>
                  <w:vAlign w:val="center"/>
                </w:tcPr>
                <w:p w14:paraId="7DE9C70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0.162</w:t>
                  </w:r>
                </w:p>
              </w:tc>
              <w:tc>
                <w:tcPr>
                  <w:tcW w:w="1122" w:type="dxa"/>
                  <w:vAlign w:val="center"/>
                </w:tcPr>
                <w:p w14:paraId="02F09577">
                  <w:pPr>
                    <w:widowControl/>
                    <w:jc w:val="center"/>
                    <w:textAlignment w:val="center"/>
                    <w:rPr>
                      <w:color w:val="auto"/>
                      <w:kern w:val="0"/>
                      <w:sz w:val="21"/>
                      <w:szCs w:val="21"/>
                      <w:highlight w:val="none"/>
                      <w:lang w:bidi="ar"/>
                    </w:rPr>
                  </w:pPr>
                  <w:r>
                    <w:rPr>
                      <w:color w:val="auto"/>
                      <w:kern w:val="0"/>
                      <w:sz w:val="21"/>
                      <w:szCs w:val="21"/>
                      <w:highlight w:val="none"/>
                      <w:lang w:bidi="ar"/>
                    </w:rPr>
                    <w:t>0</w:t>
                  </w:r>
                </w:p>
              </w:tc>
              <w:tc>
                <w:tcPr>
                  <w:tcW w:w="1429" w:type="dxa"/>
                  <w:vAlign w:val="center"/>
                </w:tcPr>
                <w:p w14:paraId="2664EECA">
                  <w:pPr>
                    <w:adjustRightInd w:val="0"/>
                    <w:snapToGrid w:val="0"/>
                    <w:jc w:val="center"/>
                    <w:rPr>
                      <w:color w:val="auto"/>
                      <w:sz w:val="21"/>
                      <w:szCs w:val="21"/>
                      <w:highlight w:val="none"/>
                    </w:rPr>
                  </w:pPr>
                  <w:r>
                    <w:rPr>
                      <w:rFonts w:hint="eastAsia"/>
                      <w:color w:val="auto"/>
                      <w:sz w:val="21"/>
                      <w:szCs w:val="21"/>
                      <w:highlight w:val="none"/>
                    </w:rPr>
                    <w:t>/</w:t>
                  </w:r>
                </w:p>
              </w:tc>
              <w:tc>
                <w:tcPr>
                  <w:tcW w:w="1526" w:type="dxa"/>
                  <w:vAlign w:val="center"/>
                </w:tcPr>
                <w:p w14:paraId="3E4E7BE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0.162</w:t>
                  </w:r>
                </w:p>
              </w:tc>
            </w:tr>
            <w:tr w14:paraId="08EB81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16B7AEF2">
                  <w:pPr>
                    <w:adjustRightInd w:val="0"/>
                    <w:snapToGrid w:val="0"/>
                    <w:jc w:val="center"/>
                    <w:rPr>
                      <w:color w:val="auto"/>
                      <w:sz w:val="21"/>
                      <w:szCs w:val="21"/>
                      <w:highlight w:val="none"/>
                    </w:rPr>
                  </w:pPr>
                </w:p>
              </w:tc>
              <w:tc>
                <w:tcPr>
                  <w:tcW w:w="721" w:type="dxa"/>
                  <w:vMerge w:val="continue"/>
                  <w:tcBorders>
                    <w:right w:val="single" w:color="auto" w:sz="4" w:space="0"/>
                  </w:tcBorders>
                  <w:vAlign w:val="center"/>
                </w:tcPr>
                <w:p w14:paraId="7726C8EA">
                  <w:pPr>
                    <w:adjustRightInd w:val="0"/>
                    <w:snapToGrid w:val="0"/>
                    <w:jc w:val="center"/>
                    <w:rPr>
                      <w:color w:val="auto"/>
                      <w:sz w:val="21"/>
                      <w:szCs w:val="21"/>
                      <w:highlight w:val="none"/>
                    </w:rPr>
                  </w:pPr>
                </w:p>
              </w:tc>
              <w:tc>
                <w:tcPr>
                  <w:tcW w:w="1260" w:type="dxa"/>
                  <w:tcBorders>
                    <w:left w:val="single" w:color="auto" w:sz="4" w:space="0"/>
                  </w:tcBorders>
                  <w:vAlign w:val="center"/>
                </w:tcPr>
                <w:p w14:paraId="569D51D0">
                  <w:pPr>
                    <w:pStyle w:val="119"/>
                    <w:spacing w:line="240" w:lineRule="auto"/>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VOCs</w:t>
                  </w:r>
                </w:p>
              </w:tc>
              <w:tc>
                <w:tcPr>
                  <w:tcW w:w="1367" w:type="dxa"/>
                  <w:vAlign w:val="center"/>
                </w:tcPr>
                <w:p w14:paraId="18FD5EE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0.0022</w:t>
                  </w:r>
                </w:p>
              </w:tc>
              <w:tc>
                <w:tcPr>
                  <w:tcW w:w="1122" w:type="dxa"/>
                  <w:vAlign w:val="center"/>
                </w:tcPr>
                <w:p w14:paraId="50FFAFF2">
                  <w:pPr>
                    <w:widowControl/>
                    <w:jc w:val="center"/>
                    <w:textAlignment w:val="center"/>
                    <w:rPr>
                      <w:color w:val="auto"/>
                      <w:kern w:val="0"/>
                      <w:sz w:val="21"/>
                      <w:szCs w:val="21"/>
                      <w:highlight w:val="none"/>
                      <w:lang w:bidi="ar"/>
                    </w:rPr>
                  </w:pPr>
                  <w:r>
                    <w:rPr>
                      <w:color w:val="auto"/>
                      <w:kern w:val="0"/>
                      <w:sz w:val="21"/>
                      <w:szCs w:val="21"/>
                      <w:highlight w:val="none"/>
                      <w:lang w:bidi="ar"/>
                    </w:rPr>
                    <w:t>0</w:t>
                  </w:r>
                </w:p>
              </w:tc>
              <w:tc>
                <w:tcPr>
                  <w:tcW w:w="1429" w:type="dxa"/>
                  <w:vAlign w:val="center"/>
                </w:tcPr>
                <w:p w14:paraId="307C3A06">
                  <w:pPr>
                    <w:adjustRightInd w:val="0"/>
                    <w:snapToGrid w:val="0"/>
                    <w:jc w:val="center"/>
                    <w:rPr>
                      <w:color w:val="auto"/>
                      <w:sz w:val="21"/>
                      <w:szCs w:val="21"/>
                      <w:highlight w:val="none"/>
                    </w:rPr>
                  </w:pPr>
                  <w:r>
                    <w:rPr>
                      <w:rFonts w:hint="eastAsia"/>
                      <w:color w:val="auto"/>
                      <w:sz w:val="21"/>
                      <w:szCs w:val="21"/>
                      <w:highlight w:val="none"/>
                    </w:rPr>
                    <w:t>/</w:t>
                  </w:r>
                </w:p>
              </w:tc>
              <w:tc>
                <w:tcPr>
                  <w:tcW w:w="1526" w:type="dxa"/>
                  <w:vAlign w:val="center"/>
                </w:tcPr>
                <w:p w14:paraId="5AB5EA1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0.0022</w:t>
                  </w:r>
                </w:p>
              </w:tc>
            </w:tr>
            <w:tr w14:paraId="2F0450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0" w:type="dxa"/>
                  <w:gridSpan w:val="2"/>
                  <w:vMerge w:val="restart"/>
                  <w:tcBorders>
                    <w:right w:val="single" w:color="auto" w:sz="4" w:space="0"/>
                  </w:tcBorders>
                  <w:vAlign w:val="center"/>
                </w:tcPr>
                <w:p w14:paraId="0346D099">
                  <w:pPr>
                    <w:adjustRightInd w:val="0"/>
                    <w:snapToGrid w:val="0"/>
                    <w:jc w:val="center"/>
                    <w:rPr>
                      <w:color w:val="auto"/>
                      <w:sz w:val="21"/>
                      <w:szCs w:val="21"/>
                      <w:highlight w:val="none"/>
                    </w:rPr>
                  </w:pPr>
                  <w:r>
                    <w:rPr>
                      <w:rFonts w:hint="eastAsia"/>
                      <w:color w:val="auto"/>
                      <w:sz w:val="21"/>
                      <w:szCs w:val="21"/>
                      <w:highlight w:val="none"/>
                      <w:lang w:val="en-US" w:eastAsia="zh-CN"/>
                    </w:rPr>
                    <w:t>废水</w:t>
                  </w:r>
                </w:p>
              </w:tc>
              <w:tc>
                <w:tcPr>
                  <w:tcW w:w="1260" w:type="dxa"/>
                  <w:tcBorders>
                    <w:left w:val="single" w:color="auto" w:sz="4" w:space="0"/>
                  </w:tcBorders>
                  <w:vAlign w:val="center"/>
                </w:tcPr>
                <w:p w14:paraId="03812291">
                  <w:pPr>
                    <w:jc w:val="center"/>
                    <w:rPr>
                      <w:rFonts w:hint="eastAsia" w:ascii="Times New Roman" w:hAnsi="Times New Roman" w:eastAsia="宋体" w:cs="Times New Roman"/>
                      <w:color w:val="0000FF"/>
                      <w:kern w:val="2"/>
                      <w:sz w:val="21"/>
                      <w:szCs w:val="21"/>
                      <w:highlight w:val="none"/>
                      <w:lang w:val="en-US" w:eastAsia="zh-CN" w:bidi="ar-SA"/>
                    </w:rPr>
                  </w:pPr>
                  <w:r>
                    <w:rPr>
                      <w:rFonts w:hint="eastAsia"/>
                      <w:color w:val="0000FF"/>
                      <w:sz w:val="21"/>
                      <w:szCs w:val="21"/>
                      <w:highlight w:val="none"/>
                    </w:rPr>
                    <w:t>废水量m</w:t>
                  </w:r>
                  <w:r>
                    <w:rPr>
                      <w:rFonts w:hint="eastAsia"/>
                      <w:color w:val="0000FF"/>
                      <w:sz w:val="21"/>
                      <w:szCs w:val="21"/>
                      <w:highlight w:val="none"/>
                      <w:vertAlign w:val="superscript"/>
                    </w:rPr>
                    <w:t>3</w:t>
                  </w:r>
                  <w:r>
                    <w:rPr>
                      <w:rFonts w:hint="eastAsia"/>
                      <w:color w:val="0000FF"/>
                      <w:sz w:val="21"/>
                      <w:szCs w:val="21"/>
                      <w:highlight w:val="none"/>
                    </w:rPr>
                    <w:t>/a</w:t>
                  </w:r>
                </w:p>
              </w:tc>
              <w:tc>
                <w:tcPr>
                  <w:tcW w:w="1367" w:type="dxa"/>
                  <w:vAlign w:val="center"/>
                </w:tcPr>
                <w:p w14:paraId="263305A1">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1142</w:t>
                  </w:r>
                </w:p>
              </w:tc>
              <w:tc>
                <w:tcPr>
                  <w:tcW w:w="1122" w:type="dxa"/>
                  <w:vAlign w:val="center"/>
                </w:tcPr>
                <w:p w14:paraId="7A36F793">
                  <w:pPr>
                    <w:widowControl/>
                    <w:jc w:val="center"/>
                    <w:textAlignment w:val="center"/>
                    <w:rPr>
                      <w:rFonts w:hint="eastAsia" w:eastAsia="宋体"/>
                      <w:color w:val="0000FF"/>
                      <w:kern w:val="0"/>
                      <w:sz w:val="21"/>
                      <w:szCs w:val="21"/>
                      <w:highlight w:val="none"/>
                      <w:lang w:val="en-US" w:eastAsia="zh-CN" w:bidi="ar"/>
                    </w:rPr>
                  </w:pPr>
                  <w:r>
                    <w:rPr>
                      <w:rFonts w:hint="eastAsia"/>
                      <w:color w:val="0000FF"/>
                      <w:kern w:val="0"/>
                      <w:sz w:val="21"/>
                      <w:szCs w:val="21"/>
                      <w:highlight w:val="none"/>
                      <w:lang w:val="en-US" w:eastAsia="zh-CN" w:bidi="ar"/>
                    </w:rPr>
                    <w:t>/</w:t>
                  </w:r>
                </w:p>
              </w:tc>
              <w:tc>
                <w:tcPr>
                  <w:tcW w:w="1429" w:type="dxa"/>
                  <w:vAlign w:val="center"/>
                </w:tcPr>
                <w:p w14:paraId="086FCCDA">
                  <w:pPr>
                    <w:adjustRightInd w:val="0"/>
                    <w:snapToGrid w:val="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1142</w:t>
                  </w:r>
                </w:p>
              </w:tc>
              <w:tc>
                <w:tcPr>
                  <w:tcW w:w="1526" w:type="dxa"/>
                  <w:vAlign w:val="center"/>
                </w:tcPr>
                <w:p w14:paraId="2F803627">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1142</w:t>
                  </w:r>
                </w:p>
              </w:tc>
            </w:tr>
            <w:tr w14:paraId="758F30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0" w:type="dxa"/>
                  <w:gridSpan w:val="2"/>
                  <w:vMerge w:val="continue"/>
                  <w:tcBorders>
                    <w:right w:val="single" w:color="auto" w:sz="4" w:space="0"/>
                  </w:tcBorders>
                  <w:vAlign w:val="center"/>
                </w:tcPr>
                <w:p w14:paraId="783B35D4">
                  <w:pPr>
                    <w:adjustRightInd w:val="0"/>
                    <w:snapToGrid w:val="0"/>
                    <w:jc w:val="center"/>
                    <w:rPr>
                      <w:color w:val="auto"/>
                      <w:sz w:val="21"/>
                      <w:szCs w:val="21"/>
                      <w:highlight w:val="none"/>
                    </w:rPr>
                  </w:pPr>
                </w:p>
              </w:tc>
              <w:tc>
                <w:tcPr>
                  <w:tcW w:w="1260" w:type="dxa"/>
                  <w:tcBorders>
                    <w:left w:val="single" w:color="auto" w:sz="4" w:space="0"/>
                  </w:tcBorders>
                  <w:vAlign w:val="center"/>
                </w:tcPr>
                <w:p w14:paraId="090F00A7">
                  <w:pPr>
                    <w:pStyle w:val="29"/>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lang w:val="en-US" w:eastAsia="zh-CN"/>
                    </w:rPr>
                    <w:t>COD</w:t>
                  </w:r>
                </w:p>
              </w:tc>
              <w:tc>
                <w:tcPr>
                  <w:tcW w:w="1367" w:type="dxa"/>
                  <w:vAlign w:val="center"/>
                </w:tcPr>
                <w:p w14:paraId="267BCEA5">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0.6118</w:t>
                  </w:r>
                </w:p>
              </w:tc>
              <w:tc>
                <w:tcPr>
                  <w:tcW w:w="1122" w:type="dxa"/>
                  <w:vAlign w:val="center"/>
                </w:tcPr>
                <w:p w14:paraId="09245C56">
                  <w:pPr>
                    <w:keepNext w:val="0"/>
                    <w:keepLines w:val="0"/>
                    <w:widowControl/>
                    <w:suppressLineNumbers w:val="0"/>
                    <w:jc w:val="center"/>
                    <w:textAlignment w:val="center"/>
                    <w:rPr>
                      <w:rFonts w:hint="eastAsia"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0.155</w:t>
                  </w:r>
                </w:p>
              </w:tc>
              <w:tc>
                <w:tcPr>
                  <w:tcW w:w="1429" w:type="dxa"/>
                  <w:shd w:val="clear" w:color="auto" w:fill="auto"/>
                  <w:vAlign w:val="center"/>
                </w:tcPr>
                <w:p w14:paraId="475D1F0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0.3198</w:t>
                  </w:r>
                </w:p>
              </w:tc>
              <w:tc>
                <w:tcPr>
                  <w:tcW w:w="1526" w:type="dxa"/>
                  <w:vAlign w:val="center"/>
                </w:tcPr>
                <w:p w14:paraId="319ED821">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0.0571</w:t>
                  </w:r>
                </w:p>
              </w:tc>
            </w:tr>
            <w:tr w14:paraId="691AFA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0" w:type="dxa"/>
                  <w:gridSpan w:val="2"/>
                  <w:vMerge w:val="continue"/>
                  <w:tcBorders>
                    <w:right w:val="single" w:color="auto" w:sz="4" w:space="0"/>
                  </w:tcBorders>
                  <w:vAlign w:val="center"/>
                </w:tcPr>
                <w:p w14:paraId="2EECD88D">
                  <w:pPr>
                    <w:adjustRightInd w:val="0"/>
                    <w:snapToGrid w:val="0"/>
                    <w:jc w:val="center"/>
                    <w:rPr>
                      <w:color w:val="auto"/>
                      <w:sz w:val="21"/>
                      <w:szCs w:val="21"/>
                      <w:highlight w:val="none"/>
                    </w:rPr>
                  </w:pPr>
                </w:p>
              </w:tc>
              <w:tc>
                <w:tcPr>
                  <w:tcW w:w="1260" w:type="dxa"/>
                  <w:tcBorders>
                    <w:left w:val="single" w:color="auto" w:sz="4" w:space="0"/>
                  </w:tcBorders>
                  <w:vAlign w:val="center"/>
                </w:tcPr>
                <w:p w14:paraId="476CFBB9">
                  <w:pPr>
                    <w:pStyle w:val="29"/>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BOD</w:t>
                  </w:r>
                  <w:r>
                    <w:rPr>
                      <w:rFonts w:hint="eastAsia" w:cs="Times New Roman"/>
                      <w:color w:val="0000FF"/>
                      <w:sz w:val="21"/>
                      <w:szCs w:val="21"/>
                      <w:highlight w:val="none"/>
                      <w:vertAlign w:val="subscript"/>
                      <w:lang w:val="en-US" w:eastAsia="zh-CN"/>
                    </w:rPr>
                    <w:t>5</w:t>
                  </w:r>
                </w:p>
              </w:tc>
              <w:tc>
                <w:tcPr>
                  <w:tcW w:w="1367" w:type="dxa"/>
                  <w:vAlign w:val="center"/>
                </w:tcPr>
                <w:p w14:paraId="68214278">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0.2977</w:t>
                  </w:r>
                </w:p>
              </w:tc>
              <w:tc>
                <w:tcPr>
                  <w:tcW w:w="1122" w:type="dxa"/>
                  <w:vAlign w:val="center"/>
                </w:tcPr>
                <w:p w14:paraId="74D173A9">
                  <w:pPr>
                    <w:keepNext w:val="0"/>
                    <w:keepLines w:val="0"/>
                    <w:widowControl/>
                    <w:suppressLineNumbers w:val="0"/>
                    <w:jc w:val="center"/>
                    <w:textAlignment w:val="center"/>
                    <w:rPr>
                      <w:rFonts w:hint="eastAsia"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0.0741</w:t>
                  </w:r>
                </w:p>
              </w:tc>
              <w:tc>
                <w:tcPr>
                  <w:tcW w:w="1429" w:type="dxa"/>
                  <w:shd w:val="clear" w:color="auto" w:fill="auto"/>
                  <w:vAlign w:val="center"/>
                </w:tcPr>
                <w:p w14:paraId="51C0F5BF">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0.1527</w:t>
                  </w:r>
                </w:p>
              </w:tc>
              <w:tc>
                <w:tcPr>
                  <w:tcW w:w="1526" w:type="dxa"/>
                  <w:vAlign w:val="center"/>
                </w:tcPr>
                <w:p w14:paraId="7913DC82">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0.0114</w:t>
                  </w:r>
                </w:p>
              </w:tc>
            </w:tr>
            <w:tr w14:paraId="1AD47B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0" w:type="dxa"/>
                  <w:gridSpan w:val="2"/>
                  <w:vMerge w:val="continue"/>
                  <w:tcBorders>
                    <w:right w:val="single" w:color="auto" w:sz="4" w:space="0"/>
                  </w:tcBorders>
                  <w:vAlign w:val="center"/>
                </w:tcPr>
                <w:p w14:paraId="4782456A">
                  <w:pPr>
                    <w:adjustRightInd w:val="0"/>
                    <w:snapToGrid w:val="0"/>
                    <w:jc w:val="center"/>
                    <w:rPr>
                      <w:color w:val="auto"/>
                      <w:sz w:val="21"/>
                      <w:szCs w:val="21"/>
                      <w:highlight w:val="none"/>
                    </w:rPr>
                  </w:pPr>
                </w:p>
              </w:tc>
              <w:tc>
                <w:tcPr>
                  <w:tcW w:w="1260" w:type="dxa"/>
                  <w:tcBorders>
                    <w:left w:val="single" w:color="auto" w:sz="4" w:space="0"/>
                  </w:tcBorders>
                  <w:vAlign w:val="center"/>
                </w:tcPr>
                <w:p w14:paraId="77C234F0">
                  <w:pPr>
                    <w:pStyle w:val="29"/>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lang w:val="en-US" w:eastAsia="zh-CN"/>
                    </w:rPr>
                    <w:t>SS</w:t>
                  </w:r>
                </w:p>
              </w:tc>
              <w:tc>
                <w:tcPr>
                  <w:tcW w:w="1367" w:type="dxa"/>
                  <w:vAlign w:val="center"/>
                </w:tcPr>
                <w:p w14:paraId="7108AFFD">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0.5194</w:t>
                  </w:r>
                </w:p>
              </w:tc>
              <w:tc>
                <w:tcPr>
                  <w:tcW w:w="1122" w:type="dxa"/>
                  <w:vAlign w:val="center"/>
                </w:tcPr>
                <w:p w14:paraId="28C181C8">
                  <w:pPr>
                    <w:keepNext w:val="0"/>
                    <w:keepLines w:val="0"/>
                    <w:widowControl/>
                    <w:suppressLineNumbers w:val="0"/>
                    <w:jc w:val="center"/>
                    <w:textAlignment w:val="center"/>
                    <w:rPr>
                      <w:rFonts w:hint="eastAsia"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0.1816</w:t>
                  </w:r>
                </w:p>
              </w:tc>
              <w:tc>
                <w:tcPr>
                  <w:tcW w:w="1429" w:type="dxa"/>
                  <w:shd w:val="clear" w:color="auto" w:fill="auto"/>
                  <w:vAlign w:val="center"/>
                </w:tcPr>
                <w:p w14:paraId="7B7FA783">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0.2056</w:t>
                  </w:r>
                </w:p>
              </w:tc>
              <w:tc>
                <w:tcPr>
                  <w:tcW w:w="1526" w:type="dxa"/>
                  <w:vAlign w:val="center"/>
                </w:tcPr>
                <w:p w14:paraId="1F87AE32">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0.0114</w:t>
                  </w:r>
                </w:p>
              </w:tc>
            </w:tr>
            <w:tr w14:paraId="0F94C0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0" w:type="dxa"/>
                  <w:gridSpan w:val="2"/>
                  <w:vMerge w:val="continue"/>
                  <w:tcBorders>
                    <w:right w:val="single" w:color="auto" w:sz="4" w:space="0"/>
                  </w:tcBorders>
                  <w:vAlign w:val="center"/>
                </w:tcPr>
                <w:p w14:paraId="4C6363D8">
                  <w:pPr>
                    <w:adjustRightInd w:val="0"/>
                    <w:snapToGrid w:val="0"/>
                    <w:jc w:val="center"/>
                    <w:rPr>
                      <w:color w:val="auto"/>
                      <w:sz w:val="21"/>
                      <w:szCs w:val="21"/>
                      <w:highlight w:val="none"/>
                    </w:rPr>
                  </w:pPr>
                </w:p>
              </w:tc>
              <w:tc>
                <w:tcPr>
                  <w:tcW w:w="1260" w:type="dxa"/>
                  <w:tcBorders>
                    <w:left w:val="single" w:color="auto" w:sz="4" w:space="0"/>
                  </w:tcBorders>
                  <w:vAlign w:val="center"/>
                </w:tcPr>
                <w:p w14:paraId="531E1313">
                  <w:pPr>
                    <w:pStyle w:val="29"/>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lang w:val="en-US" w:eastAsia="zh-CN"/>
                    </w:rPr>
                    <w:t>NH</w:t>
                  </w:r>
                  <w:r>
                    <w:rPr>
                      <w:rFonts w:hint="default" w:ascii="Times New Roman" w:hAnsi="Times New Roman" w:cs="Times New Roman"/>
                      <w:color w:val="0000FF"/>
                      <w:sz w:val="21"/>
                      <w:szCs w:val="21"/>
                      <w:highlight w:val="none"/>
                      <w:vertAlign w:val="subscript"/>
                      <w:lang w:val="en-US" w:eastAsia="zh-CN"/>
                    </w:rPr>
                    <w:t>3</w:t>
                  </w:r>
                  <w:r>
                    <w:rPr>
                      <w:rFonts w:hint="default" w:ascii="Times New Roman" w:hAnsi="Times New Roman" w:cs="Times New Roman"/>
                      <w:color w:val="0000FF"/>
                      <w:sz w:val="21"/>
                      <w:szCs w:val="21"/>
                      <w:highlight w:val="none"/>
                      <w:lang w:val="en-US" w:eastAsia="zh-CN"/>
                    </w:rPr>
                    <w:t>-N</w:t>
                  </w:r>
                </w:p>
              </w:tc>
              <w:tc>
                <w:tcPr>
                  <w:tcW w:w="1367" w:type="dxa"/>
                  <w:vAlign w:val="center"/>
                </w:tcPr>
                <w:p w14:paraId="09D55394">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0.006</w:t>
                  </w:r>
                </w:p>
              </w:tc>
              <w:tc>
                <w:tcPr>
                  <w:tcW w:w="1122" w:type="dxa"/>
                  <w:vAlign w:val="center"/>
                </w:tcPr>
                <w:p w14:paraId="3C168413">
                  <w:pPr>
                    <w:keepNext w:val="0"/>
                    <w:keepLines w:val="0"/>
                    <w:widowControl/>
                    <w:suppressLineNumbers w:val="0"/>
                    <w:jc w:val="center"/>
                    <w:textAlignment w:val="center"/>
                    <w:rPr>
                      <w:rFonts w:hint="eastAsia"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1429" w:type="dxa"/>
                  <w:shd w:val="clear" w:color="auto" w:fill="auto"/>
                  <w:vAlign w:val="center"/>
                </w:tcPr>
                <w:p w14:paraId="729B684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0.006</w:t>
                  </w:r>
                </w:p>
              </w:tc>
              <w:tc>
                <w:tcPr>
                  <w:tcW w:w="1526" w:type="dxa"/>
                  <w:vAlign w:val="center"/>
                </w:tcPr>
                <w:p w14:paraId="687AF0C7">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0.0057（0.006）</w:t>
                  </w:r>
                </w:p>
              </w:tc>
            </w:tr>
            <w:tr w14:paraId="06CA3F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0" w:type="dxa"/>
                  <w:gridSpan w:val="2"/>
                  <w:vMerge w:val="continue"/>
                  <w:tcBorders>
                    <w:right w:val="single" w:color="auto" w:sz="4" w:space="0"/>
                  </w:tcBorders>
                  <w:vAlign w:val="center"/>
                </w:tcPr>
                <w:p w14:paraId="55E1F217">
                  <w:pPr>
                    <w:adjustRightInd w:val="0"/>
                    <w:snapToGrid w:val="0"/>
                    <w:jc w:val="center"/>
                    <w:rPr>
                      <w:color w:val="auto"/>
                      <w:sz w:val="21"/>
                      <w:szCs w:val="21"/>
                      <w:highlight w:val="none"/>
                    </w:rPr>
                  </w:pPr>
                </w:p>
              </w:tc>
              <w:tc>
                <w:tcPr>
                  <w:tcW w:w="1260" w:type="dxa"/>
                  <w:tcBorders>
                    <w:left w:val="single" w:color="auto" w:sz="4" w:space="0"/>
                  </w:tcBorders>
                  <w:vAlign w:val="center"/>
                </w:tcPr>
                <w:p w14:paraId="0DA750BF">
                  <w:pPr>
                    <w:pStyle w:val="29"/>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TN</w:t>
                  </w:r>
                </w:p>
              </w:tc>
              <w:tc>
                <w:tcPr>
                  <w:tcW w:w="1367" w:type="dxa"/>
                  <w:vAlign w:val="center"/>
                </w:tcPr>
                <w:p w14:paraId="08ABF441">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0.0183</w:t>
                  </w:r>
                </w:p>
              </w:tc>
              <w:tc>
                <w:tcPr>
                  <w:tcW w:w="1122" w:type="dxa"/>
                  <w:vAlign w:val="center"/>
                </w:tcPr>
                <w:p w14:paraId="0423C177">
                  <w:pPr>
                    <w:keepNext w:val="0"/>
                    <w:keepLines w:val="0"/>
                    <w:widowControl/>
                    <w:suppressLineNumbers w:val="0"/>
                    <w:jc w:val="center"/>
                    <w:textAlignment w:val="center"/>
                    <w:rPr>
                      <w:rFonts w:hint="eastAsia"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0.0054</w:t>
                  </w:r>
                </w:p>
              </w:tc>
              <w:tc>
                <w:tcPr>
                  <w:tcW w:w="1429" w:type="dxa"/>
                  <w:shd w:val="clear" w:color="auto" w:fill="auto"/>
                  <w:vAlign w:val="center"/>
                </w:tcPr>
                <w:p w14:paraId="141CB07F">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0.0129</w:t>
                  </w:r>
                </w:p>
              </w:tc>
              <w:tc>
                <w:tcPr>
                  <w:tcW w:w="1526" w:type="dxa"/>
                  <w:vAlign w:val="center"/>
                </w:tcPr>
                <w:p w14:paraId="7829EAA9">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0.0129</w:t>
                  </w:r>
                </w:p>
              </w:tc>
            </w:tr>
            <w:tr w14:paraId="3D54CC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0" w:type="dxa"/>
                  <w:gridSpan w:val="2"/>
                  <w:vMerge w:val="continue"/>
                  <w:tcBorders>
                    <w:right w:val="single" w:color="auto" w:sz="4" w:space="0"/>
                  </w:tcBorders>
                  <w:vAlign w:val="center"/>
                </w:tcPr>
                <w:p w14:paraId="23EF2250">
                  <w:pPr>
                    <w:adjustRightInd w:val="0"/>
                    <w:snapToGrid w:val="0"/>
                    <w:jc w:val="center"/>
                    <w:rPr>
                      <w:color w:val="auto"/>
                      <w:sz w:val="21"/>
                      <w:szCs w:val="21"/>
                      <w:highlight w:val="none"/>
                    </w:rPr>
                  </w:pPr>
                </w:p>
              </w:tc>
              <w:tc>
                <w:tcPr>
                  <w:tcW w:w="1260" w:type="dxa"/>
                  <w:tcBorders>
                    <w:left w:val="single" w:color="auto" w:sz="4" w:space="0"/>
                  </w:tcBorders>
                  <w:vAlign w:val="center"/>
                </w:tcPr>
                <w:p w14:paraId="69EB42F0">
                  <w:pPr>
                    <w:pStyle w:val="29"/>
                    <w:spacing w:after="0"/>
                    <w:ind w:left="0" w:leftChars="0" w:firstLine="0" w:firstLineChars="0"/>
                    <w:jc w:val="center"/>
                    <w:rPr>
                      <w:rFonts w:hint="eastAsia" w:ascii="Times New Roman" w:hAnsi="Times New Roman" w:eastAsia="宋体" w:cs="Times New Roman"/>
                      <w:color w:val="0000FF"/>
                      <w:kern w:val="0"/>
                      <w:sz w:val="21"/>
                      <w:szCs w:val="21"/>
                      <w:highlight w:val="none"/>
                      <w:lang w:val="en-US" w:eastAsia="zh-CN" w:bidi="ar-SA"/>
                    </w:rPr>
                  </w:pPr>
                  <w:r>
                    <w:rPr>
                      <w:rFonts w:hint="default" w:ascii="Times New Roman" w:hAnsi="Times New Roman" w:cs="Times New Roman"/>
                      <w:color w:val="0000FF"/>
                      <w:sz w:val="21"/>
                      <w:szCs w:val="21"/>
                      <w:highlight w:val="none"/>
                      <w:lang w:val="en-US" w:eastAsia="zh-CN"/>
                    </w:rPr>
                    <w:t>总磷</w:t>
                  </w:r>
                </w:p>
              </w:tc>
              <w:tc>
                <w:tcPr>
                  <w:tcW w:w="1367" w:type="dxa"/>
                  <w:vAlign w:val="center"/>
                </w:tcPr>
                <w:p w14:paraId="18DCF1F9">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0.0188</w:t>
                  </w:r>
                </w:p>
              </w:tc>
              <w:tc>
                <w:tcPr>
                  <w:tcW w:w="1122" w:type="dxa"/>
                  <w:vAlign w:val="center"/>
                </w:tcPr>
                <w:p w14:paraId="32955ACD">
                  <w:pPr>
                    <w:keepNext w:val="0"/>
                    <w:keepLines w:val="0"/>
                    <w:widowControl/>
                    <w:suppressLineNumbers w:val="0"/>
                    <w:jc w:val="center"/>
                    <w:textAlignment w:val="center"/>
                    <w:rPr>
                      <w:rFonts w:hint="eastAsia"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0.0136</w:t>
                  </w:r>
                </w:p>
              </w:tc>
              <w:tc>
                <w:tcPr>
                  <w:tcW w:w="1429" w:type="dxa"/>
                  <w:shd w:val="clear" w:color="auto" w:fill="auto"/>
                  <w:vAlign w:val="center"/>
                </w:tcPr>
                <w:p w14:paraId="2BA947A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0.0034</w:t>
                  </w:r>
                </w:p>
              </w:tc>
              <w:tc>
                <w:tcPr>
                  <w:tcW w:w="1526" w:type="dxa"/>
                  <w:vAlign w:val="center"/>
                </w:tcPr>
                <w:p w14:paraId="63BA6E01">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0.0006</w:t>
                  </w:r>
                </w:p>
              </w:tc>
            </w:tr>
            <w:tr w14:paraId="7B9AF2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0" w:type="dxa"/>
                  <w:gridSpan w:val="2"/>
                  <w:vMerge w:val="continue"/>
                  <w:tcBorders>
                    <w:right w:val="single" w:color="auto" w:sz="4" w:space="0"/>
                  </w:tcBorders>
                  <w:vAlign w:val="center"/>
                </w:tcPr>
                <w:p w14:paraId="6741FCF9">
                  <w:pPr>
                    <w:adjustRightInd w:val="0"/>
                    <w:snapToGrid w:val="0"/>
                    <w:jc w:val="center"/>
                    <w:rPr>
                      <w:color w:val="auto"/>
                      <w:sz w:val="21"/>
                      <w:szCs w:val="21"/>
                      <w:highlight w:val="none"/>
                    </w:rPr>
                  </w:pPr>
                </w:p>
              </w:tc>
              <w:tc>
                <w:tcPr>
                  <w:tcW w:w="1260" w:type="dxa"/>
                  <w:tcBorders>
                    <w:left w:val="single" w:color="auto" w:sz="4" w:space="0"/>
                  </w:tcBorders>
                  <w:vAlign w:val="center"/>
                </w:tcPr>
                <w:p w14:paraId="48666F47">
                  <w:pPr>
                    <w:pStyle w:val="29"/>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石油类</w:t>
                  </w:r>
                </w:p>
              </w:tc>
              <w:tc>
                <w:tcPr>
                  <w:tcW w:w="1367" w:type="dxa"/>
                  <w:vAlign w:val="center"/>
                </w:tcPr>
                <w:p w14:paraId="15917D25">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0.1718</w:t>
                  </w:r>
                </w:p>
              </w:tc>
              <w:tc>
                <w:tcPr>
                  <w:tcW w:w="1122" w:type="dxa"/>
                  <w:vAlign w:val="center"/>
                </w:tcPr>
                <w:p w14:paraId="0A312C85">
                  <w:pPr>
                    <w:keepNext w:val="0"/>
                    <w:keepLines w:val="0"/>
                    <w:widowControl/>
                    <w:suppressLineNumbers w:val="0"/>
                    <w:jc w:val="center"/>
                    <w:textAlignment w:val="center"/>
                    <w:rPr>
                      <w:rFonts w:hint="eastAsia"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0.1628</w:t>
                  </w:r>
                </w:p>
              </w:tc>
              <w:tc>
                <w:tcPr>
                  <w:tcW w:w="1429" w:type="dxa"/>
                  <w:shd w:val="clear" w:color="auto" w:fill="auto"/>
                  <w:vAlign w:val="center"/>
                </w:tcPr>
                <w:p w14:paraId="7DC03C4A">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0.009</w:t>
                  </w:r>
                </w:p>
              </w:tc>
              <w:tc>
                <w:tcPr>
                  <w:tcW w:w="1526" w:type="dxa"/>
                  <w:vAlign w:val="center"/>
                </w:tcPr>
                <w:p w14:paraId="52F8B13A">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0.0011</w:t>
                  </w:r>
                </w:p>
              </w:tc>
            </w:tr>
            <w:tr w14:paraId="0612C3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0" w:type="dxa"/>
                  <w:gridSpan w:val="2"/>
                  <w:vMerge w:val="continue"/>
                  <w:tcBorders>
                    <w:right w:val="single" w:color="auto" w:sz="4" w:space="0"/>
                  </w:tcBorders>
                  <w:vAlign w:val="center"/>
                </w:tcPr>
                <w:p w14:paraId="7B0130D0">
                  <w:pPr>
                    <w:adjustRightInd w:val="0"/>
                    <w:snapToGrid w:val="0"/>
                    <w:jc w:val="center"/>
                    <w:rPr>
                      <w:color w:val="auto"/>
                      <w:sz w:val="21"/>
                      <w:szCs w:val="21"/>
                      <w:highlight w:val="none"/>
                    </w:rPr>
                  </w:pPr>
                </w:p>
              </w:tc>
              <w:tc>
                <w:tcPr>
                  <w:tcW w:w="1260" w:type="dxa"/>
                  <w:tcBorders>
                    <w:left w:val="single" w:color="auto" w:sz="4" w:space="0"/>
                  </w:tcBorders>
                  <w:vAlign w:val="center"/>
                </w:tcPr>
                <w:p w14:paraId="46959B9B">
                  <w:pPr>
                    <w:pStyle w:val="29"/>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总锌</w:t>
                  </w:r>
                </w:p>
              </w:tc>
              <w:tc>
                <w:tcPr>
                  <w:tcW w:w="1367" w:type="dxa"/>
                  <w:vAlign w:val="center"/>
                </w:tcPr>
                <w:p w14:paraId="005CA544">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0.0099</w:t>
                  </w:r>
                </w:p>
              </w:tc>
              <w:tc>
                <w:tcPr>
                  <w:tcW w:w="1122" w:type="dxa"/>
                  <w:vAlign w:val="center"/>
                </w:tcPr>
                <w:p w14:paraId="6A87DE37">
                  <w:pPr>
                    <w:keepNext w:val="0"/>
                    <w:keepLines w:val="0"/>
                    <w:widowControl/>
                    <w:suppressLineNumbers w:val="0"/>
                    <w:jc w:val="center"/>
                    <w:textAlignment w:val="center"/>
                    <w:rPr>
                      <w:rFonts w:hint="eastAsia"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0.009</w:t>
                  </w:r>
                </w:p>
              </w:tc>
              <w:tc>
                <w:tcPr>
                  <w:tcW w:w="1429" w:type="dxa"/>
                  <w:shd w:val="clear" w:color="auto" w:fill="auto"/>
                  <w:vAlign w:val="center"/>
                </w:tcPr>
                <w:p w14:paraId="0AA57A29">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0.0009</w:t>
                  </w:r>
                </w:p>
              </w:tc>
              <w:tc>
                <w:tcPr>
                  <w:tcW w:w="1526" w:type="dxa"/>
                  <w:vAlign w:val="center"/>
                </w:tcPr>
                <w:p w14:paraId="5523C0B1">
                  <w:pPr>
                    <w:keepNext w:val="0"/>
                    <w:keepLines w:val="0"/>
                    <w:widowControl/>
                    <w:suppressLineNumbers w:val="0"/>
                    <w:jc w:val="center"/>
                    <w:textAlignment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0.0009</w:t>
                  </w:r>
                </w:p>
              </w:tc>
            </w:tr>
            <w:tr w14:paraId="314831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restart"/>
                  <w:vAlign w:val="center"/>
                </w:tcPr>
                <w:p w14:paraId="47DCE453">
                  <w:pPr>
                    <w:jc w:val="center"/>
                    <w:rPr>
                      <w:color w:val="auto"/>
                      <w:sz w:val="21"/>
                      <w:szCs w:val="21"/>
                      <w:highlight w:val="none"/>
                    </w:rPr>
                  </w:pPr>
                  <w:r>
                    <w:rPr>
                      <w:rFonts w:hint="eastAsia"/>
                      <w:color w:val="auto"/>
                      <w:sz w:val="21"/>
                      <w:szCs w:val="21"/>
                      <w:highlight w:val="none"/>
                    </w:rPr>
                    <w:t>固废</w:t>
                  </w:r>
                </w:p>
              </w:tc>
              <w:tc>
                <w:tcPr>
                  <w:tcW w:w="721" w:type="dxa"/>
                  <w:vAlign w:val="center"/>
                </w:tcPr>
                <w:p w14:paraId="03C86927">
                  <w:pPr>
                    <w:jc w:val="center"/>
                    <w:rPr>
                      <w:color w:val="auto"/>
                      <w:sz w:val="21"/>
                      <w:szCs w:val="21"/>
                      <w:highlight w:val="none"/>
                    </w:rPr>
                  </w:pPr>
                  <w:r>
                    <w:rPr>
                      <w:rFonts w:hint="eastAsia"/>
                      <w:color w:val="auto"/>
                      <w:sz w:val="21"/>
                      <w:szCs w:val="21"/>
                      <w:highlight w:val="none"/>
                    </w:rPr>
                    <w:t>一般固废</w:t>
                  </w:r>
                </w:p>
              </w:tc>
              <w:tc>
                <w:tcPr>
                  <w:tcW w:w="1260" w:type="dxa"/>
                  <w:vAlign w:val="center"/>
                </w:tcPr>
                <w:p w14:paraId="415356DD">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rPr>
                    <w:t>生活垃圾</w:t>
                  </w:r>
                </w:p>
              </w:tc>
              <w:tc>
                <w:tcPr>
                  <w:tcW w:w="1367" w:type="dxa"/>
                  <w:vAlign w:val="center"/>
                </w:tcPr>
                <w:p w14:paraId="6282C580">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122" w:type="dxa"/>
                  <w:vAlign w:val="center"/>
                </w:tcPr>
                <w:p w14:paraId="53DAF9AC">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2955" w:type="dxa"/>
                  <w:gridSpan w:val="2"/>
                  <w:vAlign w:val="center"/>
                </w:tcPr>
                <w:p w14:paraId="0D36D91B">
                  <w:pPr>
                    <w:jc w:val="center"/>
                    <w:rPr>
                      <w:color w:val="auto"/>
                      <w:sz w:val="21"/>
                      <w:szCs w:val="21"/>
                      <w:highlight w:val="none"/>
                    </w:rPr>
                  </w:pPr>
                  <w:r>
                    <w:rPr>
                      <w:rFonts w:hint="eastAsia"/>
                      <w:color w:val="auto"/>
                      <w:sz w:val="21"/>
                      <w:szCs w:val="21"/>
                      <w:highlight w:val="none"/>
                    </w:rPr>
                    <w:t>0</w:t>
                  </w:r>
                </w:p>
              </w:tc>
            </w:tr>
            <w:tr w14:paraId="0EB030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547B2B17">
                  <w:pPr>
                    <w:jc w:val="center"/>
                    <w:rPr>
                      <w:color w:val="auto"/>
                      <w:sz w:val="21"/>
                      <w:szCs w:val="21"/>
                      <w:highlight w:val="none"/>
                    </w:rPr>
                  </w:pPr>
                </w:p>
              </w:tc>
              <w:tc>
                <w:tcPr>
                  <w:tcW w:w="721" w:type="dxa"/>
                  <w:vMerge w:val="restart"/>
                  <w:vAlign w:val="center"/>
                </w:tcPr>
                <w:p w14:paraId="662B209C">
                  <w:pPr>
                    <w:jc w:val="center"/>
                    <w:rPr>
                      <w:color w:val="auto"/>
                      <w:sz w:val="21"/>
                      <w:szCs w:val="21"/>
                      <w:highlight w:val="none"/>
                    </w:rPr>
                  </w:pPr>
                  <w:r>
                    <w:rPr>
                      <w:color w:val="auto"/>
                      <w:sz w:val="21"/>
                      <w:szCs w:val="21"/>
                      <w:highlight w:val="none"/>
                    </w:rPr>
                    <w:t>危险固废</w:t>
                  </w:r>
                </w:p>
              </w:tc>
              <w:tc>
                <w:tcPr>
                  <w:tcW w:w="1260" w:type="dxa"/>
                  <w:vAlign w:val="center"/>
                </w:tcPr>
                <w:p w14:paraId="7AABA37F">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槽渣</w:t>
                  </w:r>
                </w:p>
              </w:tc>
              <w:tc>
                <w:tcPr>
                  <w:tcW w:w="1367" w:type="dxa"/>
                  <w:vAlign w:val="center"/>
                </w:tcPr>
                <w:p w14:paraId="0E087A69">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w:t>
                  </w:r>
                </w:p>
              </w:tc>
              <w:tc>
                <w:tcPr>
                  <w:tcW w:w="1122" w:type="dxa"/>
                  <w:vAlign w:val="center"/>
                </w:tcPr>
                <w:p w14:paraId="5D3A5A30">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w:t>
                  </w:r>
                </w:p>
              </w:tc>
              <w:tc>
                <w:tcPr>
                  <w:tcW w:w="2955" w:type="dxa"/>
                  <w:gridSpan w:val="2"/>
                  <w:vAlign w:val="center"/>
                </w:tcPr>
                <w:p w14:paraId="11FFE9E4">
                  <w:pPr>
                    <w:jc w:val="center"/>
                    <w:rPr>
                      <w:color w:val="auto"/>
                      <w:sz w:val="21"/>
                      <w:szCs w:val="21"/>
                      <w:highlight w:val="none"/>
                    </w:rPr>
                  </w:pPr>
                  <w:r>
                    <w:rPr>
                      <w:color w:val="auto"/>
                      <w:sz w:val="21"/>
                      <w:szCs w:val="21"/>
                      <w:highlight w:val="none"/>
                    </w:rPr>
                    <w:t>0</w:t>
                  </w:r>
                </w:p>
              </w:tc>
            </w:tr>
            <w:tr w14:paraId="0455B8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26C6C524">
                  <w:pPr>
                    <w:jc w:val="center"/>
                    <w:rPr>
                      <w:color w:val="auto"/>
                      <w:sz w:val="21"/>
                      <w:szCs w:val="21"/>
                      <w:highlight w:val="none"/>
                    </w:rPr>
                  </w:pPr>
                </w:p>
              </w:tc>
              <w:tc>
                <w:tcPr>
                  <w:tcW w:w="721" w:type="dxa"/>
                  <w:vMerge w:val="continue"/>
                  <w:vAlign w:val="center"/>
                </w:tcPr>
                <w:p w14:paraId="2091F33E">
                  <w:pPr>
                    <w:jc w:val="center"/>
                    <w:rPr>
                      <w:color w:val="auto"/>
                      <w:sz w:val="21"/>
                      <w:szCs w:val="21"/>
                      <w:highlight w:val="none"/>
                    </w:rPr>
                  </w:pPr>
                </w:p>
              </w:tc>
              <w:tc>
                <w:tcPr>
                  <w:tcW w:w="1260" w:type="dxa"/>
                  <w:vAlign w:val="center"/>
                </w:tcPr>
                <w:p w14:paraId="1A2A532E">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废布袋</w:t>
                  </w:r>
                </w:p>
              </w:tc>
              <w:tc>
                <w:tcPr>
                  <w:tcW w:w="1367" w:type="dxa"/>
                  <w:vAlign w:val="center"/>
                </w:tcPr>
                <w:p w14:paraId="31F0274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1122" w:type="dxa"/>
                  <w:vAlign w:val="center"/>
                </w:tcPr>
                <w:p w14:paraId="45DD3C0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2955" w:type="dxa"/>
                  <w:gridSpan w:val="2"/>
                  <w:vAlign w:val="center"/>
                </w:tcPr>
                <w:p w14:paraId="57BE3CE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w:t>
                  </w:r>
                </w:p>
              </w:tc>
            </w:tr>
            <w:tr w14:paraId="797681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2F953530">
                  <w:pPr>
                    <w:jc w:val="center"/>
                    <w:rPr>
                      <w:color w:val="auto"/>
                      <w:sz w:val="21"/>
                      <w:szCs w:val="21"/>
                      <w:highlight w:val="none"/>
                    </w:rPr>
                  </w:pPr>
                </w:p>
              </w:tc>
              <w:tc>
                <w:tcPr>
                  <w:tcW w:w="721" w:type="dxa"/>
                  <w:vMerge w:val="continue"/>
                  <w:vAlign w:val="center"/>
                </w:tcPr>
                <w:p w14:paraId="503D5AF6">
                  <w:pPr>
                    <w:jc w:val="center"/>
                    <w:rPr>
                      <w:color w:val="auto"/>
                      <w:sz w:val="21"/>
                      <w:szCs w:val="21"/>
                      <w:highlight w:val="none"/>
                    </w:rPr>
                  </w:pPr>
                </w:p>
              </w:tc>
              <w:tc>
                <w:tcPr>
                  <w:tcW w:w="1260" w:type="dxa"/>
                  <w:vAlign w:val="center"/>
                </w:tcPr>
                <w:p w14:paraId="137F07AD">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rPr>
                    <w:t>废活性炭</w:t>
                  </w:r>
                </w:p>
              </w:tc>
              <w:tc>
                <w:tcPr>
                  <w:tcW w:w="1367" w:type="dxa"/>
                  <w:vAlign w:val="center"/>
                </w:tcPr>
                <w:p w14:paraId="7709639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4.2369</w:t>
                  </w:r>
                </w:p>
              </w:tc>
              <w:tc>
                <w:tcPr>
                  <w:tcW w:w="1122" w:type="dxa"/>
                  <w:vAlign w:val="center"/>
                </w:tcPr>
                <w:p w14:paraId="412E40E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4.2369</w:t>
                  </w:r>
                </w:p>
              </w:tc>
              <w:tc>
                <w:tcPr>
                  <w:tcW w:w="2955" w:type="dxa"/>
                  <w:gridSpan w:val="2"/>
                  <w:vAlign w:val="center"/>
                </w:tcPr>
                <w:p w14:paraId="320C45EA">
                  <w:pPr>
                    <w:jc w:val="center"/>
                    <w:rPr>
                      <w:color w:val="auto"/>
                      <w:sz w:val="21"/>
                      <w:szCs w:val="21"/>
                      <w:highlight w:val="none"/>
                    </w:rPr>
                  </w:pPr>
                  <w:r>
                    <w:rPr>
                      <w:rFonts w:hint="eastAsia"/>
                      <w:color w:val="auto"/>
                      <w:sz w:val="21"/>
                      <w:szCs w:val="21"/>
                      <w:highlight w:val="none"/>
                    </w:rPr>
                    <w:t>0</w:t>
                  </w:r>
                </w:p>
              </w:tc>
            </w:tr>
            <w:tr w14:paraId="117767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23BF9106">
                  <w:pPr>
                    <w:jc w:val="center"/>
                    <w:rPr>
                      <w:color w:val="auto"/>
                      <w:sz w:val="21"/>
                      <w:szCs w:val="21"/>
                      <w:highlight w:val="none"/>
                    </w:rPr>
                  </w:pPr>
                </w:p>
              </w:tc>
              <w:tc>
                <w:tcPr>
                  <w:tcW w:w="721" w:type="dxa"/>
                  <w:vMerge w:val="continue"/>
                  <w:vAlign w:val="center"/>
                </w:tcPr>
                <w:p w14:paraId="46B08E14">
                  <w:pPr>
                    <w:jc w:val="center"/>
                    <w:rPr>
                      <w:color w:val="auto"/>
                      <w:sz w:val="21"/>
                      <w:szCs w:val="21"/>
                      <w:highlight w:val="none"/>
                    </w:rPr>
                  </w:pPr>
                </w:p>
              </w:tc>
              <w:tc>
                <w:tcPr>
                  <w:tcW w:w="0" w:type="auto"/>
                  <w:vAlign w:val="center"/>
                </w:tcPr>
                <w:p w14:paraId="75C99A43">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rPr>
                    <w:t>污泥</w:t>
                  </w:r>
                </w:p>
              </w:tc>
              <w:tc>
                <w:tcPr>
                  <w:tcW w:w="0" w:type="auto"/>
                  <w:vAlign w:val="center"/>
                </w:tcPr>
                <w:p w14:paraId="5830DC21">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0" w:type="auto"/>
                  <w:vAlign w:val="center"/>
                </w:tcPr>
                <w:p w14:paraId="45EA564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0" w:type="auto"/>
                  <w:gridSpan w:val="2"/>
                  <w:vAlign w:val="center"/>
                </w:tcPr>
                <w:p w14:paraId="478D3AC5">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14:paraId="4E28C0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49" w:type="dxa"/>
                  <w:vMerge w:val="continue"/>
                  <w:vAlign w:val="center"/>
                </w:tcPr>
                <w:p w14:paraId="5D125A8E">
                  <w:pPr>
                    <w:jc w:val="center"/>
                    <w:rPr>
                      <w:color w:val="auto"/>
                      <w:sz w:val="21"/>
                      <w:szCs w:val="21"/>
                      <w:highlight w:val="none"/>
                    </w:rPr>
                  </w:pPr>
                </w:p>
              </w:tc>
              <w:tc>
                <w:tcPr>
                  <w:tcW w:w="721" w:type="dxa"/>
                  <w:vMerge w:val="continue"/>
                  <w:vAlign w:val="center"/>
                </w:tcPr>
                <w:p w14:paraId="4BE35C4F">
                  <w:pPr>
                    <w:jc w:val="center"/>
                    <w:rPr>
                      <w:color w:val="auto"/>
                      <w:sz w:val="21"/>
                      <w:szCs w:val="21"/>
                      <w:highlight w:val="none"/>
                    </w:rPr>
                  </w:pPr>
                </w:p>
              </w:tc>
              <w:tc>
                <w:tcPr>
                  <w:tcW w:w="0" w:type="auto"/>
                  <w:vAlign w:val="center"/>
                </w:tcPr>
                <w:p w14:paraId="45A344F5">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废油</w:t>
                  </w:r>
                </w:p>
              </w:tc>
              <w:tc>
                <w:tcPr>
                  <w:tcW w:w="0" w:type="auto"/>
                  <w:vAlign w:val="center"/>
                </w:tcPr>
                <w:p w14:paraId="289C1339">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0" w:type="auto"/>
                  <w:vAlign w:val="center"/>
                </w:tcPr>
                <w:p w14:paraId="1D727EE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0" w:type="auto"/>
                  <w:gridSpan w:val="2"/>
                  <w:vAlign w:val="center"/>
                </w:tcPr>
                <w:p w14:paraId="00D1BDBC">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bl>
          <w:p w14:paraId="57D59E53">
            <w:pPr>
              <w:keepNext w:val="0"/>
              <w:keepLines w:val="0"/>
              <w:pageBreakBefore w:val="0"/>
              <w:widowControl w:val="0"/>
              <w:kinsoku/>
              <w:wordWrap/>
              <w:overflowPunct/>
              <w:topLinePunct/>
              <w:autoSpaceDE/>
              <w:autoSpaceDN/>
              <w:bidi w:val="0"/>
              <w:adjustRightInd w:val="0"/>
              <w:snapToGrid/>
              <w:spacing w:before="157" w:beforeLines="50" w:line="240" w:lineRule="auto"/>
              <w:ind w:firstLine="482"/>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 xml:space="preserve">12 </w:t>
            </w:r>
            <w:r>
              <w:rPr>
                <w:rFonts w:hint="default" w:ascii="Times New Roman" w:hAnsi="Times New Roman" w:cs="Times New Roman"/>
                <w:b/>
                <w:bCs/>
                <w:color w:val="auto"/>
                <w:sz w:val="21"/>
                <w:szCs w:val="21"/>
                <w:highlight w:val="none"/>
              </w:rPr>
              <w:t>项目建成后后全厂污染物总量控制指标</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0" w:type="dxa"/>
                <w:bottom w:w="28" w:type="dxa"/>
                <w:right w:w="0" w:type="dxa"/>
              </w:tblCellMar>
            </w:tblPr>
            <w:tblGrid>
              <w:gridCol w:w="456"/>
              <w:gridCol w:w="731"/>
              <w:gridCol w:w="1090"/>
              <w:gridCol w:w="857"/>
              <w:gridCol w:w="972"/>
              <w:gridCol w:w="972"/>
              <w:gridCol w:w="745"/>
              <w:gridCol w:w="972"/>
              <w:gridCol w:w="1179"/>
            </w:tblGrid>
            <w:tr w14:paraId="36ED9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tblHeader/>
                <w:jc w:val="center"/>
              </w:trPr>
              <w:tc>
                <w:tcPr>
                  <w:tcW w:w="744" w:type="pct"/>
                  <w:gridSpan w:val="2"/>
                  <w:noWrap w:val="0"/>
                  <w:vAlign w:val="center"/>
                </w:tcPr>
                <w:p w14:paraId="5006D71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种类</w:t>
                  </w:r>
                </w:p>
              </w:tc>
              <w:tc>
                <w:tcPr>
                  <w:tcW w:w="683" w:type="pct"/>
                  <w:noWrap w:val="0"/>
                  <w:vAlign w:val="center"/>
                </w:tcPr>
                <w:p w14:paraId="3D318A4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537" w:type="pct"/>
                  <w:noWrap w:val="0"/>
                  <w:vAlign w:val="center"/>
                </w:tcPr>
                <w:p w14:paraId="79403CA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现有项目排放量t/a</w:t>
                  </w:r>
                </w:p>
              </w:tc>
              <w:tc>
                <w:tcPr>
                  <w:tcW w:w="609" w:type="pct"/>
                  <w:noWrap w:val="0"/>
                  <w:vAlign w:val="center"/>
                </w:tcPr>
                <w:p w14:paraId="281BB68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现有项目许可排放量t/a</w:t>
                  </w:r>
                </w:p>
              </w:tc>
              <w:tc>
                <w:tcPr>
                  <w:tcW w:w="609" w:type="pct"/>
                  <w:noWrap w:val="0"/>
                  <w:vAlign w:val="center"/>
                </w:tcPr>
                <w:p w14:paraId="2FCEA7B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本项目排放量t/a</w:t>
                  </w:r>
                </w:p>
              </w:tc>
              <w:tc>
                <w:tcPr>
                  <w:tcW w:w="467" w:type="pct"/>
                  <w:noWrap w:val="0"/>
                  <w:vAlign w:val="center"/>
                </w:tcPr>
                <w:p w14:paraId="26F8181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以新带老削减量</w:t>
                  </w:r>
                </w:p>
              </w:tc>
              <w:tc>
                <w:tcPr>
                  <w:tcW w:w="609" w:type="pct"/>
                  <w:noWrap w:val="0"/>
                  <w:vAlign w:val="center"/>
                </w:tcPr>
                <w:p w14:paraId="43510F9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本项目建成后</w:t>
                  </w:r>
                  <w:r>
                    <w:rPr>
                      <w:rFonts w:hint="eastAsia" w:cs="Times New Roman"/>
                      <w:color w:val="auto"/>
                      <w:sz w:val="21"/>
                      <w:szCs w:val="21"/>
                      <w:highlight w:val="none"/>
                      <w:lang w:val="en-US" w:eastAsia="zh-CN"/>
                    </w:rPr>
                    <w:t>全厂</w:t>
                  </w:r>
                  <w:r>
                    <w:rPr>
                      <w:rFonts w:hint="default" w:ascii="Times New Roman" w:hAnsi="Times New Roman" w:cs="Times New Roman"/>
                      <w:color w:val="auto"/>
                      <w:sz w:val="21"/>
                      <w:szCs w:val="21"/>
                      <w:highlight w:val="none"/>
                    </w:rPr>
                    <w:t>排放量t/a</w:t>
                  </w:r>
                </w:p>
              </w:tc>
              <w:tc>
                <w:tcPr>
                  <w:tcW w:w="739" w:type="pct"/>
                  <w:noWrap w:val="0"/>
                  <w:vAlign w:val="center"/>
                </w:tcPr>
                <w:p w14:paraId="396F1963">
                  <w:pPr>
                    <w:adjustRightInd w:val="0"/>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本次需申请总</w:t>
                  </w:r>
                  <w:r>
                    <w:rPr>
                      <w:rFonts w:hint="default" w:ascii="Times New Roman" w:hAnsi="Times New Roman" w:cs="Times New Roman"/>
                      <w:color w:val="auto"/>
                      <w:sz w:val="21"/>
                      <w:szCs w:val="21"/>
                      <w:highlight w:val="none"/>
                    </w:rPr>
                    <w:t>量t/a</w:t>
                  </w:r>
                </w:p>
              </w:tc>
            </w:tr>
            <w:tr w14:paraId="02B54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tblHeader/>
                <w:jc w:val="center"/>
              </w:trPr>
              <w:tc>
                <w:tcPr>
                  <w:tcW w:w="285" w:type="pct"/>
                  <w:vMerge w:val="restart"/>
                  <w:noWrap w:val="0"/>
                  <w:vAlign w:val="center"/>
                </w:tcPr>
                <w:p w14:paraId="5EF006C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458" w:type="pct"/>
                  <w:vMerge w:val="restart"/>
                  <w:noWrap w:val="0"/>
                  <w:vAlign w:val="center"/>
                </w:tcPr>
                <w:p w14:paraId="0E3296D5">
                  <w:pPr>
                    <w:pStyle w:val="57"/>
                    <w:spacing w:beforeLines="0" w:afterLines="0" w:line="240" w:lineRule="auto"/>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有组织</w:t>
                  </w:r>
                </w:p>
              </w:tc>
              <w:tc>
                <w:tcPr>
                  <w:tcW w:w="683" w:type="pct"/>
                  <w:noWrap w:val="0"/>
                  <w:vAlign w:val="center"/>
                </w:tcPr>
                <w:p w14:paraId="3F955D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w:t>
                  </w:r>
                </w:p>
              </w:tc>
              <w:tc>
                <w:tcPr>
                  <w:tcW w:w="537" w:type="pct"/>
                  <w:noWrap w:val="0"/>
                  <w:vAlign w:val="center"/>
                </w:tcPr>
                <w:p w14:paraId="58EF4BA5">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1.0761</w:t>
                  </w:r>
                </w:p>
              </w:tc>
              <w:tc>
                <w:tcPr>
                  <w:tcW w:w="609" w:type="pct"/>
                  <w:noWrap w:val="0"/>
                  <w:vAlign w:val="center"/>
                </w:tcPr>
                <w:p w14:paraId="268C9286">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1.0761</w:t>
                  </w:r>
                </w:p>
              </w:tc>
              <w:tc>
                <w:tcPr>
                  <w:tcW w:w="609" w:type="pct"/>
                  <w:noWrap w:val="0"/>
                  <w:vAlign w:val="center"/>
                </w:tcPr>
                <w:p w14:paraId="0DBEA622">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0.0286</w:t>
                  </w:r>
                </w:p>
              </w:tc>
              <w:tc>
                <w:tcPr>
                  <w:tcW w:w="467" w:type="pct"/>
                  <w:noWrap w:val="0"/>
                  <w:vAlign w:val="center"/>
                </w:tcPr>
                <w:p w14:paraId="20448F57">
                  <w:pPr>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609" w:type="pct"/>
                  <w:noWrap w:val="0"/>
                  <w:vAlign w:val="center"/>
                </w:tcPr>
                <w:p w14:paraId="32FA8D9F">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bidi="ar-SA"/>
                    </w:rPr>
                  </w:pPr>
                  <w:r>
                    <w:rPr>
                      <w:rFonts w:hint="eastAsia" w:cs="Times New Roman"/>
                      <w:i w:val="0"/>
                      <w:iCs w:val="0"/>
                      <w:color w:val="auto"/>
                      <w:kern w:val="0"/>
                      <w:sz w:val="21"/>
                      <w:szCs w:val="21"/>
                      <w:u w:val="none"/>
                      <w:lang w:val="en-US" w:eastAsia="zh-CN" w:bidi="ar"/>
                    </w:rPr>
                    <w:t>1.1047</w:t>
                  </w:r>
                </w:p>
              </w:tc>
              <w:tc>
                <w:tcPr>
                  <w:tcW w:w="739" w:type="pct"/>
                  <w:noWrap w:val="0"/>
                  <w:vAlign w:val="center"/>
                </w:tcPr>
                <w:p w14:paraId="0CE1D2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0286</w:t>
                  </w:r>
                </w:p>
              </w:tc>
            </w:tr>
            <w:tr w14:paraId="0CBA1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tblHeader/>
                <w:jc w:val="center"/>
              </w:trPr>
              <w:tc>
                <w:tcPr>
                  <w:tcW w:w="285" w:type="pct"/>
                  <w:vMerge w:val="continue"/>
                  <w:noWrap w:val="0"/>
                  <w:vAlign w:val="center"/>
                </w:tcPr>
                <w:p w14:paraId="440DFE28">
                  <w:pPr>
                    <w:adjustRightInd w:val="0"/>
                    <w:snapToGrid w:val="0"/>
                    <w:jc w:val="center"/>
                    <w:rPr>
                      <w:rFonts w:hint="default" w:ascii="Times New Roman" w:hAnsi="Times New Roman" w:cs="Times New Roman"/>
                      <w:color w:val="auto"/>
                      <w:sz w:val="21"/>
                      <w:szCs w:val="21"/>
                      <w:highlight w:val="none"/>
                    </w:rPr>
                  </w:pPr>
                </w:p>
              </w:tc>
              <w:tc>
                <w:tcPr>
                  <w:tcW w:w="458" w:type="pct"/>
                  <w:vMerge w:val="continue"/>
                  <w:noWrap w:val="0"/>
                  <w:vAlign w:val="center"/>
                </w:tcPr>
                <w:p w14:paraId="3BFDBD83">
                  <w:pPr>
                    <w:pStyle w:val="57"/>
                    <w:spacing w:beforeLines="0" w:afterLines="0" w:line="240" w:lineRule="auto"/>
                    <w:rPr>
                      <w:rFonts w:hint="default" w:ascii="Times New Roman" w:hAnsi="Times New Roman" w:cs="Times New Roman"/>
                      <w:b w:val="0"/>
                      <w:bCs w:val="0"/>
                      <w:color w:val="auto"/>
                      <w:kern w:val="2"/>
                      <w:sz w:val="21"/>
                      <w:szCs w:val="21"/>
                      <w:highlight w:val="none"/>
                      <w:lang w:val="en-US" w:eastAsia="zh-CN"/>
                    </w:rPr>
                  </w:pPr>
                </w:p>
              </w:tc>
              <w:tc>
                <w:tcPr>
                  <w:tcW w:w="683" w:type="pct"/>
                  <w:noWrap w:val="0"/>
                  <w:vAlign w:val="center"/>
                </w:tcPr>
                <w:p w14:paraId="24BED20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537" w:type="pct"/>
                  <w:noWrap w:val="0"/>
                  <w:vAlign w:val="center"/>
                </w:tcPr>
                <w:p w14:paraId="3FA8D7CE">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0.216</w:t>
                  </w:r>
                </w:p>
              </w:tc>
              <w:tc>
                <w:tcPr>
                  <w:tcW w:w="609" w:type="pct"/>
                  <w:noWrap w:val="0"/>
                  <w:vAlign w:val="center"/>
                </w:tcPr>
                <w:p w14:paraId="37567E01">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0.216</w:t>
                  </w:r>
                </w:p>
              </w:tc>
              <w:tc>
                <w:tcPr>
                  <w:tcW w:w="609" w:type="pct"/>
                  <w:noWrap w:val="0"/>
                  <w:vAlign w:val="center"/>
                </w:tcPr>
                <w:p w14:paraId="2DADCDE9">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0.004</w:t>
                  </w:r>
                </w:p>
              </w:tc>
              <w:tc>
                <w:tcPr>
                  <w:tcW w:w="467" w:type="pct"/>
                  <w:noWrap w:val="0"/>
                  <w:vAlign w:val="center"/>
                </w:tcPr>
                <w:p w14:paraId="73197784">
                  <w:pPr>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609" w:type="pct"/>
                  <w:noWrap w:val="0"/>
                  <w:vAlign w:val="center"/>
                </w:tcPr>
                <w:p w14:paraId="78189BB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739" w:type="pct"/>
                  <w:noWrap w:val="0"/>
                  <w:vAlign w:val="center"/>
                </w:tcPr>
                <w:p w14:paraId="3A084BF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0.004</w:t>
                  </w:r>
                </w:p>
              </w:tc>
            </w:tr>
            <w:tr w14:paraId="5CBCE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tblHeader/>
                <w:jc w:val="center"/>
              </w:trPr>
              <w:tc>
                <w:tcPr>
                  <w:tcW w:w="285" w:type="pct"/>
                  <w:vMerge w:val="continue"/>
                  <w:noWrap w:val="0"/>
                  <w:vAlign w:val="center"/>
                </w:tcPr>
                <w:p w14:paraId="061AD7E8">
                  <w:pPr>
                    <w:adjustRightInd w:val="0"/>
                    <w:snapToGrid w:val="0"/>
                    <w:jc w:val="center"/>
                    <w:rPr>
                      <w:rFonts w:hint="default" w:ascii="Times New Roman" w:hAnsi="Times New Roman" w:cs="Times New Roman"/>
                      <w:color w:val="auto"/>
                      <w:sz w:val="21"/>
                      <w:szCs w:val="21"/>
                      <w:highlight w:val="none"/>
                    </w:rPr>
                  </w:pPr>
                </w:p>
              </w:tc>
              <w:tc>
                <w:tcPr>
                  <w:tcW w:w="458" w:type="pct"/>
                  <w:vMerge w:val="continue"/>
                  <w:noWrap w:val="0"/>
                  <w:vAlign w:val="center"/>
                </w:tcPr>
                <w:p w14:paraId="3491B401">
                  <w:pPr>
                    <w:pStyle w:val="57"/>
                    <w:spacing w:beforeLines="0" w:afterLines="0" w:line="240" w:lineRule="auto"/>
                    <w:rPr>
                      <w:rFonts w:hint="default" w:ascii="Times New Roman" w:hAnsi="Times New Roman" w:cs="Times New Roman"/>
                      <w:b w:val="0"/>
                      <w:bCs w:val="0"/>
                      <w:color w:val="auto"/>
                      <w:kern w:val="2"/>
                      <w:sz w:val="21"/>
                      <w:szCs w:val="21"/>
                      <w:highlight w:val="none"/>
                      <w:lang w:val="en-US" w:eastAsia="zh-CN"/>
                    </w:rPr>
                  </w:pPr>
                </w:p>
              </w:tc>
              <w:tc>
                <w:tcPr>
                  <w:tcW w:w="683" w:type="pct"/>
                  <w:noWrap w:val="0"/>
                  <w:vAlign w:val="center"/>
                </w:tcPr>
                <w:p w14:paraId="6B11AE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537" w:type="pct"/>
                  <w:noWrap w:val="0"/>
                  <w:vAlign w:val="center"/>
                </w:tcPr>
                <w:p w14:paraId="7D35EDAC">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0.6577</w:t>
                  </w:r>
                </w:p>
              </w:tc>
              <w:tc>
                <w:tcPr>
                  <w:tcW w:w="609" w:type="pct"/>
                  <w:noWrap w:val="0"/>
                  <w:vAlign w:val="center"/>
                </w:tcPr>
                <w:p w14:paraId="3770B9C7">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0.6577</w:t>
                  </w:r>
                </w:p>
              </w:tc>
              <w:tc>
                <w:tcPr>
                  <w:tcW w:w="609" w:type="pct"/>
                  <w:noWrap w:val="0"/>
                  <w:vAlign w:val="center"/>
                </w:tcPr>
                <w:p w14:paraId="19D108C0">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0.0935</w:t>
                  </w:r>
                </w:p>
              </w:tc>
              <w:tc>
                <w:tcPr>
                  <w:tcW w:w="467" w:type="pct"/>
                  <w:noWrap w:val="0"/>
                  <w:vAlign w:val="center"/>
                </w:tcPr>
                <w:p w14:paraId="45F48DDF">
                  <w:pPr>
                    <w:jc w:val="center"/>
                    <w:rPr>
                      <w:rFonts w:hint="eastAsia"/>
                      <w:color w:val="auto"/>
                      <w:kern w:val="0"/>
                      <w:sz w:val="21"/>
                      <w:szCs w:val="21"/>
                      <w:highlight w:val="none"/>
                      <w:lang w:val="en-US" w:eastAsia="zh-CN" w:bidi="ar"/>
                    </w:rPr>
                  </w:pPr>
                </w:p>
              </w:tc>
              <w:tc>
                <w:tcPr>
                  <w:tcW w:w="609" w:type="pct"/>
                  <w:noWrap w:val="0"/>
                  <w:vAlign w:val="center"/>
                </w:tcPr>
                <w:p w14:paraId="32F567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0.7512</w:t>
                  </w:r>
                </w:p>
              </w:tc>
              <w:tc>
                <w:tcPr>
                  <w:tcW w:w="739" w:type="pct"/>
                  <w:noWrap w:val="0"/>
                  <w:vAlign w:val="center"/>
                </w:tcPr>
                <w:p w14:paraId="130343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0.0935</w:t>
                  </w:r>
                </w:p>
              </w:tc>
            </w:tr>
            <w:tr w14:paraId="3B9DD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tblHeader/>
                <w:jc w:val="center"/>
              </w:trPr>
              <w:tc>
                <w:tcPr>
                  <w:tcW w:w="285" w:type="pct"/>
                  <w:vMerge w:val="continue"/>
                  <w:noWrap w:val="0"/>
                  <w:vAlign w:val="center"/>
                </w:tcPr>
                <w:p w14:paraId="53052CAB">
                  <w:pPr>
                    <w:adjustRightInd w:val="0"/>
                    <w:snapToGrid w:val="0"/>
                    <w:jc w:val="center"/>
                    <w:rPr>
                      <w:rFonts w:hint="default" w:ascii="Times New Roman" w:hAnsi="Times New Roman" w:cs="Times New Roman"/>
                      <w:color w:val="auto"/>
                      <w:sz w:val="21"/>
                      <w:szCs w:val="21"/>
                      <w:highlight w:val="none"/>
                    </w:rPr>
                  </w:pPr>
                </w:p>
              </w:tc>
              <w:tc>
                <w:tcPr>
                  <w:tcW w:w="458" w:type="pct"/>
                  <w:vMerge w:val="continue"/>
                  <w:noWrap w:val="0"/>
                  <w:vAlign w:val="center"/>
                </w:tcPr>
                <w:p w14:paraId="12A7384E">
                  <w:pPr>
                    <w:pStyle w:val="57"/>
                    <w:spacing w:beforeLines="0" w:afterLines="0" w:line="240" w:lineRule="auto"/>
                    <w:rPr>
                      <w:rFonts w:hint="default" w:ascii="Times New Roman" w:hAnsi="Times New Roman" w:cs="Times New Roman"/>
                      <w:b w:val="0"/>
                      <w:bCs w:val="0"/>
                      <w:color w:val="auto"/>
                      <w:kern w:val="2"/>
                      <w:sz w:val="21"/>
                      <w:szCs w:val="21"/>
                      <w:highlight w:val="none"/>
                      <w:lang w:val="en-US" w:eastAsia="zh-CN"/>
                    </w:rPr>
                  </w:pPr>
                </w:p>
              </w:tc>
              <w:tc>
                <w:tcPr>
                  <w:tcW w:w="683" w:type="pct"/>
                  <w:noWrap w:val="0"/>
                  <w:vAlign w:val="center"/>
                </w:tcPr>
                <w:p w14:paraId="34B89C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Style w:val="129"/>
                      <w:color w:val="auto"/>
                      <w:sz w:val="21"/>
                      <w:szCs w:val="21"/>
                      <w:lang w:val="en-US" w:eastAsia="zh-CN" w:bidi="ar"/>
                    </w:rPr>
                    <w:t>氯化氢</w:t>
                  </w:r>
                </w:p>
              </w:tc>
              <w:tc>
                <w:tcPr>
                  <w:tcW w:w="537" w:type="pct"/>
                  <w:noWrap w:val="0"/>
                  <w:vAlign w:val="center"/>
                </w:tcPr>
                <w:p w14:paraId="2189E276">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0.53</w:t>
                  </w:r>
                </w:p>
              </w:tc>
              <w:tc>
                <w:tcPr>
                  <w:tcW w:w="609" w:type="pct"/>
                  <w:noWrap w:val="0"/>
                  <w:vAlign w:val="center"/>
                </w:tcPr>
                <w:p w14:paraId="37AD9C12">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0.53</w:t>
                  </w:r>
                </w:p>
              </w:tc>
              <w:tc>
                <w:tcPr>
                  <w:tcW w:w="609" w:type="pct"/>
                  <w:noWrap w:val="0"/>
                  <w:vAlign w:val="center"/>
                </w:tcPr>
                <w:p w14:paraId="11A039CF">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67" w:type="pct"/>
                  <w:noWrap w:val="0"/>
                  <w:vAlign w:val="center"/>
                </w:tcPr>
                <w:p w14:paraId="102B9D69">
                  <w:pPr>
                    <w:jc w:val="center"/>
                    <w:rPr>
                      <w:rFonts w:hint="eastAsia"/>
                      <w:color w:val="auto"/>
                      <w:kern w:val="0"/>
                      <w:sz w:val="21"/>
                      <w:szCs w:val="21"/>
                      <w:highlight w:val="none"/>
                      <w:lang w:val="en-US" w:eastAsia="zh-CN" w:bidi="ar"/>
                    </w:rPr>
                  </w:pPr>
                </w:p>
              </w:tc>
              <w:tc>
                <w:tcPr>
                  <w:tcW w:w="609" w:type="pct"/>
                  <w:noWrap w:val="0"/>
                  <w:vAlign w:val="center"/>
                </w:tcPr>
                <w:p w14:paraId="6FA502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0.53</w:t>
                  </w:r>
                </w:p>
              </w:tc>
              <w:tc>
                <w:tcPr>
                  <w:tcW w:w="739" w:type="pct"/>
                  <w:noWrap w:val="0"/>
                  <w:vAlign w:val="center"/>
                </w:tcPr>
                <w:p w14:paraId="668669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p>
              </w:tc>
            </w:tr>
            <w:tr w14:paraId="5BCBE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tblHeader/>
                <w:jc w:val="center"/>
              </w:trPr>
              <w:tc>
                <w:tcPr>
                  <w:tcW w:w="285" w:type="pct"/>
                  <w:vMerge w:val="continue"/>
                  <w:noWrap w:val="0"/>
                  <w:vAlign w:val="center"/>
                </w:tcPr>
                <w:p w14:paraId="76C76F4B">
                  <w:pPr>
                    <w:adjustRightInd w:val="0"/>
                    <w:snapToGrid w:val="0"/>
                    <w:jc w:val="center"/>
                    <w:rPr>
                      <w:rFonts w:hint="default" w:ascii="Times New Roman" w:hAnsi="Times New Roman" w:cs="Times New Roman"/>
                      <w:color w:val="auto"/>
                      <w:sz w:val="21"/>
                      <w:szCs w:val="21"/>
                      <w:highlight w:val="none"/>
                    </w:rPr>
                  </w:pPr>
                </w:p>
              </w:tc>
              <w:tc>
                <w:tcPr>
                  <w:tcW w:w="458" w:type="pct"/>
                  <w:vMerge w:val="continue"/>
                  <w:noWrap w:val="0"/>
                  <w:vAlign w:val="center"/>
                </w:tcPr>
                <w:p w14:paraId="3927AE51">
                  <w:pPr>
                    <w:pStyle w:val="57"/>
                    <w:spacing w:beforeLines="0" w:afterLines="0" w:line="240" w:lineRule="auto"/>
                    <w:rPr>
                      <w:rFonts w:hint="default" w:ascii="Times New Roman" w:hAnsi="Times New Roman" w:cs="Times New Roman"/>
                      <w:b w:val="0"/>
                      <w:bCs w:val="0"/>
                      <w:color w:val="auto"/>
                      <w:kern w:val="2"/>
                      <w:sz w:val="21"/>
                      <w:szCs w:val="21"/>
                      <w:highlight w:val="none"/>
                      <w:lang w:val="en-US" w:eastAsia="zh-CN"/>
                    </w:rPr>
                  </w:pPr>
                </w:p>
              </w:tc>
              <w:tc>
                <w:tcPr>
                  <w:tcW w:w="683" w:type="pct"/>
                  <w:noWrap w:val="0"/>
                  <w:vAlign w:val="center"/>
                </w:tcPr>
                <w:p w14:paraId="2CC33D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537" w:type="pct"/>
                  <w:noWrap w:val="0"/>
                  <w:vAlign w:val="center"/>
                </w:tcPr>
                <w:p w14:paraId="33191039">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0.04018</w:t>
                  </w:r>
                </w:p>
              </w:tc>
              <w:tc>
                <w:tcPr>
                  <w:tcW w:w="609" w:type="pct"/>
                  <w:noWrap w:val="0"/>
                  <w:vAlign w:val="center"/>
                </w:tcPr>
                <w:p w14:paraId="7F70850E">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0.04018</w:t>
                  </w:r>
                </w:p>
              </w:tc>
              <w:tc>
                <w:tcPr>
                  <w:tcW w:w="609" w:type="pct"/>
                  <w:noWrap w:val="0"/>
                  <w:vAlign w:val="center"/>
                </w:tcPr>
                <w:p w14:paraId="36C0ECBA">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0.0041</w:t>
                  </w:r>
                </w:p>
              </w:tc>
              <w:tc>
                <w:tcPr>
                  <w:tcW w:w="467" w:type="pct"/>
                  <w:noWrap w:val="0"/>
                  <w:vAlign w:val="center"/>
                </w:tcPr>
                <w:p w14:paraId="58C1317C">
                  <w:pPr>
                    <w:jc w:val="center"/>
                    <w:rPr>
                      <w:rFonts w:hint="eastAsia"/>
                      <w:color w:val="auto"/>
                      <w:kern w:val="0"/>
                      <w:sz w:val="21"/>
                      <w:szCs w:val="21"/>
                      <w:highlight w:val="none"/>
                      <w:lang w:val="en-US" w:eastAsia="zh-CN" w:bidi="ar"/>
                    </w:rPr>
                  </w:pPr>
                </w:p>
              </w:tc>
              <w:tc>
                <w:tcPr>
                  <w:tcW w:w="609" w:type="pct"/>
                  <w:noWrap w:val="0"/>
                  <w:vAlign w:val="center"/>
                </w:tcPr>
                <w:p w14:paraId="748FB5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0.04428</w:t>
                  </w:r>
                </w:p>
              </w:tc>
              <w:tc>
                <w:tcPr>
                  <w:tcW w:w="739" w:type="pct"/>
                  <w:noWrap w:val="0"/>
                  <w:vAlign w:val="center"/>
                </w:tcPr>
                <w:p w14:paraId="23AB8B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0.0041</w:t>
                  </w:r>
                </w:p>
              </w:tc>
            </w:tr>
            <w:tr w14:paraId="2C3CC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tblHeader/>
                <w:jc w:val="center"/>
              </w:trPr>
              <w:tc>
                <w:tcPr>
                  <w:tcW w:w="285" w:type="pct"/>
                  <w:vMerge w:val="continue"/>
                  <w:noWrap w:val="0"/>
                  <w:vAlign w:val="center"/>
                </w:tcPr>
                <w:p w14:paraId="7A7BC76C">
                  <w:pPr>
                    <w:adjustRightInd w:val="0"/>
                    <w:snapToGrid w:val="0"/>
                    <w:jc w:val="center"/>
                    <w:rPr>
                      <w:rFonts w:hint="default" w:ascii="Times New Roman" w:hAnsi="Times New Roman" w:cs="Times New Roman"/>
                      <w:color w:val="auto"/>
                      <w:sz w:val="21"/>
                      <w:szCs w:val="21"/>
                      <w:highlight w:val="none"/>
                    </w:rPr>
                  </w:pPr>
                </w:p>
              </w:tc>
              <w:tc>
                <w:tcPr>
                  <w:tcW w:w="458" w:type="pct"/>
                  <w:vMerge w:val="restart"/>
                  <w:noWrap w:val="0"/>
                  <w:vAlign w:val="center"/>
                </w:tcPr>
                <w:p w14:paraId="429A5AD4">
                  <w:pPr>
                    <w:pStyle w:val="57"/>
                    <w:spacing w:beforeLines="0" w:afterLines="0" w:line="240" w:lineRule="auto"/>
                    <w:rPr>
                      <w:rFonts w:hint="default" w:ascii="Times New Roman" w:hAnsi="Times New Roman"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无组织</w:t>
                  </w:r>
                </w:p>
              </w:tc>
              <w:tc>
                <w:tcPr>
                  <w:tcW w:w="683" w:type="pct"/>
                  <w:noWrap w:val="0"/>
                  <w:vAlign w:val="center"/>
                </w:tcPr>
                <w:p w14:paraId="476D8AB1">
                  <w:pPr>
                    <w:pStyle w:val="119"/>
                    <w:widowControl w:val="0"/>
                    <w:spacing w:line="240" w:lineRule="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rPr>
                    <w:t>颗粒物</w:t>
                  </w:r>
                </w:p>
              </w:tc>
              <w:tc>
                <w:tcPr>
                  <w:tcW w:w="537" w:type="pct"/>
                  <w:noWrap w:val="0"/>
                  <w:vAlign w:val="center"/>
                </w:tcPr>
                <w:p w14:paraId="2A091B2D">
                  <w:pPr>
                    <w:pStyle w:val="119"/>
                    <w:spacing w:line="240" w:lineRule="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w:t>
                  </w:r>
                </w:p>
              </w:tc>
              <w:tc>
                <w:tcPr>
                  <w:tcW w:w="609" w:type="pct"/>
                  <w:noWrap w:val="0"/>
                  <w:vAlign w:val="center"/>
                </w:tcPr>
                <w:p w14:paraId="027D468E">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lang w:val="en-US" w:eastAsia="zh-CN"/>
                    </w:rPr>
                    <w:t>/</w:t>
                  </w:r>
                </w:p>
              </w:tc>
              <w:tc>
                <w:tcPr>
                  <w:tcW w:w="609" w:type="pct"/>
                  <w:noWrap w:val="0"/>
                  <w:vAlign w:val="center"/>
                </w:tcPr>
                <w:p w14:paraId="6B2C95E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0.162</w:t>
                  </w:r>
                </w:p>
              </w:tc>
              <w:tc>
                <w:tcPr>
                  <w:tcW w:w="467" w:type="pct"/>
                  <w:noWrap w:val="0"/>
                  <w:vAlign w:val="center"/>
                </w:tcPr>
                <w:p w14:paraId="3C166644">
                  <w:pPr>
                    <w:pStyle w:val="119"/>
                    <w:spacing w:line="240" w:lineRule="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w:t>
                  </w:r>
                </w:p>
              </w:tc>
              <w:tc>
                <w:tcPr>
                  <w:tcW w:w="609" w:type="pct"/>
                  <w:noWrap w:val="0"/>
                  <w:vAlign w:val="center"/>
                </w:tcPr>
                <w:p w14:paraId="2525A1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0.162</w:t>
                  </w:r>
                </w:p>
              </w:tc>
              <w:tc>
                <w:tcPr>
                  <w:tcW w:w="739" w:type="pct"/>
                  <w:noWrap w:val="0"/>
                  <w:vAlign w:val="center"/>
                </w:tcPr>
                <w:p w14:paraId="6B8DE5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0.162</w:t>
                  </w:r>
                </w:p>
              </w:tc>
            </w:tr>
            <w:tr w14:paraId="378A8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tblHeader/>
                <w:jc w:val="center"/>
              </w:trPr>
              <w:tc>
                <w:tcPr>
                  <w:tcW w:w="285" w:type="pct"/>
                  <w:vMerge w:val="continue"/>
                  <w:noWrap w:val="0"/>
                  <w:vAlign w:val="center"/>
                </w:tcPr>
                <w:p w14:paraId="5E821985">
                  <w:pPr>
                    <w:adjustRightInd w:val="0"/>
                    <w:snapToGrid w:val="0"/>
                    <w:jc w:val="center"/>
                    <w:rPr>
                      <w:rFonts w:hint="default" w:ascii="Times New Roman" w:hAnsi="Times New Roman" w:cs="Times New Roman"/>
                      <w:color w:val="auto"/>
                      <w:sz w:val="21"/>
                      <w:szCs w:val="21"/>
                      <w:highlight w:val="none"/>
                    </w:rPr>
                  </w:pPr>
                </w:p>
              </w:tc>
              <w:tc>
                <w:tcPr>
                  <w:tcW w:w="458" w:type="pct"/>
                  <w:vMerge w:val="continue"/>
                  <w:noWrap w:val="0"/>
                  <w:vAlign w:val="center"/>
                </w:tcPr>
                <w:p w14:paraId="5F810B72">
                  <w:pPr>
                    <w:pStyle w:val="57"/>
                    <w:spacing w:beforeLines="0" w:afterLines="0" w:line="240" w:lineRule="auto"/>
                    <w:rPr>
                      <w:rFonts w:hint="default" w:ascii="Times New Roman" w:hAnsi="Times New Roman" w:cs="Times New Roman"/>
                      <w:b w:val="0"/>
                      <w:bCs w:val="0"/>
                      <w:color w:val="auto"/>
                      <w:kern w:val="2"/>
                      <w:sz w:val="21"/>
                      <w:szCs w:val="21"/>
                      <w:highlight w:val="none"/>
                      <w:lang w:val="en-US" w:eastAsia="zh-CN"/>
                    </w:rPr>
                  </w:pPr>
                </w:p>
              </w:tc>
              <w:tc>
                <w:tcPr>
                  <w:tcW w:w="683" w:type="pct"/>
                  <w:noWrap w:val="0"/>
                  <w:vAlign w:val="center"/>
                </w:tcPr>
                <w:p w14:paraId="4573CF3A">
                  <w:pPr>
                    <w:pStyle w:val="119"/>
                    <w:widowControl w:val="0"/>
                    <w:spacing w:line="240" w:lineRule="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VOCs</w:t>
                  </w:r>
                </w:p>
              </w:tc>
              <w:tc>
                <w:tcPr>
                  <w:tcW w:w="537" w:type="pct"/>
                  <w:noWrap w:val="0"/>
                  <w:vAlign w:val="center"/>
                </w:tcPr>
                <w:p w14:paraId="0607843D">
                  <w:pPr>
                    <w:pStyle w:val="119"/>
                    <w:spacing w:line="240" w:lineRule="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w:t>
                  </w:r>
                </w:p>
              </w:tc>
              <w:tc>
                <w:tcPr>
                  <w:tcW w:w="609" w:type="pct"/>
                  <w:noWrap w:val="0"/>
                  <w:vAlign w:val="center"/>
                </w:tcPr>
                <w:p w14:paraId="590B1173">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 w:val="21"/>
                      <w:szCs w:val="21"/>
                      <w:highlight w:val="none"/>
                    </w:rPr>
                    <w:t>/</w:t>
                  </w:r>
                </w:p>
              </w:tc>
              <w:tc>
                <w:tcPr>
                  <w:tcW w:w="609" w:type="pct"/>
                  <w:noWrap w:val="0"/>
                  <w:vAlign w:val="center"/>
                </w:tcPr>
                <w:p w14:paraId="026F89A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0.0022</w:t>
                  </w:r>
                </w:p>
              </w:tc>
              <w:tc>
                <w:tcPr>
                  <w:tcW w:w="467" w:type="pct"/>
                  <w:noWrap w:val="0"/>
                  <w:vAlign w:val="center"/>
                </w:tcPr>
                <w:p w14:paraId="4E0A73D4">
                  <w:pPr>
                    <w:pStyle w:val="119"/>
                    <w:spacing w:line="240" w:lineRule="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w:t>
                  </w:r>
                </w:p>
              </w:tc>
              <w:tc>
                <w:tcPr>
                  <w:tcW w:w="609" w:type="pct"/>
                  <w:noWrap w:val="0"/>
                  <w:vAlign w:val="center"/>
                </w:tcPr>
                <w:p w14:paraId="6663A3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0.0022</w:t>
                  </w:r>
                </w:p>
              </w:tc>
              <w:tc>
                <w:tcPr>
                  <w:tcW w:w="739" w:type="pct"/>
                  <w:noWrap w:val="0"/>
                  <w:vAlign w:val="center"/>
                </w:tcPr>
                <w:p w14:paraId="4C0A2A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0.0022</w:t>
                  </w:r>
                </w:p>
              </w:tc>
            </w:tr>
            <w:tr w14:paraId="4DE37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restart"/>
                  <w:noWrap w:val="0"/>
                  <w:vAlign w:val="center"/>
                </w:tcPr>
                <w:p w14:paraId="11996DD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683" w:type="pct"/>
                  <w:noWrap w:val="0"/>
                  <w:vAlign w:val="center"/>
                </w:tcPr>
                <w:p w14:paraId="65FB44DC">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废水量m</w:t>
                  </w:r>
                  <w:r>
                    <w:rPr>
                      <w:rFonts w:hint="eastAsia"/>
                      <w:color w:val="auto"/>
                      <w:sz w:val="21"/>
                      <w:szCs w:val="21"/>
                      <w:highlight w:val="none"/>
                      <w:vertAlign w:val="superscript"/>
                    </w:rPr>
                    <w:t>3</w:t>
                  </w:r>
                  <w:r>
                    <w:rPr>
                      <w:rFonts w:hint="eastAsia"/>
                      <w:color w:val="auto"/>
                      <w:sz w:val="21"/>
                      <w:szCs w:val="21"/>
                      <w:highlight w:val="none"/>
                    </w:rPr>
                    <w:t>/a</w:t>
                  </w:r>
                </w:p>
              </w:tc>
              <w:tc>
                <w:tcPr>
                  <w:tcW w:w="537" w:type="pct"/>
                  <w:noWrap w:val="0"/>
                  <w:vAlign w:val="center"/>
                </w:tcPr>
                <w:p w14:paraId="1F2321CC">
                  <w:pPr>
                    <w:pStyle w:val="63"/>
                    <w:widowControl/>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bidi="ar-SA"/>
                    </w:rPr>
                    <w:t>7266</w:t>
                  </w:r>
                </w:p>
              </w:tc>
              <w:tc>
                <w:tcPr>
                  <w:tcW w:w="609" w:type="pct"/>
                  <w:noWrap w:val="0"/>
                  <w:vAlign w:val="center"/>
                </w:tcPr>
                <w:p w14:paraId="3A8A2BFE">
                  <w:pPr>
                    <w:pStyle w:val="63"/>
                    <w:widowControl/>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bidi="ar-SA"/>
                    </w:rPr>
                    <w:t>7266</w:t>
                  </w:r>
                </w:p>
              </w:tc>
              <w:tc>
                <w:tcPr>
                  <w:tcW w:w="609" w:type="pct"/>
                  <w:shd w:val="clear" w:color="auto" w:fill="auto"/>
                  <w:noWrap w:val="0"/>
                  <w:vAlign w:val="center"/>
                </w:tcPr>
                <w:p w14:paraId="225379D0">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1142</w:t>
                  </w:r>
                </w:p>
              </w:tc>
              <w:tc>
                <w:tcPr>
                  <w:tcW w:w="467" w:type="pct"/>
                  <w:shd w:val="clear" w:color="auto" w:fill="auto"/>
                  <w:noWrap w:val="0"/>
                  <w:vAlign w:val="center"/>
                </w:tcPr>
                <w:p w14:paraId="4039A8C2">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-200</w:t>
                  </w:r>
                </w:p>
              </w:tc>
              <w:tc>
                <w:tcPr>
                  <w:tcW w:w="609" w:type="pct"/>
                  <w:shd w:val="clear" w:color="auto" w:fill="auto"/>
                  <w:noWrap w:val="0"/>
                  <w:vAlign w:val="center"/>
                </w:tcPr>
                <w:p w14:paraId="3F50E5CD">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i w:val="0"/>
                      <w:iCs w:val="0"/>
                      <w:color w:val="0000FF"/>
                      <w:kern w:val="0"/>
                      <w:sz w:val="21"/>
                      <w:szCs w:val="21"/>
                      <w:highlight w:val="none"/>
                      <w:u w:val="none"/>
                      <w:lang w:val="en-US" w:eastAsia="zh-CN" w:bidi="ar"/>
                    </w:rPr>
                    <w:t>8608</w:t>
                  </w:r>
                </w:p>
              </w:tc>
              <w:tc>
                <w:tcPr>
                  <w:tcW w:w="739" w:type="pct"/>
                  <w:shd w:val="clear" w:color="auto" w:fill="auto"/>
                  <w:noWrap w:val="0"/>
                  <w:vAlign w:val="center"/>
                </w:tcPr>
                <w:p w14:paraId="4A8CD89D">
                  <w:pPr>
                    <w:keepNext w:val="0"/>
                    <w:keepLines w:val="0"/>
                    <w:widowControl/>
                    <w:suppressLineNumbers w:val="0"/>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s="Times New Roman"/>
                      <w:i w:val="0"/>
                      <w:iCs w:val="0"/>
                      <w:color w:val="0000FF"/>
                      <w:kern w:val="0"/>
                      <w:sz w:val="21"/>
                      <w:szCs w:val="21"/>
                      <w:highlight w:val="none"/>
                      <w:u w:val="none"/>
                      <w:lang w:val="en-US" w:eastAsia="zh-CN" w:bidi="ar"/>
                    </w:rPr>
                    <w:t>+1342</w:t>
                  </w:r>
                </w:p>
              </w:tc>
            </w:tr>
            <w:tr w14:paraId="77874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7ABC7420">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789EA63D">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COD</w:t>
                  </w:r>
                </w:p>
              </w:tc>
              <w:tc>
                <w:tcPr>
                  <w:tcW w:w="537" w:type="pct"/>
                  <w:noWrap w:val="0"/>
                  <w:vAlign w:val="center"/>
                </w:tcPr>
                <w:p w14:paraId="38C4C520">
                  <w:pPr>
                    <w:pStyle w:val="63"/>
                    <w:widowControl/>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bidi="ar-SA"/>
                    </w:rPr>
                    <w:t>1.9506</w:t>
                  </w:r>
                </w:p>
              </w:tc>
              <w:tc>
                <w:tcPr>
                  <w:tcW w:w="609" w:type="pct"/>
                  <w:noWrap w:val="0"/>
                  <w:vAlign w:val="center"/>
                </w:tcPr>
                <w:p w14:paraId="40E1AE0D">
                  <w:pPr>
                    <w:pStyle w:val="63"/>
                    <w:widowControl/>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bidi="ar-SA"/>
                    </w:rPr>
                    <w:t>1.9506</w:t>
                  </w:r>
                </w:p>
              </w:tc>
              <w:tc>
                <w:tcPr>
                  <w:tcW w:w="609" w:type="pct"/>
                  <w:shd w:val="clear" w:color="auto" w:fill="auto"/>
                  <w:noWrap w:val="0"/>
                  <w:vAlign w:val="center"/>
                </w:tcPr>
                <w:p w14:paraId="134694BA">
                  <w:pPr>
                    <w:widowControl/>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olor w:val="0000FF"/>
                      <w:szCs w:val="22"/>
                      <w:highlight w:val="none"/>
                      <w:lang w:val="en-US" w:eastAsia="zh-CN"/>
                    </w:rPr>
                    <w:t>0.3198</w:t>
                  </w:r>
                </w:p>
              </w:tc>
              <w:tc>
                <w:tcPr>
                  <w:tcW w:w="467" w:type="pct"/>
                  <w:shd w:val="clear" w:color="auto" w:fill="auto"/>
                  <w:noWrap w:val="0"/>
                  <w:vAlign w:val="center"/>
                </w:tcPr>
                <w:p w14:paraId="3AF53332">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-0.02</w:t>
                  </w:r>
                </w:p>
              </w:tc>
              <w:tc>
                <w:tcPr>
                  <w:tcW w:w="609" w:type="pct"/>
                  <w:shd w:val="clear" w:color="auto" w:fill="auto"/>
                  <w:noWrap w:val="0"/>
                  <w:vAlign w:val="center"/>
                </w:tcPr>
                <w:p w14:paraId="3DBE15D9">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2.2904</w:t>
                  </w:r>
                </w:p>
              </w:tc>
              <w:tc>
                <w:tcPr>
                  <w:tcW w:w="739" w:type="pct"/>
                  <w:shd w:val="clear" w:color="auto" w:fill="auto"/>
                  <w:noWrap w:val="0"/>
                  <w:vAlign w:val="center"/>
                </w:tcPr>
                <w:p w14:paraId="047B0C76">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w:t>
                  </w:r>
                  <w:r>
                    <w:rPr>
                      <w:rFonts w:hint="default" w:ascii="Times New Roman" w:hAnsi="Times New Roman" w:eastAsia="宋体" w:cs="Times New Roman"/>
                      <w:i w:val="0"/>
                      <w:iCs w:val="0"/>
                      <w:color w:val="0000FF"/>
                      <w:kern w:val="0"/>
                      <w:sz w:val="21"/>
                      <w:szCs w:val="21"/>
                      <w:highlight w:val="none"/>
                      <w:u w:val="none"/>
                      <w:lang w:val="en-US" w:eastAsia="zh-CN" w:bidi="ar"/>
                    </w:rPr>
                    <w:t>0.</w:t>
                  </w:r>
                  <w:r>
                    <w:rPr>
                      <w:rFonts w:hint="eastAsia" w:cs="Times New Roman"/>
                      <w:i w:val="0"/>
                      <w:iCs w:val="0"/>
                      <w:color w:val="0000FF"/>
                      <w:kern w:val="0"/>
                      <w:sz w:val="21"/>
                      <w:szCs w:val="21"/>
                      <w:highlight w:val="none"/>
                      <w:u w:val="none"/>
                      <w:lang w:val="en-US" w:eastAsia="zh-CN" w:bidi="ar"/>
                    </w:rPr>
                    <w:t>3398</w:t>
                  </w:r>
                </w:p>
              </w:tc>
            </w:tr>
            <w:tr w14:paraId="0E89C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66639011">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036CC573">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p>
              </w:tc>
              <w:tc>
                <w:tcPr>
                  <w:tcW w:w="537" w:type="pct"/>
                  <w:noWrap w:val="0"/>
                  <w:vAlign w:val="center"/>
                </w:tcPr>
                <w:p w14:paraId="169475FD">
                  <w:pPr>
                    <w:pStyle w:val="63"/>
                    <w:widowControl/>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kern w:val="2"/>
                      <w:sz w:val="21"/>
                      <w:szCs w:val="21"/>
                      <w:highlight w:val="none"/>
                      <w:lang w:val="en-US" w:eastAsia="zh-CN" w:bidi="ar-SA"/>
                    </w:rPr>
                    <w:t>2.1798</w:t>
                  </w:r>
                </w:p>
              </w:tc>
              <w:tc>
                <w:tcPr>
                  <w:tcW w:w="609" w:type="pct"/>
                  <w:noWrap w:val="0"/>
                  <w:vAlign w:val="center"/>
                </w:tcPr>
                <w:p w14:paraId="4425A3E6">
                  <w:pPr>
                    <w:pStyle w:val="63"/>
                    <w:widowControl/>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kern w:val="2"/>
                      <w:sz w:val="21"/>
                      <w:szCs w:val="21"/>
                      <w:highlight w:val="none"/>
                      <w:lang w:val="en-US" w:eastAsia="zh-CN" w:bidi="ar-SA"/>
                    </w:rPr>
                    <w:t>2.1798</w:t>
                  </w:r>
                </w:p>
              </w:tc>
              <w:tc>
                <w:tcPr>
                  <w:tcW w:w="609" w:type="pct"/>
                  <w:shd w:val="clear" w:color="auto" w:fill="auto"/>
                  <w:noWrap w:val="0"/>
                  <w:vAlign w:val="center"/>
                </w:tcPr>
                <w:p w14:paraId="4940E2D7">
                  <w:pPr>
                    <w:widowControl/>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olor w:val="0000FF"/>
                      <w:szCs w:val="22"/>
                      <w:highlight w:val="none"/>
                      <w:lang w:val="en-US" w:eastAsia="zh-CN"/>
                    </w:rPr>
                    <w:t>0.1527</w:t>
                  </w:r>
                </w:p>
              </w:tc>
              <w:tc>
                <w:tcPr>
                  <w:tcW w:w="467" w:type="pct"/>
                  <w:shd w:val="clear" w:color="auto" w:fill="auto"/>
                  <w:noWrap w:val="0"/>
                  <w:vAlign w:val="center"/>
                </w:tcPr>
                <w:p w14:paraId="6AD86D3A">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w:t>
                  </w:r>
                </w:p>
              </w:tc>
              <w:tc>
                <w:tcPr>
                  <w:tcW w:w="609" w:type="pct"/>
                  <w:shd w:val="clear" w:color="auto" w:fill="auto"/>
                  <w:noWrap w:val="0"/>
                  <w:vAlign w:val="center"/>
                </w:tcPr>
                <w:p w14:paraId="044BDFC7">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2.3325</w:t>
                  </w:r>
                </w:p>
              </w:tc>
              <w:tc>
                <w:tcPr>
                  <w:tcW w:w="739" w:type="pct"/>
                  <w:shd w:val="clear" w:color="auto" w:fill="auto"/>
                  <w:noWrap w:val="0"/>
                  <w:vAlign w:val="center"/>
                </w:tcPr>
                <w:p w14:paraId="1054A3D7">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w:t>
                  </w:r>
                  <w:r>
                    <w:rPr>
                      <w:rFonts w:hint="default" w:ascii="Times New Roman" w:hAnsi="Times New Roman" w:eastAsia="宋体" w:cs="Times New Roman"/>
                      <w:i w:val="0"/>
                      <w:iCs w:val="0"/>
                      <w:color w:val="0000FF"/>
                      <w:kern w:val="0"/>
                      <w:sz w:val="21"/>
                      <w:szCs w:val="21"/>
                      <w:highlight w:val="none"/>
                      <w:u w:val="none"/>
                      <w:lang w:val="en-US" w:eastAsia="zh-CN" w:bidi="ar"/>
                    </w:rPr>
                    <w:t>0.</w:t>
                  </w:r>
                  <w:r>
                    <w:rPr>
                      <w:rFonts w:hint="eastAsia" w:cs="Times New Roman"/>
                      <w:i w:val="0"/>
                      <w:iCs w:val="0"/>
                      <w:color w:val="0000FF"/>
                      <w:kern w:val="0"/>
                      <w:sz w:val="21"/>
                      <w:szCs w:val="21"/>
                      <w:highlight w:val="none"/>
                      <w:u w:val="none"/>
                      <w:lang w:val="en-US" w:eastAsia="zh-CN" w:bidi="ar"/>
                    </w:rPr>
                    <w:t>1527</w:t>
                  </w:r>
                </w:p>
              </w:tc>
            </w:tr>
            <w:tr w14:paraId="3EE6E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6E44F9E4">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679E997C">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SS</w:t>
                  </w:r>
                </w:p>
              </w:tc>
              <w:tc>
                <w:tcPr>
                  <w:tcW w:w="537" w:type="pct"/>
                  <w:noWrap w:val="0"/>
                  <w:vAlign w:val="center"/>
                </w:tcPr>
                <w:p w14:paraId="51D46F1E">
                  <w:pPr>
                    <w:pStyle w:val="63"/>
                    <w:widowControl/>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bidi="ar-SA"/>
                    </w:rPr>
                    <w:t>1.198</w:t>
                  </w:r>
                </w:p>
              </w:tc>
              <w:tc>
                <w:tcPr>
                  <w:tcW w:w="609" w:type="pct"/>
                  <w:noWrap w:val="0"/>
                  <w:vAlign w:val="center"/>
                </w:tcPr>
                <w:p w14:paraId="7C84A2AC">
                  <w:pPr>
                    <w:pStyle w:val="63"/>
                    <w:widowControl/>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bidi="ar-SA"/>
                    </w:rPr>
                    <w:t>1.198</w:t>
                  </w:r>
                </w:p>
              </w:tc>
              <w:tc>
                <w:tcPr>
                  <w:tcW w:w="609" w:type="pct"/>
                  <w:shd w:val="clear" w:color="auto" w:fill="auto"/>
                  <w:noWrap w:val="0"/>
                  <w:vAlign w:val="center"/>
                </w:tcPr>
                <w:p w14:paraId="0DF4B4E7">
                  <w:pPr>
                    <w:widowControl/>
                    <w:jc w:val="center"/>
                    <w:textAlignment w:val="center"/>
                    <w:rPr>
                      <w:rFonts w:hint="default" w:ascii="Times New Roman" w:hAnsi="Times New Roman" w:eastAsia="宋体" w:cs="Times New Roman"/>
                      <w:color w:val="0000FF"/>
                      <w:kern w:val="0"/>
                      <w:sz w:val="22"/>
                      <w:szCs w:val="22"/>
                      <w:highlight w:val="none"/>
                      <w:lang w:val="en-US" w:eastAsia="zh-CN" w:bidi="ar"/>
                    </w:rPr>
                  </w:pPr>
                  <w:r>
                    <w:rPr>
                      <w:rFonts w:hint="eastAsia"/>
                      <w:color w:val="0000FF"/>
                      <w:kern w:val="0"/>
                      <w:sz w:val="22"/>
                      <w:szCs w:val="22"/>
                      <w:highlight w:val="none"/>
                      <w:lang w:val="en-US" w:eastAsia="zh-CN" w:bidi="ar"/>
                    </w:rPr>
                    <w:t>0.2056</w:t>
                  </w:r>
                </w:p>
              </w:tc>
              <w:tc>
                <w:tcPr>
                  <w:tcW w:w="467" w:type="pct"/>
                  <w:shd w:val="clear" w:color="auto" w:fill="auto"/>
                  <w:noWrap w:val="0"/>
                  <w:vAlign w:val="center"/>
                </w:tcPr>
                <w:p w14:paraId="4FC34E3E">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-0.008</w:t>
                  </w:r>
                </w:p>
              </w:tc>
              <w:tc>
                <w:tcPr>
                  <w:tcW w:w="609" w:type="pct"/>
                  <w:shd w:val="clear" w:color="auto" w:fill="auto"/>
                  <w:noWrap w:val="0"/>
                  <w:vAlign w:val="center"/>
                </w:tcPr>
                <w:p w14:paraId="6BF27917">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1.4116</w:t>
                  </w:r>
                </w:p>
              </w:tc>
              <w:tc>
                <w:tcPr>
                  <w:tcW w:w="739" w:type="pct"/>
                  <w:shd w:val="clear" w:color="auto" w:fill="auto"/>
                  <w:noWrap w:val="0"/>
                  <w:vAlign w:val="center"/>
                </w:tcPr>
                <w:p w14:paraId="75C473AD">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w:t>
                  </w:r>
                  <w:r>
                    <w:rPr>
                      <w:rFonts w:hint="default" w:ascii="Times New Roman" w:hAnsi="Times New Roman" w:eastAsia="宋体" w:cs="Times New Roman"/>
                      <w:i w:val="0"/>
                      <w:iCs w:val="0"/>
                      <w:color w:val="0000FF"/>
                      <w:kern w:val="0"/>
                      <w:sz w:val="21"/>
                      <w:szCs w:val="21"/>
                      <w:highlight w:val="none"/>
                      <w:u w:val="none"/>
                      <w:lang w:val="en-US" w:eastAsia="zh-CN" w:bidi="ar"/>
                    </w:rPr>
                    <w:t>0.</w:t>
                  </w:r>
                  <w:r>
                    <w:rPr>
                      <w:rFonts w:hint="eastAsia" w:cs="Times New Roman"/>
                      <w:i w:val="0"/>
                      <w:iCs w:val="0"/>
                      <w:color w:val="0000FF"/>
                      <w:kern w:val="0"/>
                      <w:sz w:val="21"/>
                      <w:szCs w:val="21"/>
                      <w:highlight w:val="none"/>
                      <w:u w:val="none"/>
                      <w:lang w:val="en-US" w:eastAsia="zh-CN" w:bidi="ar"/>
                    </w:rPr>
                    <w:t>2136</w:t>
                  </w:r>
                </w:p>
              </w:tc>
            </w:tr>
            <w:tr w14:paraId="0FA6A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7C3BC162">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66914AB1">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537" w:type="pct"/>
                  <w:noWrap w:val="0"/>
                  <w:vAlign w:val="center"/>
                </w:tcPr>
                <w:p w14:paraId="65F64B56">
                  <w:pPr>
                    <w:pStyle w:val="63"/>
                    <w:widowControl/>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bidi="ar-SA"/>
                    </w:rPr>
                    <w:t>0.1308</w:t>
                  </w:r>
                </w:p>
              </w:tc>
              <w:tc>
                <w:tcPr>
                  <w:tcW w:w="609" w:type="pct"/>
                  <w:noWrap w:val="0"/>
                  <w:vAlign w:val="center"/>
                </w:tcPr>
                <w:p w14:paraId="6D60D6FD">
                  <w:pPr>
                    <w:pStyle w:val="63"/>
                    <w:widowControl/>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bidi="ar-SA"/>
                    </w:rPr>
                    <w:t>0.1308</w:t>
                  </w:r>
                </w:p>
              </w:tc>
              <w:tc>
                <w:tcPr>
                  <w:tcW w:w="609" w:type="pct"/>
                  <w:shd w:val="clear" w:color="auto" w:fill="auto"/>
                  <w:noWrap w:val="0"/>
                  <w:vAlign w:val="center"/>
                </w:tcPr>
                <w:p w14:paraId="57C71954">
                  <w:pPr>
                    <w:widowControl/>
                    <w:jc w:val="center"/>
                    <w:textAlignment w:val="center"/>
                    <w:rPr>
                      <w:rFonts w:hint="eastAsia" w:ascii="Times New Roman" w:hAnsi="Times New Roman" w:eastAsia="宋体" w:cs="Times New Roman"/>
                      <w:color w:val="0000FF"/>
                      <w:kern w:val="0"/>
                      <w:sz w:val="22"/>
                      <w:szCs w:val="22"/>
                      <w:highlight w:val="none"/>
                      <w:lang w:val="en-US" w:eastAsia="zh-CN" w:bidi="ar"/>
                    </w:rPr>
                  </w:pPr>
                  <w:r>
                    <w:rPr>
                      <w:rFonts w:hint="eastAsia"/>
                      <w:color w:val="0000FF"/>
                      <w:kern w:val="0"/>
                      <w:sz w:val="22"/>
                      <w:szCs w:val="22"/>
                      <w:highlight w:val="none"/>
                      <w:lang w:val="en-US" w:eastAsia="zh-CN" w:bidi="ar"/>
                    </w:rPr>
                    <w:t>0.006</w:t>
                  </w:r>
                </w:p>
              </w:tc>
              <w:tc>
                <w:tcPr>
                  <w:tcW w:w="467" w:type="pct"/>
                  <w:shd w:val="clear" w:color="auto" w:fill="auto"/>
                  <w:noWrap w:val="0"/>
                  <w:vAlign w:val="center"/>
                </w:tcPr>
                <w:p w14:paraId="7B0C2E24">
                  <w:pPr>
                    <w:jc w:val="center"/>
                    <w:rPr>
                      <w:rFonts w:hint="eastAsia" w:ascii="Times New Roman" w:hAnsi="Times New Roman" w:eastAsia="宋体" w:cs="Times New Roman"/>
                      <w:color w:val="0000FF"/>
                      <w:kern w:val="0"/>
                      <w:sz w:val="21"/>
                      <w:szCs w:val="21"/>
                      <w:highlight w:val="none"/>
                      <w:lang w:val="en-US" w:eastAsia="zh-CN" w:bidi="ar"/>
                    </w:rPr>
                  </w:pPr>
                  <w:r>
                    <w:rPr>
                      <w:rFonts w:hint="eastAsia"/>
                      <w:color w:val="0000FF"/>
                      <w:szCs w:val="21"/>
                      <w:highlight w:val="none"/>
                      <w:lang w:val="en-US" w:eastAsia="zh-CN"/>
                    </w:rPr>
                    <w:t>/</w:t>
                  </w:r>
                </w:p>
              </w:tc>
              <w:tc>
                <w:tcPr>
                  <w:tcW w:w="609" w:type="pct"/>
                  <w:shd w:val="clear" w:color="auto" w:fill="auto"/>
                  <w:noWrap w:val="0"/>
                  <w:vAlign w:val="center"/>
                </w:tcPr>
                <w:p w14:paraId="75C67EB8">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0.1368</w:t>
                  </w:r>
                </w:p>
              </w:tc>
              <w:tc>
                <w:tcPr>
                  <w:tcW w:w="739" w:type="pct"/>
                  <w:shd w:val="clear" w:color="auto" w:fill="auto"/>
                  <w:noWrap w:val="0"/>
                  <w:vAlign w:val="center"/>
                </w:tcPr>
                <w:p w14:paraId="596DBC2D">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w:t>
                  </w:r>
                  <w:r>
                    <w:rPr>
                      <w:rFonts w:hint="default" w:ascii="Times New Roman" w:hAnsi="Times New Roman" w:eastAsia="宋体" w:cs="Times New Roman"/>
                      <w:i w:val="0"/>
                      <w:iCs w:val="0"/>
                      <w:color w:val="0000FF"/>
                      <w:kern w:val="0"/>
                      <w:sz w:val="21"/>
                      <w:szCs w:val="21"/>
                      <w:highlight w:val="none"/>
                      <w:u w:val="none"/>
                      <w:lang w:val="en-US" w:eastAsia="zh-CN" w:bidi="ar"/>
                    </w:rPr>
                    <w:t>0.00</w:t>
                  </w:r>
                  <w:r>
                    <w:rPr>
                      <w:rFonts w:hint="eastAsia" w:cs="Times New Roman"/>
                      <w:i w:val="0"/>
                      <w:iCs w:val="0"/>
                      <w:color w:val="0000FF"/>
                      <w:kern w:val="0"/>
                      <w:sz w:val="21"/>
                      <w:szCs w:val="21"/>
                      <w:highlight w:val="none"/>
                      <w:u w:val="none"/>
                      <w:lang w:val="en-US" w:eastAsia="zh-CN" w:bidi="ar"/>
                    </w:rPr>
                    <w:t>6</w:t>
                  </w:r>
                </w:p>
              </w:tc>
            </w:tr>
            <w:tr w14:paraId="51454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01D56534">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7A5A630B">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TN</w:t>
                  </w:r>
                </w:p>
              </w:tc>
              <w:tc>
                <w:tcPr>
                  <w:tcW w:w="537" w:type="pct"/>
                  <w:noWrap w:val="0"/>
                  <w:vAlign w:val="center"/>
                </w:tcPr>
                <w:p w14:paraId="51DDBD20">
                  <w:pPr>
                    <w:pStyle w:val="63"/>
                    <w:widowControl/>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kern w:val="2"/>
                      <w:sz w:val="21"/>
                      <w:szCs w:val="21"/>
                      <w:highlight w:val="none"/>
                      <w:lang w:val="en-US" w:eastAsia="zh-CN" w:bidi="ar-SA"/>
                    </w:rPr>
                    <w:t>0.5086</w:t>
                  </w:r>
                </w:p>
              </w:tc>
              <w:tc>
                <w:tcPr>
                  <w:tcW w:w="609" w:type="pct"/>
                  <w:noWrap w:val="0"/>
                  <w:vAlign w:val="center"/>
                </w:tcPr>
                <w:p w14:paraId="2616BFAC">
                  <w:pPr>
                    <w:pStyle w:val="63"/>
                    <w:widowControl/>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kern w:val="2"/>
                      <w:sz w:val="21"/>
                      <w:szCs w:val="21"/>
                      <w:highlight w:val="none"/>
                      <w:lang w:val="en-US" w:eastAsia="zh-CN" w:bidi="ar-SA"/>
                    </w:rPr>
                    <w:t>0.5086</w:t>
                  </w:r>
                </w:p>
              </w:tc>
              <w:tc>
                <w:tcPr>
                  <w:tcW w:w="609" w:type="pct"/>
                  <w:shd w:val="clear" w:color="auto" w:fill="auto"/>
                  <w:noWrap w:val="0"/>
                  <w:vAlign w:val="center"/>
                </w:tcPr>
                <w:p w14:paraId="29AEC405">
                  <w:pPr>
                    <w:widowControl/>
                    <w:jc w:val="center"/>
                    <w:textAlignment w:val="center"/>
                    <w:rPr>
                      <w:rFonts w:hint="eastAsia" w:ascii="Times New Roman" w:hAnsi="Times New Roman" w:eastAsia="宋体" w:cs="Times New Roman"/>
                      <w:color w:val="0000FF"/>
                      <w:kern w:val="0"/>
                      <w:sz w:val="22"/>
                      <w:szCs w:val="22"/>
                      <w:highlight w:val="none"/>
                      <w:lang w:val="en-US" w:eastAsia="zh-CN" w:bidi="ar"/>
                    </w:rPr>
                  </w:pPr>
                  <w:r>
                    <w:rPr>
                      <w:rFonts w:hint="eastAsia"/>
                      <w:color w:val="0000FF"/>
                      <w:kern w:val="0"/>
                      <w:sz w:val="22"/>
                      <w:szCs w:val="22"/>
                      <w:highlight w:val="none"/>
                      <w:lang w:val="en-US" w:eastAsia="zh-CN" w:bidi="ar"/>
                    </w:rPr>
                    <w:t>0.0129</w:t>
                  </w:r>
                </w:p>
              </w:tc>
              <w:tc>
                <w:tcPr>
                  <w:tcW w:w="467" w:type="pct"/>
                  <w:shd w:val="clear" w:color="auto" w:fill="auto"/>
                  <w:noWrap w:val="0"/>
                  <w:vAlign w:val="center"/>
                </w:tcPr>
                <w:p w14:paraId="47B30CB3">
                  <w:pPr>
                    <w:jc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szCs w:val="21"/>
                      <w:highlight w:val="none"/>
                      <w:lang w:val="en-US" w:eastAsia="zh-CN"/>
                    </w:rPr>
                    <w:t>/</w:t>
                  </w:r>
                </w:p>
              </w:tc>
              <w:tc>
                <w:tcPr>
                  <w:tcW w:w="609" w:type="pct"/>
                  <w:shd w:val="clear" w:color="auto" w:fill="auto"/>
                  <w:noWrap w:val="0"/>
                  <w:vAlign w:val="center"/>
                </w:tcPr>
                <w:p w14:paraId="49DFEAC8">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0.5215</w:t>
                  </w:r>
                </w:p>
              </w:tc>
              <w:tc>
                <w:tcPr>
                  <w:tcW w:w="739" w:type="pct"/>
                  <w:shd w:val="clear" w:color="auto" w:fill="auto"/>
                  <w:noWrap w:val="0"/>
                  <w:vAlign w:val="center"/>
                </w:tcPr>
                <w:p w14:paraId="78546A3B">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w:t>
                  </w:r>
                  <w:r>
                    <w:rPr>
                      <w:rFonts w:hint="default" w:ascii="Times New Roman" w:hAnsi="Times New Roman" w:eastAsia="宋体" w:cs="Times New Roman"/>
                      <w:i w:val="0"/>
                      <w:iCs w:val="0"/>
                      <w:color w:val="0000FF"/>
                      <w:kern w:val="0"/>
                      <w:sz w:val="21"/>
                      <w:szCs w:val="21"/>
                      <w:highlight w:val="none"/>
                      <w:u w:val="none"/>
                      <w:lang w:val="en-US" w:eastAsia="zh-CN" w:bidi="ar"/>
                    </w:rPr>
                    <w:t>0.01</w:t>
                  </w:r>
                  <w:r>
                    <w:rPr>
                      <w:rFonts w:hint="eastAsia" w:cs="Times New Roman"/>
                      <w:i w:val="0"/>
                      <w:iCs w:val="0"/>
                      <w:color w:val="0000FF"/>
                      <w:kern w:val="0"/>
                      <w:sz w:val="21"/>
                      <w:szCs w:val="21"/>
                      <w:highlight w:val="none"/>
                      <w:u w:val="none"/>
                      <w:lang w:val="en-US" w:eastAsia="zh-CN" w:bidi="ar"/>
                    </w:rPr>
                    <w:t>29</w:t>
                  </w:r>
                </w:p>
              </w:tc>
            </w:tr>
            <w:tr w14:paraId="32384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7A52B92B">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510964D6">
                  <w:pPr>
                    <w:pStyle w:val="29"/>
                    <w:spacing w:after="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总磷</w:t>
                  </w:r>
                </w:p>
              </w:tc>
              <w:tc>
                <w:tcPr>
                  <w:tcW w:w="537" w:type="pct"/>
                  <w:noWrap w:val="0"/>
                  <w:vAlign w:val="center"/>
                </w:tcPr>
                <w:p w14:paraId="6B8CD516">
                  <w:pPr>
                    <w:pStyle w:val="29"/>
                    <w:widowControl/>
                    <w:spacing w:after="0"/>
                    <w:ind w:left="0" w:leftChars="0" w:firstLine="0" w:firstLineChars="0"/>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0.01354</w:t>
                  </w:r>
                </w:p>
              </w:tc>
              <w:tc>
                <w:tcPr>
                  <w:tcW w:w="609" w:type="pct"/>
                  <w:noWrap w:val="0"/>
                  <w:vAlign w:val="center"/>
                </w:tcPr>
                <w:p w14:paraId="407C841A">
                  <w:pPr>
                    <w:pStyle w:val="29"/>
                    <w:widowControl/>
                    <w:spacing w:after="0"/>
                    <w:ind w:left="0" w:leftChars="0" w:firstLine="0" w:firstLineChars="0"/>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0.01354</w:t>
                  </w:r>
                </w:p>
              </w:tc>
              <w:tc>
                <w:tcPr>
                  <w:tcW w:w="609" w:type="pct"/>
                  <w:shd w:val="clear" w:color="auto" w:fill="auto"/>
                  <w:noWrap w:val="0"/>
                  <w:vAlign w:val="center"/>
                </w:tcPr>
                <w:p w14:paraId="64DBEBA6">
                  <w:pPr>
                    <w:widowControl/>
                    <w:jc w:val="center"/>
                    <w:textAlignment w:val="center"/>
                    <w:rPr>
                      <w:rFonts w:hint="eastAsia" w:ascii="Times New Roman" w:hAnsi="Times New Roman" w:eastAsia="宋体" w:cs="Times New Roman"/>
                      <w:color w:val="0000FF"/>
                      <w:kern w:val="0"/>
                      <w:sz w:val="22"/>
                      <w:szCs w:val="22"/>
                      <w:highlight w:val="none"/>
                      <w:lang w:val="en-US" w:eastAsia="zh-CN" w:bidi="ar"/>
                    </w:rPr>
                  </w:pPr>
                  <w:r>
                    <w:rPr>
                      <w:rFonts w:hint="eastAsia"/>
                      <w:color w:val="0000FF"/>
                      <w:kern w:val="0"/>
                      <w:sz w:val="22"/>
                      <w:szCs w:val="22"/>
                      <w:highlight w:val="none"/>
                      <w:lang w:val="en-US" w:eastAsia="zh-CN" w:bidi="ar"/>
                    </w:rPr>
                    <w:t>0.0034</w:t>
                  </w:r>
                </w:p>
              </w:tc>
              <w:tc>
                <w:tcPr>
                  <w:tcW w:w="467" w:type="pct"/>
                  <w:shd w:val="clear" w:color="auto" w:fill="auto"/>
                  <w:noWrap w:val="0"/>
                  <w:vAlign w:val="center"/>
                </w:tcPr>
                <w:p w14:paraId="5C602FB2">
                  <w:pPr>
                    <w:jc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szCs w:val="21"/>
                      <w:highlight w:val="none"/>
                      <w:lang w:val="en-US" w:eastAsia="zh-CN"/>
                    </w:rPr>
                    <w:t>/</w:t>
                  </w:r>
                </w:p>
              </w:tc>
              <w:tc>
                <w:tcPr>
                  <w:tcW w:w="609" w:type="pct"/>
                  <w:shd w:val="clear" w:color="auto" w:fill="auto"/>
                  <w:noWrap w:val="0"/>
                  <w:vAlign w:val="center"/>
                </w:tcPr>
                <w:p w14:paraId="0D12B98D">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0.01694</w:t>
                  </w:r>
                </w:p>
              </w:tc>
              <w:tc>
                <w:tcPr>
                  <w:tcW w:w="739" w:type="pct"/>
                  <w:shd w:val="clear" w:color="auto" w:fill="auto"/>
                  <w:noWrap w:val="0"/>
                  <w:vAlign w:val="center"/>
                </w:tcPr>
                <w:p w14:paraId="2375C7F4">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w:t>
                  </w:r>
                  <w:r>
                    <w:rPr>
                      <w:rFonts w:hint="default" w:ascii="Times New Roman" w:hAnsi="Times New Roman" w:eastAsia="宋体" w:cs="Times New Roman"/>
                      <w:i w:val="0"/>
                      <w:iCs w:val="0"/>
                      <w:color w:val="0000FF"/>
                      <w:kern w:val="0"/>
                      <w:sz w:val="21"/>
                      <w:szCs w:val="21"/>
                      <w:highlight w:val="none"/>
                      <w:u w:val="none"/>
                      <w:lang w:val="en-US" w:eastAsia="zh-CN" w:bidi="ar"/>
                    </w:rPr>
                    <w:t>0.00</w:t>
                  </w:r>
                  <w:r>
                    <w:rPr>
                      <w:rFonts w:hint="eastAsia" w:cs="Times New Roman"/>
                      <w:i w:val="0"/>
                      <w:iCs w:val="0"/>
                      <w:color w:val="0000FF"/>
                      <w:kern w:val="0"/>
                      <w:sz w:val="21"/>
                      <w:szCs w:val="21"/>
                      <w:highlight w:val="none"/>
                      <w:u w:val="none"/>
                      <w:lang w:val="en-US" w:eastAsia="zh-CN" w:bidi="ar"/>
                    </w:rPr>
                    <w:t>34</w:t>
                  </w:r>
                </w:p>
              </w:tc>
            </w:tr>
            <w:tr w14:paraId="38DA3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24FE6739">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2FBA6011">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石油类</w:t>
                  </w:r>
                </w:p>
              </w:tc>
              <w:tc>
                <w:tcPr>
                  <w:tcW w:w="537" w:type="pct"/>
                  <w:noWrap w:val="0"/>
                  <w:vAlign w:val="center"/>
                </w:tcPr>
                <w:p w14:paraId="68F1F574">
                  <w:pPr>
                    <w:pStyle w:val="29"/>
                    <w:widowControl/>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0.02566</w:t>
                  </w:r>
                </w:p>
              </w:tc>
              <w:tc>
                <w:tcPr>
                  <w:tcW w:w="609" w:type="pct"/>
                  <w:noWrap w:val="0"/>
                  <w:vAlign w:val="center"/>
                </w:tcPr>
                <w:p w14:paraId="69C90D4F">
                  <w:pPr>
                    <w:pStyle w:val="29"/>
                    <w:widowControl/>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0.02566</w:t>
                  </w:r>
                </w:p>
              </w:tc>
              <w:tc>
                <w:tcPr>
                  <w:tcW w:w="609" w:type="pct"/>
                  <w:shd w:val="clear" w:color="auto" w:fill="auto"/>
                  <w:noWrap w:val="0"/>
                  <w:vAlign w:val="center"/>
                </w:tcPr>
                <w:p w14:paraId="2F2F2D55">
                  <w:pPr>
                    <w:widowControl/>
                    <w:jc w:val="center"/>
                    <w:textAlignment w:val="center"/>
                    <w:rPr>
                      <w:rFonts w:hint="eastAsia" w:ascii="Times New Roman" w:hAnsi="Times New Roman" w:eastAsia="宋体" w:cs="Times New Roman"/>
                      <w:color w:val="0000FF"/>
                      <w:kern w:val="0"/>
                      <w:sz w:val="22"/>
                      <w:szCs w:val="22"/>
                      <w:highlight w:val="none"/>
                      <w:lang w:val="en-US" w:eastAsia="zh-CN" w:bidi="ar"/>
                    </w:rPr>
                  </w:pPr>
                  <w:r>
                    <w:rPr>
                      <w:rFonts w:hint="eastAsia"/>
                      <w:color w:val="0000FF"/>
                      <w:kern w:val="0"/>
                      <w:sz w:val="22"/>
                      <w:szCs w:val="22"/>
                      <w:highlight w:val="none"/>
                      <w:lang w:val="en-US" w:eastAsia="zh-CN" w:bidi="ar"/>
                    </w:rPr>
                    <w:t>0.009</w:t>
                  </w:r>
                </w:p>
              </w:tc>
              <w:tc>
                <w:tcPr>
                  <w:tcW w:w="467" w:type="pct"/>
                  <w:shd w:val="clear" w:color="auto" w:fill="auto"/>
                  <w:noWrap w:val="0"/>
                  <w:vAlign w:val="center"/>
                </w:tcPr>
                <w:p w14:paraId="6612F5B6">
                  <w:pPr>
                    <w:jc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szCs w:val="21"/>
                      <w:highlight w:val="none"/>
                      <w:lang w:val="en-US" w:eastAsia="zh-CN"/>
                    </w:rPr>
                    <w:t>/</w:t>
                  </w:r>
                </w:p>
              </w:tc>
              <w:tc>
                <w:tcPr>
                  <w:tcW w:w="609" w:type="pct"/>
                  <w:shd w:val="clear" w:color="auto" w:fill="auto"/>
                  <w:noWrap w:val="0"/>
                  <w:vAlign w:val="center"/>
                </w:tcPr>
                <w:p w14:paraId="3C88B3EC">
                  <w:pPr>
                    <w:widowControl/>
                    <w:jc w:val="center"/>
                    <w:textAlignment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kern w:val="0"/>
                      <w:szCs w:val="21"/>
                      <w:highlight w:val="none"/>
                      <w:lang w:val="en-US" w:eastAsia="zh-CN" w:bidi="ar"/>
                    </w:rPr>
                    <w:t>0.03466</w:t>
                  </w:r>
                </w:p>
              </w:tc>
              <w:tc>
                <w:tcPr>
                  <w:tcW w:w="739" w:type="pct"/>
                  <w:shd w:val="clear" w:color="auto" w:fill="auto"/>
                  <w:noWrap w:val="0"/>
                  <w:vAlign w:val="center"/>
                </w:tcPr>
                <w:p w14:paraId="38F418BF">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w:t>
                  </w:r>
                  <w:r>
                    <w:rPr>
                      <w:rFonts w:hint="default" w:ascii="Times New Roman" w:hAnsi="Times New Roman" w:eastAsia="宋体" w:cs="Times New Roman"/>
                      <w:i w:val="0"/>
                      <w:iCs w:val="0"/>
                      <w:color w:val="0000FF"/>
                      <w:kern w:val="0"/>
                      <w:sz w:val="21"/>
                      <w:szCs w:val="21"/>
                      <w:highlight w:val="none"/>
                      <w:u w:val="none"/>
                      <w:lang w:val="en-US" w:eastAsia="zh-CN" w:bidi="ar"/>
                    </w:rPr>
                    <w:t>0.009</w:t>
                  </w:r>
                </w:p>
              </w:tc>
            </w:tr>
            <w:tr w14:paraId="33676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67996E03">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5F1DE6E8">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盐分</w:t>
                  </w:r>
                </w:p>
              </w:tc>
              <w:tc>
                <w:tcPr>
                  <w:tcW w:w="537" w:type="pct"/>
                  <w:noWrap w:val="0"/>
                  <w:vAlign w:val="center"/>
                </w:tcPr>
                <w:p w14:paraId="57996833">
                  <w:pPr>
                    <w:pStyle w:val="29"/>
                    <w:widowControl/>
                    <w:spacing w:after="0"/>
                    <w:ind w:left="0" w:leftChars="0" w:firstLine="0" w:firstLineChars="0"/>
                    <w:jc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3.2</w:t>
                  </w:r>
                </w:p>
              </w:tc>
              <w:tc>
                <w:tcPr>
                  <w:tcW w:w="609" w:type="pct"/>
                  <w:noWrap w:val="0"/>
                  <w:vAlign w:val="center"/>
                </w:tcPr>
                <w:p w14:paraId="6B0433D9">
                  <w:pPr>
                    <w:pStyle w:val="29"/>
                    <w:widowControl/>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3.2</w:t>
                  </w:r>
                </w:p>
              </w:tc>
              <w:tc>
                <w:tcPr>
                  <w:tcW w:w="609" w:type="pct"/>
                  <w:shd w:val="clear" w:color="auto" w:fill="auto"/>
                  <w:noWrap w:val="0"/>
                  <w:vAlign w:val="center"/>
                </w:tcPr>
                <w:p w14:paraId="58EF9492">
                  <w:pPr>
                    <w:widowControl/>
                    <w:jc w:val="center"/>
                    <w:textAlignment w:val="center"/>
                    <w:rPr>
                      <w:rFonts w:hint="default" w:ascii="Times New Roman" w:hAnsi="Times New Roman" w:eastAsia="宋体" w:cs="Times New Roman"/>
                      <w:color w:val="0000FF"/>
                      <w:kern w:val="0"/>
                      <w:sz w:val="22"/>
                      <w:szCs w:val="22"/>
                      <w:highlight w:val="none"/>
                      <w:lang w:val="en-US" w:eastAsia="zh-CN" w:bidi="ar"/>
                    </w:rPr>
                  </w:pPr>
                  <w:r>
                    <w:rPr>
                      <w:rFonts w:hint="eastAsia"/>
                      <w:color w:val="0000FF"/>
                      <w:kern w:val="0"/>
                      <w:sz w:val="22"/>
                      <w:szCs w:val="22"/>
                      <w:highlight w:val="none"/>
                      <w:lang w:val="en-US" w:eastAsia="zh-CN" w:bidi="ar"/>
                    </w:rPr>
                    <w:t>/</w:t>
                  </w:r>
                </w:p>
              </w:tc>
              <w:tc>
                <w:tcPr>
                  <w:tcW w:w="467" w:type="pct"/>
                  <w:shd w:val="clear" w:color="auto" w:fill="auto"/>
                  <w:noWrap w:val="0"/>
                  <w:vAlign w:val="center"/>
                </w:tcPr>
                <w:p w14:paraId="31F23EB3">
                  <w:pPr>
                    <w:jc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szCs w:val="21"/>
                      <w:highlight w:val="none"/>
                      <w:lang w:val="en-US" w:eastAsia="zh-CN"/>
                    </w:rPr>
                    <w:t>/</w:t>
                  </w:r>
                </w:p>
              </w:tc>
              <w:tc>
                <w:tcPr>
                  <w:tcW w:w="609" w:type="pct"/>
                  <w:shd w:val="clear" w:color="auto" w:fill="auto"/>
                  <w:noWrap w:val="0"/>
                  <w:vAlign w:val="center"/>
                </w:tcPr>
                <w:p w14:paraId="4863A49D">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highlight w:val="none"/>
                      <w:u w:val="none"/>
                      <w:lang w:val="en-US" w:eastAsia="zh-CN" w:bidi="ar"/>
                    </w:rPr>
                    <w:t>3.2</w:t>
                  </w:r>
                </w:p>
              </w:tc>
              <w:tc>
                <w:tcPr>
                  <w:tcW w:w="739" w:type="pct"/>
                  <w:shd w:val="clear" w:color="auto" w:fill="auto"/>
                  <w:noWrap w:val="0"/>
                  <w:vAlign w:val="center"/>
                </w:tcPr>
                <w:p w14:paraId="0D948020">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+0</w:t>
                  </w:r>
                </w:p>
              </w:tc>
            </w:tr>
            <w:tr w14:paraId="44EDF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71853DCB">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607E0DA5">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总锌</w:t>
                  </w:r>
                </w:p>
              </w:tc>
              <w:tc>
                <w:tcPr>
                  <w:tcW w:w="537" w:type="pct"/>
                  <w:noWrap w:val="0"/>
                  <w:vAlign w:val="center"/>
                </w:tcPr>
                <w:p w14:paraId="17E1160B">
                  <w:pPr>
                    <w:pStyle w:val="29"/>
                    <w:widowControl/>
                    <w:spacing w:after="0"/>
                    <w:ind w:left="0" w:leftChars="0" w:firstLine="0" w:firstLineChars="0"/>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0.00004</w:t>
                  </w:r>
                </w:p>
              </w:tc>
              <w:tc>
                <w:tcPr>
                  <w:tcW w:w="609" w:type="pct"/>
                  <w:noWrap w:val="0"/>
                  <w:vAlign w:val="center"/>
                </w:tcPr>
                <w:p w14:paraId="644EA1BB">
                  <w:pPr>
                    <w:pStyle w:val="63"/>
                    <w:widowControl/>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kern w:val="2"/>
                      <w:sz w:val="21"/>
                      <w:szCs w:val="21"/>
                      <w:highlight w:val="none"/>
                      <w:lang w:val="en-US" w:eastAsia="zh-CN" w:bidi="ar-SA"/>
                    </w:rPr>
                    <w:t>/</w:t>
                  </w:r>
                </w:p>
              </w:tc>
              <w:tc>
                <w:tcPr>
                  <w:tcW w:w="609" w:type="pct"/>
                  <w:shd w:val="clear" w:color="auto" w:fill="auto"/>
                  <w:noWrap w:val="0"/>
                  <w:vAlign w:val="center"/>
                </w:tcPr>
                <w:p w14:paraId="10266F27">
                  <w:pPr>
                    <w:widowControl/>
                    <w:jc w:val="center"/>
                    <w:textAlignment w:val="center"/>
                    <w:rPr>
                      <w:rFonts w:hint="eastAsia" w:ascii="Times New Roman" w:hAnsi="Times New Roman" w:eastAsia="宋体" w:cs="Times New Roman"/>
                      <w:color w:val="0000FF"/>
                      <w:kern w:val="2"/>
                      <w:sz w:val="21"/>
                      <w:szCs w:val="22"/>
                      <w:highlight w:val="none"/>
                      <w:lang w:val="en-US" w:eastAsia="zh-CN" w:bidi="ar-SA"/>
                    </w:rPr>
                  </w:pPr>
                  <w:r>
                    <w:rPr>
                      <w:rFonts w:hint="eastAsia"/>
                      <w:color w:val="0000FF"/>
                      <w:kern w:val="0"/>
                      <w:sz w:val="22"/>
                      <w:szCs w:val="22"/>
                      <w:highlight w:val="none"/>
                      <w:lang w:val="en-US" w:eastAsia="zh-CN" w:bidi="ar"/>
                    </w:rPr>
                    <w:t>0.0009</w:t>
                  </w:r>
                </w:p>
              </w:tc>
              <w:tc>
                <w:tcPr>
                  <w:tcW w:w="467" w:type="pct"/>
                  <w:shd w:val="clear" w:color="auto" w:fill="auto"/>
                  <w:noWrap w:val="0"/>
                  <w:vAlign w:val="center"/>
                </w:tcPr>
                <w:p w14:paraId="51E2A38F">
                  <w:pPr>
                    <w:jc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szCs w:val="21"/>
                      <w:highlight w:val="none"/>
                      <w:lang w:val="en-US" w:eastAsia="zh-CN"/>
                    </w:rPr>
                    <w:t>/</w:t>
                  </w:r>
                </w:p>
              </w:tc>
              <w:tc>
                <w:tcPr>
                  <w:tcW w:w="609" w:type="pct"/>
                  <w:shd w:val="clear" w:color="auto" w:fill="auto"/>
                  <w:noWrap w:val="0"/>
                  <w:vAlign w:val="center"/>
                </w:tcPr>
                <w:p w14:paraId="4A960518">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highlight w:val="none"/>
                      <w:u w:val="none"/>
                      <w:lang w:val="en-US" w:eastAsia="zh-CN" w:bidi="ar"/>
                    </w:rPr>
                    <w:t>0.000</w:t>
                  </w:r>
                  <w:r>
                    <w:rPr>
                      <w:rFonts w:hint="eastAsia" w:cs="Times New Roman"/>
                      <w:i w:val="0"/>
                      <w:iCs w:val="0"/>
                      <w:color w:val="0000FF"/>
                      <w:kern w:val="0"/>
                      <w:sz w:val="21"/>
                      <w:szCs w:val="21"/>
                      <w:highlight w:val="none"/>
                      <w:u w:val="none"/>
                      <w:lang w:val="en-US" w:eastAsia="zh-CN" w:bidi="ar"/>
                    </w:rPr>
                    <w:t>9</w:t>
                  </w:r>
                  <w:r>
                    <w:rPr>
                      <w:rFonts w:hint="default" w:ascii="Times New Roman" w:hAnsi="Times New Roman" w:eastAsia="宋体" w:cs="Times New Roman"/>
                      <w:i w:val="0"/>
                      <w:iCs w:val="0"/>
                      <w:color w:val="0000FF"/>
                      <w:kern w:val="0"/>
                      <w:sz w:val="21"/>
                      <w:szCs w:val="21"/>
                      <w:highlight w:val="none"/>
                      <w:u w:val="none"/>
                      <w:lang w:val="en-US" w:eastAsia="zh-CN" w:bidi="ar"/>
                    </w:rPr>
                    <w:t>4</w:t>
                  </w:r>
                </w:p>
              </w:tc>
              <w:tc>
                <w:tcPr>
                  <w:tcW w:w="739" w:type="pct"/>
                  <w:shd w:val="clear" w:color="auto" w:fill="auto"/>
                  <w:noWrap w:val="0"/>
                  <w:vAlign w:val="center"/>
                </w:tcPr>
                <w:p w14:paraId="5E8EA4D9">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w:t>
                  </w:r>
                  <w:r>
                    <w:rPr>
                      <w:rFonts w:hint="default" w:ascii="Times New Roman" w:hAnsi="Times New Roman" w:eastAsia="宋体" w:cs="Times New Roman"/>
                      <w:i w:val="0"/>
                      <w:iCs w:val="0"/>
                      <w:color w:val="0000FF"/>
                      <w:kern w:val="0"/>
                      <w:sz w:val="21"/>
                      <w:szCs w:val="21"/>
                      <w:highlight w:val="none"/>
                      <w:u w:val="none"/>
                      <w:lang w:val="en-US" w:eastAsia="zh-CN" w:bidi="ar"/>
                    </w:rPr>
                    <w:t>0.000</w:t>
                  </w:r>
                  <w:r>
                    <w:rPr>
                      <w:rFonts w:hint="eastAsia" w:cs="Times New Roman"/>
                      <w:i w:val="0"/>
                      <w:iCs w:val="0"/>
                      <w:color w:val="0000FF"/>
                      <w:kern w:val="0"/>
                      <w:sz w:val="21"/>
                      <w:szCs w:val="21"/>
                      <w:highlight w:val="none"/>
                      <w:u w:val="none"/>
                      <w:lang w:val="en-US" w:eastAsia="zh-CN" w:bidi="ar"/>
                    </w:rPr>
                    <w:t>9</w:t>
                  </w:r>
                  <w:r>
                    <w:rPr>
                      <w:rFonts w:hint="default" w:ascii="Times New Roman" w:hAnsi="Times New Roman" w:eastAsia="宋体" w:cs="Times New Roman"/>
                      <w:i w:val="0"/>
                      <w:iCs w:val="0"/>
                      <w:color w:val="0000FF"/>
                      <w:kern w:val="0"/>
                      <w:sz w:val="21"/>
                      <w:szCs w:val="21"/>
                      <w:highlight w:val="none"/>
                      <w:u w:val="none"/>
                      <w:lang w:val="en-US" w:eastAsia="zh-CN" w:bidi="ar"/>
                    </w:rPr>
                    <w:t>4</w:t>
                  </w:r>
                </w:p>
              </w:tc>
            </w:tr>
            <w:tr w14:paraId="75896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05366EE1">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6DC399D0">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氟化物</w:t>
                  </w:r>
                </w:p>
              </w:tc>
              <w:tc>
                <w:tcPr>
                  <w:tcW w:w="537" w:type="pct"/>
                  <w:noWrap w:val="0"/>
                  <w:vAlign w:val="center"/>
                </w:tcPr>
                <w:p w14:paraId="63A1C18F">
                  <w:pPr>
                    <w:pStyle w:val="29"/>
                    <w:widowControl/>
                    <w:spacing w:after="0"/>
                    <w:ind w:left="0" w:leftChars="0" w:firstLine="0" w:firstLineChars="0"/>
                    <w:jc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0.00026</w:t>
                  </w:r>
                </w:p>
              </w:tc>
              <w:tc>
                <w:tcPr>
                  <w:tcW w:w="609" w:type="pct"/>
                  <w:noWrap w:val="0"/>
                  <w:vAlign w:val="center"/>
                </w:tcPr>
                <w:p w14:paraId="098DF370">
                  <w:pPr>
                    <w:pStyle w:val="29"/>
                    <w:widowControl/>
                    <w:spacing w:after="0"/>
                    <w:ind w:left="0" w:leftChars="0" w:firstLine="0" w:firstLineChars="0"/>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w:t>
                  </w:r>
                </w:p>
              </w:tc>
              <w:tc>
                <w:tcPr>
                  <w:tcW w:w="609" w:type="pct"/>
                  <w:shd w:val="clear" w:color="auto" w:fill="auto"/>
                  <w:noWrap w:val="0"/>
                  <w:vAlign w:val="center"/>
                </w:tcPr>
                <w:p w14:paraId="78E0FC8B">
                  <w:pPr>
                    <w:widowControl/>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olor w:val="0000FF"/>
                      <w:kern w:val="0"/>
                      <w:sz w:val="22"/>
                      <w:szCs w:val="22"/>
                      <w:highlight w:val="none"/>
                      <w:lang w:val="en-US" w:eastAsia="zh-CN" w:bidi="ar"/>
                    </w:rPr>
                    <w:t>/</w:t>
                  </w:r>
                </w:p>
              </w:tc>
              <w:tc>
                <w:tcPr>
                  <w:tcW w:w="467" w:type="pct"/>
                  <w:shd w:val="clear" w:color="auto" w:fill="auto"/>
                  <w:noWrap w:val="0"/>
                  <w:vAlign w:val="center"/>
                </w:tcPr>
                <w:p w14:paraId="6BA6B2CC">
                  <w:pPr>
                    <w:jc w:val="center"/>
                    <w:rPr>
                      <w:rFonts w:hint="default" w:ascii="Times New Roman" w:hAnsi="Times New Roman" w:eastAsia="宋体" w:cs="Times New Roman"/>
                      <w:color w:val="0000FF"/>
                      <w:kern w:val="0"/>
                      <w:sz w:val="21"/>
                      <w:szCs w:val="21"/>
                      <w:highlight w:val="none"/>
                      <w:lang w:val="en-US" w:eastAsia="zh-CN" w:bidi="ar"/>
                    </w:rPr>
                  </w:pPr>
                  <w:r>
                    <w:rPr>
                      <w:rFonts w:hint="eastAsia"/>
                      <w:color w:val="0000FF"/>
                      <w:szCs w:val="21"/>
                      <w:highlight w:val="none"/>
                      <w:lang w:val="en-US" w:eastAsia="zh-CN"/>
                    </w:rPr>
                    <w:t>/</w:t>
                  </w:r>
                </w:p>
              </w:tc>
              <w:tc>
                <w:tcPr>
                  <w:tcW w:w="609" w:type="pct"/>
                  <w:shd w:val="clear" w:color="auto" w:fill="auto"/>
                  <w:noWrap w:val="0"/>
                  <w:vAlign w:val="center"/>
                </w:tcPr>
                <w:p w14:paraId="3E997DA0">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highlight w:val="none"/>
                      <w:u w:val="none"/>
                      <w:lang w:val="en-US" w:eastAsia="zh-CN" w:bidi="ar"/>
                    </w:rPr>
                    <w:t>0.00026</w:t>
                  </w:r>
                </w:p>
              </w:tc>
              <w:tc>
                <w:tcPr>
                  <w:tcW w:w="739" w:type="pct"/>
                  <w:shd w:val="clear" w:color="auto" w:fill="auto"/>
                  <w:noWrap w:val="0"/>
                  <w:vAlign w:val="center"/>
                </w:tcPr>
                <w:p w14:paraId="1CEA3AB2">
                  <w:pPr>
                    <w:keepNext w:val="0"/>
                    <w:keepLines w:val="0"/>
                    <w:widowControl/>
                    <w:suppressLineNumbers w:val="0"/>
                    <w:jc w:val="center"/>
                    <w:textAlignment w:val="center"/>
                    <w:rPr>
                      <w:rFonts w:hint="default" w:ascii="Times New Roman" w:hAnsi="Times New Roman" w:eastAsia="宋体" w:cs="Times New Roman"/>
                      <w:color w:val="0000FF"/>
                      <w:kern w:val="2"/>
                      <w:sz w:val="21"/>
                      <w:szCs w:val="22"/>
                      <w:highlight w:val="none"/>
                      <w:lang w:val="en-US" w:eastAsia="zh-CN" w:bidi="ar-SA"/>
                    </w:rPr>
                  </w:pPr>
                  <w:r>
                    <w:rPr>
                      <w:rFonts w:hint="eastAsia" w:cs="Times New Roman"/>
                      <w:i w:val="0"/>
                      <w:iCs w:val="0"/>
                      <w:color w:val="0000FF"/>
                      <w:kern w:val="0"/>
                      <w:sz w:val="21"/>
                      <w:szCs w:val="21"/>
                      <w:highlight w:val="none"/>
                      <w:u w:val="none"/>
                      <w:lang w:val="en-US" w:eastAsia="zh-CN" w:bidi="ar"/>
                    </w:rPr>
                    <w:t>+</w:t>
                  </w:r>
                  <w:r>
                    <w:rPr>
                      <w:rFonts w:hint="default" w:ascii="Times New Roman" w:hAnsi="Times New Roman" w:eastAsia="宋体" w:cs="Times New Roman"/>
                      <w:i w:val="0"/>
                      <w:iCs w:val="0"/>
                      <w:color w:val="0000FF"/>
                      <w:kern w:val="0"/>
                      <w:sz w:val="21"/>
                      <w:szCs w:val="21"/>
                      <w:highlight w:val="none"/>
                      <w:u w:val="none"/>
                      <w:lang w:val="en-US" w:eastAsia="zh-CN" w:bidi="ar"/>
                    </w:rPr>
                    <w:t>0.00026</w:t>
                  </w:r>
                </w:p>
              </w:tc>
            </w:tr>
            <w:tr w14:paraId="2B8C3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restart"/>
                  <w:noWrap w:val="0"/>
                  <w:vAlign w:val="center"/>
                </w:tcPr>
                <w:p w14:paraId="055A661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683" w:type="pct"/>
                  <w:noWrap w:val="0"/>
                  <w:vAlign w:val="center"/>
                </w:tcPr>
                <w:p w14:paraId="31C1F78C">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一般固废</w:t>
                  </w:r>
                </w:p>
              </w:tc>
              <w:tc>
                <w:tcPr>
                  <w:tcW w:w="537" w:type="pct"/>
                  <w:noWrap w:val="0"/>
                  <w:vAlign w:val="center"/>
                </w:tcPr>
                <w:p w14:paraId="2B4C6ABB">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609" w:type="pct"/>
                  <w:noWrap w:val="0"/>
                  <w:vAlign w:val="center"/>
                </w:tcPr>
                <w:p w14:paraId="31FD2C4C">
                  <w:pPr>
                    <w:widowControl/>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609" w:type="pct"/>
                  <w:noWrap w:val="0"/>
                  <w:vAlign w:val="center"/>
                </w:tcPr>
                <w:p w14:paraId="2691D88F">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467" w:type="pct"/>
                  <w:noWrap w:val="0"/>
                  <w:vAlign w:val="center"/>
                </w:tcPr>
                <w:p w14:paraId="20E6A11E">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609" w:type="pct"/>
                  <w:noWrap w:val="0"/>
                  <w:vAlign w:val="center"/>
                </w:tcPr>
                <w:p w14:paraId="6C7B7F81">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739" w:type="pct"/>
                  <w:noWrap w:val="0"/>
                  <w:vAlign w:val="center"/>
                </w:tcPr>
                <w:p w14:paraId="54F20607">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3050F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2465E176">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055C9A44">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危险固废</w:t>
                  </w:r>
                </w:p>
              </w:tc>
              <w:tc>
                <w:tcPr>
                  <w:tcW w:w="537" w:type="pct"/>
                  <w:noWrap w:val="0"/>
                  <w:vAlign w:val="center"/>
                </w:tcPr>
                <w:p w14:paraId="0E2E59AB">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609" w:type="pct"/>
                  <w:noWrap w:val="0"/>
                  <w:vAlign w:val="center"/>
                </w:tcPr>
                <w:p w14:paraId="526C2804">
                  <w:pPr>
                    <w:widowControl/>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609" w:type="pct"/>
                  <w:noWrap w:val="0"/>
                  <w:vAlign w:val="center"/>
                </w:tcPr>
                <w:p w14:paraId="4B8F17D8">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467" w:type="pct"/>
                  <w:noWrap w:val="0"/>
                  <w:vAlign w:val="center"/>
                </w:tcPr>
                <w:p w14:paraId="6C50FECC">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609" w:type="pct"/>
                  <w:noWrap w:val="0"/>
                  <w:vAlign w:val="center"/>
                </w:tcPr>
                <w:p w14:paraId="6B0DF782">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739" w:type="pct"/>
                  <w:noWrap w:val="0"/>
                  <w:vAlign w:val="center"/>
                </w:tcPr>
                <w:p w14:paraId="3F8F163D">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39468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cantSplit/>
                <w:trHeight w:val="340" w:hRule="atLeast"/>
                <w:jc w:val="center"/>
              </w:trPr>
              <w:tc>
                <w:tcPr>
                  <w:tcW w:w="744" w:type="pct"/>
                  <w:gridSpan w:val="2"/>
                  <w:vMerge w:val="continue"/>
                  <w:noWrap w:val="0"/>
                  <w:vAlign w:val="center"/>
                </w:tcPr>
                <w:p w14:paraId="4FE425CE">
                  <w:pPr>
                    <w:adjustRightInd w:val="0"/>
                    <w:snapToGrid w:val="0"/>
                    <w:jc w:val="center"/>
                    <w:rPr>
                      <w:rFonts w:hint="default" w:ascii="Times New Roman" w:hAnsi="Times New Roman" w:cs="Times New Roman"/>
                      <w:color w:val="auto"/>
                      <w:sz w:val="21"/>
                      <w:szCs w:val="21"/>
                      <w:highlight w:val="none"/>
                    </w:rPr>
                  </w:pPr>
                </w:p>
              </w:tc>
              <w:tc>
                <w:tcPr>
                  <w:tcW w:w="683" w:type="pct"/>
                  <w:noWrap w:val="0"/>
                  <w:vAlign w:val="center"/>
                </w:tcPr>
                <w:p w14:paraId="72D75E10">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生活垃圾</w:t>
                  </w:r>
                </w:p>
              </w:tc>
              <w:tc>
                <w:tcPr>
                  <w:tcW w:w="537" w:type="pct"/>
                  <w:noWrap w:val="0"/>
                  <w:vAlign w:val="center"/>
                </w:tcPr>
                <w:p w14:paraId="5520524F">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609" w:type="pct"/>
                  <w:noWrap w:val="0"/>
                  <w:vAlign w:val="center"/>
                </w:tcPr>
                <w:p w14:paraId="71EC4838">
                  <w:pPr>
                    <w:widowControl/>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609" w:type="pct"/>
                  <w:noWrap w:val="0"/>
                  <w:vAlign w:val="center"/>
                </w:tcPr>
                <w:p w14:paraId="6C7E53F2">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467" w:type="pct"/>
                  <w:noWrap w:val="0"/>
                  <w:vAlign w:val="center"/>
                </w:tcPr>
                <w:p w14:paraId="611421E8">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609" w:type="pct"/>
                  <w:noWrap w:val="0"/>
                  <w:vAlign w:val="center"/>
                </w:tcPr>
                <w:p w14:paraId="0F1A2C95">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739" w:type="pct"/>
                  <w:noWrap w:val="0"/>
                  <w:vAlign w:val="center"/>
                </w:tcPr>
                <w:p w14:paraId="5DD5A05E">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bl>
          <w:p w14:paraId="11A5DDAD">
            <w:pPr>
              <w:pStyle w:val="26"/>
              <w:keepNext w:val="0"/>
              <w:keepLines w:val="0"/>
              <w:pageBreakBefore w:val="0"/>
              <w:widowControl w:val="0"/>
              <w:tabs>
                <w:tab w:val="left" w:pos="7260"/>
              </w:tabs>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项目建成后</w:t>
            </w:r>
            <w:r>
              <w:rPr>
                <w:rFonts w:hint="eastAsia" w:ascii="Times New Roman" w:hAnsi="Times New Roman"/>
                <w:b w:val="0"/>
                <w:bCs w:val="0"/>
                <w:color w:val="auto"/>
                <w:sz w:val="21"/>
                <w:szCs w:val="21"/>
                <w:highlight w:val="none"/>
                <w:lang w:val="en-US" w:eastAsia="zh-CN"/>
              </w:rPr>
              <w:t>全厂新增</w:t>
            </w:r>
            <w:r>
              <w:rPr>
                <w:rFonts w:hint="eastAsia" w:ascii="Times New Roman" w:hAnsi="Times New Roman"/>
                <w:b w:val="0"/>
                <w:bCs w:val="0"/>
                <w:color w:val="auto"/>
                <w:sz w:val="21"/>
                <w:szCs w:val="21"/>
                <w:highlight w:val="none"/>
              </w:rPr>
              <w:t>总量控制指标情况：</w:t>
            </w:r>
          </w:p>
          <w:p w14:paraId="635F672C">
            <w:pPr>
              <w:snapToGrid w:val="0"/>
              <w:spacing w:line="360" w:lineRule="auto"/>
              <w:ind w:right="51" w:firstLine="420" w:firstLineChars="200"/>
              <w:rPr>
                <w:color w:val="auto"/>
                <w:sz w:val="21"/>
                <w:szCs w:val="21"/>
                <w:highlight w:val="none"/>
              </w:rPr>
            </w:pPr>
            <w:r>
              <w:rPr>
                <w:rFonts w:hint="eastAsia"/>
                <w:color w:val="auto"/>
                <w:sz w:val="21"/>
                <w:szCs w:val="21"/>
                <w:highlight w:val="none"/>
              </w:rPr>
              <w:t>废气</w:t>
            </w:r>
            <w:r>
              <w:rPr>
                <w:rFonts w:hint="eastAsia"/>
                <w:color w:val="auto"/>
                <w:sz w:val="21"/>
                <w:szCs w:val="21"/>
                <w:highlight w:val="none"/>
                <w:lang w:val="en-US" w:eastAsia="zh-CN"/>
              </w:rPr>
              <w:t>新增</w:t>
            </w:r>
            <w:r>
              <w:rPr>
                <w:rFonts w:hint="eastAsia"/>
                <w:color w:val="auto"/>
                <w:sz w:val="21"/>
                <w:szCs w:val="21"/>
                <w:highlight w:val="none"/>
              </w:rPr>
              <w:t>排放总量：颗粒物</w:t>
            </w:r>
            <w:r>
              <w:rPr>
                <w:bCs/>
                <w:color w:val="auto"/>
                <w:sz w:val="21"/>
                <w:szCs w:val="21"/>
                <w:highlight w:val="none"/>
              </w:rPr>
              <w:t>≤</w:t>
            </w:r>
            <w:r>
              <w:rPr>
                <w:rFonts w:hint="eastAsia"/>
                <w:color w:val="auto"/>
                <w:sz w:val="21"/>
                <w:szCs w:val="21"/>
                <w:highlight w:val="none"/>
                <w:lang w:val="en-US" w:eastAsia="zh-CN"/>
              </w:rPr>
              <w:t>0.0286</w:t>
            </w:r>
            <w:r>
              <w:rPr>
                <w:color w:val="auto"/>
                <w:sz w:val="21"/>
                <w:szCs w:val="21"/>
                <w:highlight w:val="none"/>
              </w:rPr>
              <w:t>t/a</w:t>
            </w:r>
            <w:r>
              <w:rPr>
                <w:rFonts w:hint="eastAsia"/>
                <w:color w:val="auto"/>
                <w:sz w:val="21"/>
                <w:szCs w:val="21"/>
                <w:highlight w:val="none"/>
                <w:lang w:eastAsia="zh-CN"/>
              </w:rPr>
              <w:t>；</w:t>
            </w:r>
            <w:r>
              <w:rPr>
                <w:rFonts w:hint="eastAsia"/>
                <w:color w:val="auto"/>
                <w:sz w:val="21"/>
                <w:szCs w:val="21"/>
                <w:highlight w:val="none"/>
                <w:lang w:val="en-US" w:eastAsia="zh-CN"/>
              </w:rPr>
              <w:t>SO</w:t>
            </w:r>
            <w:r>
              <w:rPr>
                <w:rFonts w:hint="eastAsia"/>
                <w:color w:val="auto"/>
                <w:sz w:val="21"/>
                <w:szCs w:val="21"/>
                <w:highlight w:val="none"/>
                <w:vertAlign w:val="subscript"/>
                <w:lang w:val="en-US" w:eastAsia="zh-CN"/>
              </w:rPr>
              <w:t>2</w:t>
            </w:r>
            <w:r>
              <w:rPr>
                <w:bCs/>
                <w:color w:val="auto"/>
                <w:sz w:val="21"/>
                <w:szCs w:val="21"/>
                <w:highlight w:val="none"/>
              </w:rPr>
              <w:t>≤</w:t>
            </w:r>
            <w:r>
              <w:rPr>
                <w:rFonts w:hint="eastAsia"/>
                <w:color w:val="auto"/>
                <w:sz w:val="21"/>
                <w:szCs w:val="21"/>
                <w:highlight w:val="none"/>
                <w:lang w:val="en-US" w:eastAsia="zh-CN"/>
              </w:rPr>
              <w:t>0.004</w:t>
            </w:r>
            <w:r>
              <w:rPr>
                <w:color w:val="auto"/>
                <w:sz w:val="21"/>
                <w:szCs w:val="21"/>
                <w:highlight w:val="none"/>
              </w:rPr>
              <w:t>t/a</w:t>
            </w:r>
            <w:r>
              <w:rPr>
                <w:rFonts w:hint="eastAsia"/>
                <w:color w:val="auto"/>
                <w:sz w:val="21"/>
                <w:szCs w:val="21"/>
                <w:highlight w:val="none"/>
                <w:lang w:eastAsia="zh-CN"/>
              </w:rPr>
              <w:t>；</w:t>
            </w:r>
            <w:r>
              <w:rPr>
                <w:rFonts w:hint="eastAsia"/>
                <w:color w:val="auto"/>
                <w:sz w:val="21"/>
                <w:szCs w:val="21"/>
                <w:highlight w:val="none"/>
                <w:lang w:val="en-US" w:eastAsia="zh-CN"/>
              </w:rPr>
              <w:t>NOx</w:t>
            </w:r>
            <w:r>
              <w:rPr>
                <w:bCs/>
                <w:color w:val="auto"/>
                <w:sz w:val="21"/>
                <w:szCs w:val="21"/>
                <w:highlight w:val="none"/>
              </w:rPr>
              <w:t>≤</w:t>
            </w:r>
            <w:r>
              <w:rPr>
                <w:rFonts w:hint="eastAsia"/>
                <w:color w:val="auto"/>
                <w:sz w:val="21"/>
                <w:szCs w:val="21"/>
                <w:highlight w:val="none"/>
                <w:lang w:val="en-US" w:eastAsia="zh-CN"/>
              </w:rPr>
              <w:t>0.0935</w:t>
            </w:r>
            <w:r>
              <w:rPr>
                <w:color w:val="auto"/>
                <w:sz w:val="21"/>
                <w:szCs w:val="21"/>
                <w:highlight w:val="none"/>
              </w:rPr>
              <w:t>t/a</w:t>
            </w:r>
            <w:r>
              <w:rPr>
                <w:rFonts w:hint="eastAsia"/>
                <w:color w:val="auto"/>
                <w:sz w:val="21"/>
                <w:szCs w:val="21"/>
                <w:highlight w:val="none"/>
                <w:lang w:eastAsia="zh-CN"/>
              </w:rPr>
              <w:t>；</w:t>
            </w:r>
            <w:r>
              <w:rPr>
                <w:rFonts w:hint="eastAsia"/>
                <w:color w:val="auto"/>
                <w:sz w:val="21"/>
                <w:szCs w:val="21"/>
                <w:highlight w:val="none"/>
              </w:rPr>
              <w:t>VOCs</w:t>
            </w:r>
            <w:r>
              <w:rPr>
                <w:bCs/>
                <w:color w:val="auto"/>
                <w:sz w:val="21"/>
                <w:szCs w:val="21"/>
                <w:highlight w:val="none"/>
              </w:rPr>
              <w:t>≤</w:t>
            </w:r>
            <w:r>
              <w:rPr>
                <w:rFonts w:hint="eastAsia"/>
                <w:color w:val="auto"/>
                <w:sz w:val="21"/>
                <w:szCs w:val="21"/>
                <w:highlight w:val="none"/>
              </w:rPr>
              <w:t>0.</w:t>
            </w:r>
            <w:r>
              <w:rPr>
                <w:rFonts w:hint="eastAsia"/>
                <w:color w:val="auto"/>
                <w:sz w:val="21"/>
                <w:szCs w:val="21"/>
                <w:highlight w:val="none"/>
                <w:lang w:val="en-US" w:eastAsia="zh-CN"/>
              </w:rPr>
              <w:t>0041</w:t>
            </w:r>
            <w:r>
              <w:rPr>
                <w:color w:val="auto"/>
                <w:sz w:val="21"/>
                <w:szCs w:val="21"/>
                <w:highlight w:val="none"/>
              </w:rPr>
              <w:t>t/a。</w:t>
            </w:r>
          </w:p>
          <w:p w14:paraId="471CF2F6">
            <w:pPr>
              <w:keepNext w:val="0"/>
              <w:keepLines w:val="0"/>
              <w:suppressLineNumbers w:val="0"/>
              <w:spacing w:before="0" w:beforeAutospacing="0" w:after="0" w:afterAutospacing="0" w:line="360" w:lineRule="auto"/>
              <w:ind w:left="0" w:right="0" w:firstLine="420" w:firstLineChars="200"/>
              <w:rPr>
                <w:bCs/>
                <w:color w:val="0000FF"/>
                <w:sz w:val="21"/>
                <w:szCs w:val="21"/>
                <w:highlight w:val="none"/>
              </w:rPr>
            </w:pPr>
            <w:r>
              <w:rPr>
                <w:rFonts w:hint="eastAsia" w:ascii="宋体" w:hAnsi="宋体" w:cs="宋体"/>
                <w:color w:val="0000FF"/>
                <w:sz w:val="21"/>
                <w:szCs w:val="21"/>
                <w:highlight w:val="none"/>
              </w:rPr>
              <w:t>废水</w:t>
            </w:r>
            <w:r>
              <w:rPr>
                <w:rFonts w:hint="eastAsia" w:ascii="宋体" w:hAnsi="宋体" w:cs="宋体"/>
                <w:color w:val="0000FF"/>
                <w:sz w:val="21"/>
                <w:szCs w:val="21"/>
                <w:highlight w:val="none"/>
                <w:lang w:val="en-US" w:eastAsia="zh-CN"/>
              </w:rPr>
              <w:t>新增接管量：废水量</w:t>
            </w:r>
            <w:r>
              <w:rPr>
                <w:bCs/>
                <w:color w:val="0000FF"/>
                <w:sz w:val="21"/>
                <w:szCs w:val="21"/>
                <w:highlight w:val="none"/>
              </w:rPr>
              <w:t>≤</w:t>
            </w:r>
            <w:r>
              <w:rPr>
                <w:rFonts w:hint="eastAsia"/>
                <w:color w:val="0000FF"/>
                <w:sz w:val="21"/>
                <w:szCs w:val="21"/>
                <w:highlight w:val="none"/>
                <w:lang w:val="en-US" w:eastAsia="zh-CN"/>
              </w:rPr>
              <w:t>1342</w:t>
            </w:r>
            <w:r>
              <w:rPr>
                <w:rFonts w:hint="eastAsia"/>
                <w:color w:val="0000FF"/>
                <w:sz w:val="21"/>
                <w:szCs w:val="21"/>
                <w:highlight w:val="none"/>
              </w:rPr>
              <w:t>m</w:t>
            </w:r>
            <w:r>
              <w:rPr>
                <w:rFonts w:hint="eastAsia"/>
                <w:color w:val="0000FF"/>
                <w:sz w:val="21"/>
                <w:szCs w:val="21"/>
                <w:highlight w:val="none"/>
                <w:vertAlign w:val="superscript"/>
              </w:rPr>
              <w:t>3</w:t>
            </w:r>
            <w:r>
              <w:rPr>
                <w:rFonts w:hint="eastAsia"/>
                <w:color w:val="0000FF"/>
                <w:sz w:val="21"/>
                <w:szCs w:val="21"/>
                <w:highlight w:val="none"/>
              </w:rPr>
              <w:t>/a、</w:t>
            </w:r>
            <w:r>
              <w:rPr>
                <w:bCs/>
                <w:color w:val="0000FF"/>
                <w:sz w:val="21"/>
                <w:szCs w:val="21"/>
                <w:highlight w:val="none"/>
              </w:rPr>
              <w:t>COD≤</w:t>
            </w:r>
            <w:r>
              <w:rPr>
                <w:rFonts w:hint="eastAsia"/>
                <w:color w:val="0000FF"/>
                <w:sz w:val="21"/>
                <w:szCs w:val="21"/>
                <w:highlight w:val="none"/>
              </w:rPr>
              <w:t>0.</w:t>
            </w:r>
            <w:r>
              <w:rPr>
                <w:rFonts w:hint="eastAsia"/>
                <w:color w:val="0000FF"/>
                <w:sz w:val="21"/>
                <w:szCs w:val="21"/>
                <w:highlight w:val="none"/>
                <w:lang w:val="en-US" w:eastAsia="zh-CN"/>
              </w:rPr>
              <w:t>3398</w:t>
            </w:r>
            <w:r>
              <w:rPr>
                <w:bCs/>
                <w:color w:val="0000FF"/>
                <w:sz w:val="21"/>
                <w:szCs w:val="21"/>
                <w:highlight w:val="none"/>
              </w:rPr>
              <w:t>t/a</w:t>
            </w:r>
            <w:r>
              <w:rPr>
                <w:rFonts w:hint="eastAsia"/>
                <w:bCs/>
                <w:color w:val="0000FF"/>
                <w:sz w:val="21"/>
                <w:szCs w:val="21"/>
                <w:highlight w:val="none"/>
              </w:rPr>
              <w:t>、</w:t>
            </w:r>
            <w:r>
              <w:rPr>
                <w:rFonts w:hint="eastAsia"/>
                <w:bCs/>
                <w:color w:val="0000FF"/>
                <w:sz w:val="21"/>
                <w:szCs w:val="21"/>
                <w:highlight w:val="none"/>
                <w:lang w:val="en-US" w:eastAsia="zh-CN"/>
              </w:rPr>
              <w:t>BOD</w:t>
            </w:r>
            <w:r>
              <w:rPr>
                <w:rFonts w:hint="eastAsia"/>
                <w:bCs/>
                <w:color w:val="0000FF"/>
                <w:sz w:val="21"/>
                <w:szCs w:val="21"/>
                <w:highlight w:val="none"/>
                <w:vertAlign w:val="subscript"/>
                <w:lang w:val="en-US" w:eastAsia="zh-CN"/>
              </w:rPr>
              <w:t>5</w:t>
            </w:r>
            <w:r>
              <w:rPr>
                <w:bCs/>
                <w:color w:val="0000FF"/>
                <w:sz w:val="21"/>
                <w:szCs w:val="21"/>
                <w:highlight w:val="none"/>
              </w:rPr>
              <w:t>≤</w:t>
            </w:r>
            <w:r>
              <w:rPr>
                <w:rFonts w:hint="eastAsia"/>
                <w:color w:val="0000FF"/>
                <w:sz w:val="21"/>
                <w:szCs w:val="21"/>
                <w:highlight w:val="none"/>
              </w:rPr>
              <w:t>0.</w:t>
            </w:r>
            <w:r>
              <w:rPr>
                <w:rFonts w:hint="eastAsia"/>
                <w:color w:val="0000FF"/>
                <w:sz w:val="21"/>
                <w:szCs w:val="21"/>
                <w:highlight w:val="none"/>
                <w:lang w:val="en-US" w:eastAsia="zh-CN"/>
              </w:rPr>
              <w:t>1527</w:t>
            </w:r>
            <w:r>
              <w:rPr>
                <w:bCs/>
                <w:color w:val="0000FF"/>
                <w:sz w:val="21"/>
                <w:szCs w:val="21"/>
                <w:highlight w:val="none"/>
              </w:rPr>
              <w:t>t/a</w:t>
            </w:r>
            <w:r>
              <w:rPr>
                <w:rFonts w:hint="eastAsia"/>
                <w:bCs/>
                <w:color w:val="0000FF"/>
                <w:sz w:val="21"/>
                <w:szCs w:val="21"/>
                <w:highlight w:val="none"/>
                <w:lang w:eastAsia="zh-CN"/>
              </w:rPr>
              <w:t>、</w:t>
            </w:r>
            <w:r>
              <w:rPr>
                <w:bCs/>
                <w:color w:val="0000FF"/>
                <w:sz w:val="21"/>
                <w:szCs w:val="21"/>
                <w:highlight w:val="none"/>
              </w:rPr>
              <w:t>SS≤</w:t>
            </w:r>
            <w:r>
              <w:rPr>
                <w:rFonts w:hint="eastAsia"/>
                <w:color w:val="0000FF"/>
                <w:sz w:val="21"/>
                <w:szCs w:val="21"/>
                <w:highlight w:val="none"/>
              </w:rPr>
              <w:t>0.</w:t>
            </w:r>
            <w:r>
              <w:rPr>
                <w:rFonts w:hint="eastAsia"/>
                <w:color w:val="0000FF"/>
                <w:sz w:val="21"/>
                <w:szCs w:val="21"/>
                <w:highlight w:val="none"/>
                <w:lang w:val="en-US" w:eastAsia="zh-CN"/>
              </w:rPr>
              <w:t>2136</w:t>
            </w:r>
            <w:r>
              <w:rPr>
                <w:bCs/>
                <w:color w:val="0000FF"/>
                <w:sz w:val="21"/>
                <w:szCs w:val="21"/>
                <w:highlight w:val="none"/>
              </w:rPr>
              <w:t>t/a</w:t>
            </w:r>
            <w:r>
              <w:rPr>
                <w:rFonts w:hint="eastAsia"/>
                <w:bCs/>
                <w:color w:val="0000FF"/>
                <w:sz w:val="21"/>
                <w:szCs w:val="21"/>
                <w:highlight w:val="none"/>
              </w:rPr>
              <w:t>、氨氮</w:t>
            </w:r>
            <w:r>
              <w:rPr>
                <w:bCs/>
                <w:color w:val="0000FF"/>
                <w:sz w:val="21"/>
                <w:szCs w:val="21"/>
                <w:highlight w:val="none"/>
              </w:rPr>
              <w:t>≤</w:t>
            </w:r>
            <w:r>
              <w:rPr>
                <w:rFonts w:hint="eastAsia"/>
                <w:color w:val="0000FF"/>
                <w:sz w:val="21"/>
                <w:szCs w:val="21"/>
                <w:highlight w:val="none"/>
              </w:rPr>
              <w:t>0.0</w:t>
            </w:r>
            <w:r>
              <w:rPr>
                <w:rFonts w:hint="eastAsia"/>
                <w:color w:val="0000FF"/>
                <w:sz w:val="21"/>
                <w:szCs w:val="21"/>
                <w:highlight w:val="none"/>
                <w:lang w:val="en-US" w:eastAsia="zh-CN"/>
              </w:rPr>
              <w:t>06</w:t>
            </w:r>
            <w:r>
              <w:rPr>
                <w:bCs/>
                <w:color w:val="0000FF"/>
                <w:sz w:val="21"/>
                <w:szCs w:val="21"/>
                <w:highlight w:val="none"/>
              </w:rPr>
              <w:t>t/a</w:t>
            </w:r>
            <w:r>
              <w:rPr>
                <w:rFonts w:hint="eastAsia"/>
                <w:bCs/>
                <w:color w:val="0000FF"/>
                <w:sz w:val="21"/>
                <w:szCs w:val="21"/>
                <w:highlight w:val="none"/>
              </w:rPr>
              <w:t>、</w:t>
            </w:r>
            <w:r>
              <w:rPr>
                <w:bCs/>
                <w:color w:val="0000FF"/>
                <w:sz w:val="21"/>
                <w:szCs w:val="21"/>
                <w:highlight w:val="none"/>
              </w:rPr>
              <w:t>TN≤</w:t>
            </w:r>
            <w:r>
              <w:rPr>
                <w:rFonts w:hint="eastAsia"/>
                <w:color w:val="0000FF"/>
                <w:sz w:val="21"/>
                <w:szCs w:val="21"/>
                <w:highlight w:val="none"/>
              </w:rPr>
              <w:t>0.0</w:t>
            </w:r>
            <w:r>
              <w:rPr>
                <w:rFonts w:hint="eastAsia"/>
                <w:color w:val="0000FF"/>
                <w:sz w:val="21"/>
                <w:szCs w:val="21"/>
                <w:highlight w:val="none"/>
                <w:lang w:val="en-US" w:eastAsia="zh-CN"/>
              </w:rPr>
              <w:t>129</w:t>
            </w:r>
            <w:r>
              <w:rPr>
                <w:bCs/>
                <w:color w:val="0000FF"/>
                <w:sz w:val="21"/>
                <w:szCs w:val="21"/>
                <w:highlight w:val="none"/>
              </w:rPr>
              <w:t>t/a</w:t>
            </w:r>
            <w:r>
              <w:rPr>
                <w:rFonts w:hint="eastAsia"/>
                <w:bCs/>
                <w:color w:val="0000FF"/>
                <w:sz w:val="21"/>
                <w:szCs w:val="21"/>
                <w:highlight w:val="none"/>
              </w:rPr>
              <w:t>、</w:t>
            </w:r>
            <w:r>
              <w:rPr>
                <w:bCs/>
                <w:color w:val="0000FF"/>
                <w:sz w:val="21"/>
                <w:szCs w:val="21"/>
                <w:highlight w:val="none"/>
              </w:rPr>
              <w:t>TP≤</w:t>
            </w:r>
            <w:r>
              <w:rPr>
                <w:rFonts w:hint="eastAsia"/>
                <w:color w:val="0000FF"/>
                <w:sz w:val="21"/>
                <w:szCs w:val="21"/>
                <w:highlight w:val="none"/>
              </w:rPr>
              <w:t>0.00</w:t>
            </w:r>
            <w:r>
              <w:rPr>
                <w:rFonts w:hint="eastAsia"/>
                <w:color w:val="0000FF"/>
                <w:sz w:val="21"/>
                <w:szCs w:val="21"/>
                <w:highlight w:val="none"/>
                <w:lang w:val="en-US" w:eastAsia="zh-CN"/>
              </w:rPr>
              <w:t>34</w:t>
            </w:r>
            <w:r>
              <w:rPr>
                <w:bCs/>
                <w:color w:val="0000FF"/>
                <w:sz w:val="21"/>
                <w:szCs w:val="21"/>
                <w:highlight w:val="none"/>
              </w:rPr>
              <w:t>t/a</w:t>
            </w:r>
            <w:r>
              <w:rPr>
                <w:rFonts w:hint="eastAsia"/>
                <w:bCs/>
                <w:color w:val="0000FF"/>
                <w:sz w:val="21"/>
                <w:szCs w:val="21"/>
                <w:highlight w:val="none"/>
              </w:rPr>
              <w:t>、</w:t>
            </w:r>
            <w:r>
              <w:rPr>
                <w:rFonts w:hint="eastAsia"/>
                <w:bCs/>
                <w:color w:val="0000FF"/>
                <w:sz w:val="21"/>
                <w:szCs w:val="21"/>
                <w:highlight w:val="none"/>
                <w:lang w:val="en-US" w:eastAsia="zh-CN"/>
              </w:rPr>
              <w:t>石油类</w:t>
            </w:r>
            <w:r>
              <w:rPr>
                <w:bCs/>
                <w:color w:val="0000FF"/>
                <w:sz w:val="21"/>
                <w:szCs w:val="21"/>
                <w:highlight w:val="none"/>
              </w:rPr>
              <w:t>≤</w:t>
            </w:r>
            <w:r>
              <w:rPr>
                <w:rFonts w:hint="eastAsia"/>
                <w:color w:val="0000FF"/>
                <w:sz w:val="21"/>
                <w:szCs w:val="21"/>
                <w:highlight w:val="none"/>
              </w:rPr>
              <w:t>0.00</w:t>
            </w:r>
            <w:r>
              <w:rPr>
                <w:rFonts w:hint="eastAsia"/>
                <w:color w:val="0000FF"/>
                <w:sz w:val="21"/>
                <w:szCs w:val="21"/>
                <w:highlight w:val="none"/>
                <w:lang w:val="en-US" w:eastAsia="zh-CN"/>
              </w:rPr>
              <w:t>9</w:t>
            </w:r>
            <w:r>
              <w:rPr>
                <w:bCs/>
                <w:color w:val="0000FF"/>
                <w:sz w:val="21"/>
                <w:szCs w:val="21"/>
                <w:highlight w:val="none"/>
              </w:rPr>
              <w:t>t/a</w:t>
            </w:r>
            <w:r>
              <w:rPr>
                <w:rFonts w:hint="eastAsia"/>
                <w:bCs/>
                <w:color w:val="0000FF"/>
                <w:sz w:val="21"/>
                <w:szCs w:val="21"/>
                <w:highlight w:val="none"/>
              </w:rPr>
              <w:t>、</w:t>
            </w:r>
            <w:r>
              <w:rPr>
                <w:rFonts w:hint="eastAsia"/>
                <w:bCs/>
                <w:color w:val="0000FF"/>
                <w:sz w:val="21"/>
                <w:szCs w:val="21"/>
                <w:highlight w:val="none"/>
                <w:lang w:val="en-US" w:eastAsia="zh-CN"/>
              </w:rPr>
              <w:t>总锌</w:t>
            </w:r>
            <w:r>
              <w:rPr>
                <w:bCs/>
                <w:color w:val="0000FF"/>
                <w:sz w:val="21"/>
                <w:szCs w:val="21"/>
                <w:highlight w:val="none"/>
              </w:rPr>
              <w:t>≤</w:t>
            </w:r>
            <w:r>
              <w:rPr>
                <w:rFonts w:hint="eastAsia"/>
                <w:color w:val="0000FF"/>
                <w:sz w:val="21"/>
                <w:szCs w:val="21"/>
                <w:highlight w:val="none"/>
              </w:rPr>
              <w:t>0.00</w:t>
            </w:r>
            <w:r>
              <w:rPr>
                <w:rFonts w:hint="eastAsia"/>
                <w:color w:val="0000FF"/>
                <w:sz w:val="21"/>
                <w:szCs w:val="21"/>
                <w:highlight w:val="none"/>
                <w:lang w:val="en-US" w:eastAsia="zh-CN"/>
              </w:rPr>
              <w:t>094</w:t>
            </w:r>
            <w:r>
              <w:rPr>
                <w:bCs/>
                <w:color w:val="0000FF"/>
                <w:sz w:val="21"/>
                <w:szCs w:val="21"/>
                <w:highlight w:val="none"/>
              </w:rPr>
              <w:t>t/a</w:t>
            </w:r>
            <w:r>
              <w:rPr>
                <w:rFonts w:hint="eastAsia"/>
                <w:bCs/>
                <w:color w:val="0000FF"/>
                <w:sz w:val="21"/>
                <w:szCs w:val="21"/>
                <w:highlight w:val="none"/>
              </w:rPr>
              <w:t>、</w:t>
            </w:r>
            <w:r>
              <w:rPr>
                <w:rFonts w:hint="eastAsia"/>
                <w:bCs/>
                <w:color w:val="0000FF"/>
                <w:sz w:val="21"/>
                <w:szCs w:val="21"/>
                <w:highlight w:val="none"/>
                <w:lang w:val="en-US" w:eastAsia="zh-CN"/>
              </w:rPr>
              <w:t>氟化物0.00026t/a</w:t>
            </w:r>
            <w:r>
              <w:rPr>
                <w:rFonts w:hint="eastAsia"/>
                <w:bCs/>
                <w:color w:val="0000FF"/>
                <w:sz w:val="21"/>
                <w:szCs w:val="21"/>
                <w:highlight w:val="none"/>
              </w:rPr>
              <w:t>。</w:t>
            </w:r>
          </w:p>
          <w:p w14:paraId="3FB417FA">
            <w:pPr>
              <w:spacing w:line="360" w:lineRule="auto"/>
              <w:ind w:firstLine="420" w:firstLineChars="200"/>
              <w:rPr>
                <w:color w:val="0000FF"/>
                <w:sz w:val="21"/>
                <w:szCs w:val="21"/>
                <w:highlight w:val="none"/>
              </w:rPr>
            </w:pPr>
            <w:r>
              <w:rPr>
                <w:rFonts w:hint="eastAsia"/>
                <w:bCs/>
                <w:color w:val="0000FF"/>
                <w:sz w:val="21"/>
                <w:szCs w:val="21"/>
                <w:highlight w:val="none"/>
              </w:rPr>
              <w:t>废水</w:t>
            </w:r>
            <w:r>
              <w:rPr>
                <w:rFonts w:hint="eastAsia"/>
                <w:bCs/>
                <w:color w:val="0000FF"/>
                <w:sz w:val="21"/>
                <w:szCs w:val="21"/>
                <w:highlight w:val="none"/>
                <w:lang w:val="en-US" w:eastAsia="zh-CN"/>
              </w:rPr>
              <w:t>新增</w:t>
            </w:r>
            <w:r>
              <w:rPr>
                <w:rFonts w:hint="eastAsia"/>
                <w:bCs/>
                <w:color w:val="0000FF"/>
                <w:sz w:val="21"/>
                <w:szCs w:val="21"/>
                <w:highlight w:val="none"/>
              </w:rPr>
              <w:t>环境排放量：</w:t>
            </w:r>
            <w:r>
              <w:rPr>
                <w:rFonts w:hint="eastAsia" w:ascii="宋体" w:hAnsi="宋体" w:cs="宋体"/>
                <w:color w:val="0000FF"/>
                <w:sz w:val="21"/>
                <w:szCs w:val="21"/>
                <w:highlight w:val="none"/>
              </w:rPr>
              <w:t>废水量</w:t>
            </w:r>
            <w:r>
              <w:rPr>
                <w:bCs/>
                <w:color w:val="0000FF"/>
                <w:sz w:val="21"/>
                <w:szCs w:val="21"/>
                <w:highlight w:val="none"/>
              </w:rPr>
              <w:t>≤</w:t>
            </w:r>
            <w:r>
              <w:rPr>
                <w:rFonts w:hint="eastAsia"/>
                <w:color w:val="0000FF"/>
                <w:sz w:val="21"/>
                <w:szCs w:val="21"/>
                <w:highlight w:val="none"/>
                <w:lang w:val="en-US" w:eastAsia="zh-CN"/>
              </w:rPr>
              <w:t>1342</w:t>
            </w:r>
            <w:r>
              <w:rPr>
                <w:rFonts w:hint="eastAsia"/>
                <w:color w:val="0000FF"/>
                <w:sz w:val="21"/>
                <w:szCs w:val="21"/>
                <w:highlight w:val="none"/>
              </w:rPr>
              <w:t>m</w:t>
            </w:r>
            <w:r>
              <w:rPr>
                <w:rFonts w:hint="eastAsia"/>
                <w:color w:val="0000FF"/>
                <w:sz w:val="21"/>
                <w:szCs w:val="21"/>
                <w:highlight w:val="none"/>
                <w:vertAlign w:val="superscript"/>
              </w:rPr>
              <w:t>3</w:t>
            </w:r>
            <w:r>
              <w:rPr>
                <w:rFonts w:hint="eastAsia"/>
                <w:color w:val="0000FF"/>
                <w:sz w:val="21"/>
                <w:szCs w:val="21"/>
                <w:highlight w:val="none"/>
              </w:rPr>
              <w:t>/a、</w:t>
            </w:r>
            <w:r>
              <w:rPr>
                <w:bCs/>
                <w:color w:val="0000FF"/>
                <w:sz w:val="21"/>
                <w:szCs w:val="21"/>
                <w:highlight w:val="none"/>
              </w:rPr>
              <w:t>COD≤</w:t>
            </w:r>
            <w:r>
              <w:rPr>
                <w:rFonts w:hint="eastAsia"/>
                <w:color w:val="0000FF"/>
                <w:sz w:val="21"/>
                <w:szCs w:val="21"/>
                <w:highlight w:val="none"/>
              </w:rPr>
              <w:t>0.0</w:t>
            </w:r>
            <w:r>
              <w:rPr>
                <w:rFonts w:hint="eastAsia"/>
                <w:color w:val="0000FF"/>
                <w:sz w:val="21"/>
                <w:szCs w:val="21"/>
                <w:highlight w:val="none"/>
                <w:lang w:val="en-US" w:eastAsia="zh-CN"/>
              </w:rPr>
              <w:t>571</w:t>
            </w:r>
            <w:r>
              <w:rPr>
                <w:bCs/>
                <w:color w:val="0000FF"/>
                <w:sz w:val="21"/>
                <w:szCs w:val="21"/>
                <w:highlight w:val="none"/>
              </w:rPr>
              <w:t>t/a</w:t>
            </w:r>
            <w:r>
              <w:rPr>
                <w:rFonts w:hint="eastAsia"/>
                <w:bCs/>
                <w:color w:val="0000FF"/>
                <w:sz w:val="21"/>
                <w:szCs w:val="21"/>
                <w:highlight w:val="none"/>
              </w:rPr>
              <w:t>、</w:t>
            </w:r>
            <w:r>
              <w:rPr>
                <w:rFonts w:hint="eastAsia"/>
                <w:bCs/>
                <w:color w:val="0000FF"/>
                <w:sz w:val="21"/>
                <w:szCs w:val="21"/>
                <w:highlight w:val="none"/>
                <w:lang w:val="en-US" w:eastAsia="zh-CN"/>
              </w:rPr>
              <w:t>BOD</w:t>
            </w:r>
            <w:r>
              <w:rPr>
                <w:rFonts w:hint="eastAsia"/>
                <w:bCs/>
                <w:color w:val="0000FF"/>
                <w:sz w:val="21"/>
                <w:szCs w:val="21"/>
                <w:highlight w:val="none"/>
                <w:vertAlign w:val="subscript"/>
                <w:lang w:val="en-US" w:eastAsia="zh-CN"/>
              </w:rPr>
              <w:t>5</w:t>
            </w:r>
            <w:r>
              <w:rPr>
                <w:bCs/>
                <w:color w:val="0000FF"/>
                <w:sz w:val="21"/>
                <w:szCs w:val="21"/>
                <w:highlight w:val="none"/>
              </w:rPr>
              <w:t>≤</w:t>
            </w:r>
            <w:r>
              <w:rPr>
                <w:rFonts w:hint="eastAsia"/>
                <w:color w:val="0000FF"/>
                <w:sz w:val="21"/>
                <w:szCs w:val="21"/>
                <w:highlight w:val="none"/>
              </w:rPr>
              <w:t>0.</w:t>
            </w:r>
            <w:r>
              <w:rPr>
                <w:rFonts w:hint="eastAsia"/>
                <w:color w:val="0000FF"/>
                <w:sz w:val="21"/>
                <w:szCs w:val="21"/>
                <w:highlight w:val="none"/>
                <w:lang w:val="en-US" w:eastAsia="zh-CN"/>
              </w:rPr>
              <w:t>0114</w:t>
            </w:r>
            <w:r>
              <w:rPr>
                <w:bCs/>
                <w:color w:val="0000FF"/>
                <w:sz w:val="21"/>
                <w:szCs w:val="21"/>
                <w:highlight w:val="none"/>
              </w:rPr>
              <w:t>t/a</w:t>
            </w:r>
            <w:r>
              <w:rPr>
                <w:rFonts w:hint="eastAsia"/>
                <w:bCs/>
                <w:color w:val="0000FF"/>
                <w:sz w:val="21"/>
                <w:szCs w:val="21"/>
                <w:highlight w:val="none"/>
                <w:lang w:eastAsia="zh-CN"/>
              </w:rPr>
              <w:t>、</w:t>
            </w:r>
            <w:r>
              <w:rPr>
                <w:bCs/>
                <w:color w:val="0000FF"/>
                <w:sz w:val="21"/>
                <w:szCs w:val="21"/>
                <w:highlight w:val="none"/>
              </w:rPr>
              <w:t>SS≤</w:t>
            </w:r>
            <w:r>
              <w:rPr>
                <w:rFonts w:hint="eastAsia"/>
                <w:color w:val="0000FF"/>
                <w:sz w:val="21"/>
                <w:szCs w:val="21"/>
                <w:highlight w:val="none"/>
              </w:rPr>
              <w:t>0.</w:t>
            </w:r>
            <w:r>
              <w:rPr>
                <w:rFonts w:hint="eastAsia"/>
                <w:color w:val="0000FF"/>
                <w:sz w:val="21"/>
                <w:szCs w:val="21"/>
                <w:highlight w:val="none"/>
                <w:lang w:val="en-US" w:eastAsia="zh-CN"/>
              </w:rPr>
              <w:t>0134</w:t>
            </w:r>
            <w:r>
              <w:rPr>
                <w:bCs/>
                <w:color w:val="0000FF"/>
                <w:sz w:val="21"/>
                <w:szCs w:val="21"/>
                <w:highlight w:val="none"/>
              </w:rPr>
              <w:t>t/a</w:t>
            </w:r>
            <w:r>
              <w:rPr>
                <w:rFonts w:hint="eastAsia"/>
                <w:bCs/>
                <w:color w:val="0000FF"/>
                <w:sz w:val="21"/>
                <w:szCs w:val="21"/>
                <w:highlight w:val="none"/>
              </w:rPr>
              <w:t>、氨氮</w:t>
            </w:r>
            <w:r>
              <w:rPr>
                <w:bCs/>
                <w:color w:val="0000FF"/>
                <w:sz w:val="21"/>
                <w:szCs w:val="21"/>
                <w:highlight w:val="none"/>
              </w:rPr>
              <w:t>≤</w:t>
            </w:r>
            <w:r>
              <w:rPr>
                <w:rFonts w:hint="eastAsia" w:cs="Times New Roman"/>
                <w:color w:val="0000FF"/>
                <w:sz w:val="21"/>
                <w:szCs w:val="21"/>
                <w:highlight w:val="none"/>
                <w:lang w:val="en-US" w:eastAsia="zh-CN"/>
              </w:rPr>
              <w:t>0.0057（0.006）</w:t>
            </w:r>
            <w:r>
              <w:rPr>
                <w:bCs/>
                <w:color w:val="0000FF"/>
                <w:sz w:val="21"/>
                <w:szCs w:val="21"/>
                <w:highlight w:val="none"/>
              </w:rPr>
              <w:t>t/a</w:t>
            </w:r>
            <w:r>
              <w:rPr>
                <w:rFonts w:hint="eastAsia"/>
                <w:bCs/>
                <w:color w:val="0000FF"/>
                <w:sz w:val="21"/>
                <w:szCs w:val="21"/>
                <w:highlight w:val="none"/>
              </w:rPr>
              <w:t>、</w:t>
            </w:r>
            <w:r>
              <w:rPr>
                <w:bCs/>
                <w:color w:val="0000FF"/>
                <w:sz w:val="21"/>
                <w:szCs w:val="21"/>
                <w:highlight w:val="none"/>
              </w:rPr>
              <w:t>TN≤</w:t>
            </w:r>
            <w:r>
              <w:rPr>
                <w:rFonts w:hint="eastAsia"/>
                <w:color w:val="0000FF"/>
                <w:sz w:val="21"/>
                <w:szCs w:val="21"/>
                <w:highlight w:val="none"/>
              </w:rPr>
              <w:t>0.0</w:t>
            </w:r>
            <w:r>
              <w:rPr>
                <w:rFonts w:hint="eastAsia"/>
                <w:color w:val="0000FF"/>
                <w:sz w:val="21"/>
                <w:szCs w:val="21"/>
                <w:highlight w:val="none"/>
                <w:lang w:val="en-US" w:eastAsia="zh-CN"/>
              </w:rPr>
              <w:t>129</w:t>
            </w:r>
            <w:r>
              <w:rPr>
                <w:bCs/>
                <w:color w:val="0000FF"/>
                <w:sz w:val="21"/>
                <w:szCs w:val="21"/>
                <w:highlight w:val="none"/>
              </w:rPr>
              <w:t>t/a</w:t>
            </w:r>
            <w:r>
              <w:rPr>
                <w:rFonts w:hint="eastAsia"/>
                <w:bCs/>
                <w:color w:val="0000FF"/>
                <w:sz w:val="21"/>
                <w:szCs w:val="21"/>
                <w:highlight w:val="none"/>
              </w:rPr>
              <w:t>、</w:t>
            </w:r>
            <w:r>
              <w:rPr>
                <w:bCs/>
                <w:color w:val="0000FF"/>
                <w:sz w:val="21"/>
                <w:szCs w:val="21"/>
                <w:highlight w:val="none"/>
              </w:rPr>
              <w:t>TP≤</w:t>
            </w:r>
            <w:r>
              <w:rPr>
                <w:rFonts w:hint="eastAsia"/>
                <w:color w:val="0000FF"/>
                <w:sz w:val="21"/>
                <w:szCs w:val="21"/>
                <w:highlight w:val="none"/>
              </w:rPr>
              <w:t>0.00</w:t>
            </w:r>
            <w:r>
              <w:rPr>
                <w:rFonts w:hint="eastAsia"/>
                <w:color w:val="0000FF"/>
                <w:sz w:val="21"/>
                <w:szCs w:val="21"/>
                <w:highlight w:val="none"/>
                <w:lang w:val="en-US" w:eastAsia="zh-CN"/>
              </w:rPr>
              <w:t>06</w:t>
            </w:r>
            <w:r>
              <w:rPr>
                <w:bCs/>
                <w:color w:val="0000FF"/>
                <w:sz w:val="21"/>
                <w:szCs w:val="21"/>
                <w:highlight w:val="none"/>
              </w:rPr>
              <w:t>t/a</w:t>
            </w:r>
            <w:r>
              <w:rPr>
                <w:rFonts w:hint="eastAsia"/>
                <w:bCs/>
                <w:color w:val="0000FF"/>
                <w:sz w:val="21"/>
                <w:szCs w:val="21"/>
                <w:highlight w:val="none"/>
              </w:rPr>
              <w:t>、</w:t>
            </w:r>
            <w:r>
              <w:rPr>
                <w:rFonts w:hint="eastAsia"/>
                <w:bCs/>
                <w:color w:val="0000FF"/>
                <w:sz w:val="21"/>
                <w:szCs w:val="21"/>
                <w:highlight w:val="none"/>
                <w:lang w:val="en-US" w:eastAsia="zh-CN"/>
              </w:rPr>
              <w:t>石油类</w:t>
            </w:r>
            <w:r>
              <w:rPr>
                <w:bCs/>
                <w:color w:val="0000FF"/>
                <w:sz w:val="21"/>
                <w:szCs w:val="21"/>
                <w:highlight w:val="none"/>
              </w:rPr>
              <w:t>≤</w:t>
            </w:r>
            <w:r>
              <w:rPr>
                <w:rFonts w:hint="eastAsia"/>
                <w:color w:val="0000FF"/>
                <w:sz w:val="21"/>
                <w:szCs w:val="21"/>
                <w:highlight w:val="none"/>
              </w:rPr>
              <w:t>0.00</w:t>
            </w:r>
            <w:r>
              <w:rPr>
                <w:rFonts w:hint="eastAsia"/>
                <w:color w:val="0000FF"/>
                <w:sz w:val="21"/>
                <w:szCs w:val="21"/>
                <w:highlight w:val="none"/>
                <w:lang w:val="en-US" w:eastAsia="zh-CN"/>
              </w:rPr>
              <w:t>11</w:t>
            </w:r>
            <w:r>
              <w:rPr>
                <w:bCs/>
                <w:color w:val="0000FF"/>
                <w:sz w:val="21"/>
                <w:szCs w:val="21"/>
                <w:highlight w:val="none"/>
              </w:rPr>
              <w:t>t/a</w:t>
            </w:r>
            <w:r>
              <w:rPr>
                <w:rFonts w:hint="eastAsia"/>
                <w:bCs/>
                <w:color w:val="0000FF"/>
                <w:sz w:val="21"/>
                <w:szCs w:val="21"/>
                <w:highlight w:val="none"/>
              </w:rPr>
              <w:t>、</w:t>
            </w:r>
            <w:r>
              <w:rPr>
                <w:rFonts w:hint="eastAsia"/>
                <w:bCs/>
                <w:color w:val="0000FF"/>
                <w:sz w:val="21"/>
                <w:szCs w:val="21"/>
                <w:highlight w:val="none"/>
                <w:lang w:val="en-US" w:eastAsia="zh-CN"/>
              </w:rPr>
              <w:t>总锌</w:t>
            </w:r>
            <w:r>
              <w:rPr>
                <w:bCs/>
                <w:color w:val="0000FF"/>
                <w:sz w:val="21"/>
                <w:szCs w:val="21"/>
                <w:highlight w:val="none"/>
              </w:rPr>
              <w:t>≤</w:t>
            </w:r>
            <w:r>
              <w:rPr>
                <w:rFonts w:hint="eastAsia"/>
                <w:color w:val="0000FF"/>
                <w:sz w:val="21"/>
                <w:szCs w:val="21"/>
                <w:highlight w:val="none"/>
              </w:rPr>
              <w:t>0.00</w:t>
            </w:r>
            <w:r>
              <w:rPr>
                <w:rFonts w:hint="eastAsia"/>
                <w:color w:val="0000FF"/>
                <w:sz w:val="21"/>
                <w:szCs w:val="21"/>
                <w:highlight w:val="none"/>
                <w:lang w:val="en-US" w:eastAsia="zh-CN"/>
              </w:rPr>
              <w:t>094</w:t>
            </w:r>
            <w:r>
              <w:rPr>
                <w:bCs/>
                <w:color w:val="0000FF"/>
                <w:sz w:val="21"/>
                <w:szCs w:val="21"/>
                <w:highlight w:val="none"/>
              </w:rPr>
              <w:t>t/a</w:t>
            </w:r>
            <w:r>
              <w:rPr>
                <w:rFonts w:hint="eastAsia"/>
                <w:bCs/>
                <w:color w:val="0000FF"/>
                <w:sz w:val="21"/>
                <w:szCs w:val="21"/>
                <w:highlight w:val="none"/>
              </w:rPr>
              <w:t>、</w:t>
            </w:r>
            <w:r>
              <w:rPr>
                <w:rFonts w:hint="eastAsia"/>
                <w:bCs/>
                <w:color w:val="0000FF"/>
                <w:sz w:val="21"/>
                <w:szCs w:val="21"/>
                <w:highlight w:val="none"/>
                <w:lang w:val="en-US" w:eastAsia="zh-CN"/>
              </w:rPr>
              <w:t>氟化物0.00026t/a</w:t>
            </w:r>
            <w:r>
              <w:rPr>
                <w:rFonts w:hint="eastAsia"/>
                <w:bCs/>
                <w:color w:val="0000FF"/>
                <w:sz w:val="21"/>
                <w:szCs w:val="21"/>
                <w:highlight w:val="none"/>
              </w:rPr>
              <w:t>。</w:t>
            </w:r>
            <w:r>
              <w:rPr>
                <w:rFonts w:hint="eastAsia"/>
                <w:color w:val="0000FF"/>
                <w:sz w:val="21"/>
                <w:szCs w:val="21"/>
                <w:highlight w:val="none"/>
              </w:rPr>
              <w:t>废水</w:t>
            </w:r>
            <w:r>
              <w:rPr>
                <w:color w:val="0000FF"/>
                <w:kern w:val="0"/>
                <w:sz w:val="21"/>
                <w:szCs w:val="21"/>
                <w:highlight w:val="none"/>
              </w:rPr>
              <w:t>污染物总量</w:t>
            </w:r>
            <w:r>
              <w:rPr>
                <w:rFonts w:hint="eastAsia"/>
                <w:color w:val="0000FF"/>
                <w:kern w:val="0"/>
                <w:sz w:val="21"/>
                <w:szCs w:val="21"/>
                <w:highlight w:val="none"/>
              </w:rPr>
              <w:t>在</w:t>
            </w:r>
            <w:r>
              <w:rPr>
                <w:rFonts w:hint="eastAsia"/>
                <w:color w:val="0000FF"/>
                <w:kern w:val="0"/>
                <w:sz w:val="21"/>
                <w:szCs w:val="21"/>
                <w:highlight w:val="none"/>
                <w:lang w:val="en-US" w:eastAsia="zh-CN"/>
              </w:rPr>
              <w:t>李口镇</w:t>
            </w:r>
            <w:r>
              <w:rPr>
                <w:rFonts w:hint="eastAsia"/>
                <w:color w:val="0000FF"/>
                <w:kern w:val="0"/>
                <w:sz w:val="21"/>
                <w:szCs w:val="21"/>
                <w:highlight w:val="none"/>
                <w:lang w:eastAsia="zh-CN"/>
              </w:rPr>
              <w:t>污水处理厂</w:t>
            </w:r>
            <w:r>
              <w:rPr>
                <w:rFonts w:hint="eastAsia"/>
                <w:color w:val="0000FF"/>
                <w:kern w:val="0"/>
                <w:sz w:val="21"/>
                <w:szCs w:val="21"/>
                <w:highlight w:val="none"/>
              </w:rPr>
              <w:t>内平衡</w:t>
            </w:r>
            <w:r>
              <w:rPr>
                <w:color w:val="0000FF"/>
                <w:kern w:val="0"/>
                <w:sz w:val="21"/>
                <w:szCs w:val="21"/>
                <w:highlight w:val="none"/>
              </w:rPr>
              <w:t>。</w:t>
            </w:r>
          </w:p>
          <w:p w14:paraId="06B9803D">
            <w:pPr>
              <w:snapToGrid w:val="0"/>
              <w:spacing w:line="360" w:lineRule="auto"/>
              <w:ind w:right="51" w:firstLine="420" w:firstLineChars="200"/>
              <w:rPr>
                <w:rFonts w:ascii="宋体" w:hAnsi="宋体" w:cs="宋体"/>
                <w:color w:val="auto"/>
                <w:kern w:val="0"/>
                <w:sz w:val="21"/>
                <w:szCs w:val="21"/>
                <w:highlight w:val="none"/>
              </w:rPr>
            </w:pPr>
            <w:r>
              <w:rPr>
                <w:rFonts w:hint="eastAsia"/>
                <w:color w:val="auto"/>
                <w:sz w:val="21"/>
                <w:szCs w:val="21"/>
                <w:highlight w:val="none"/>
              </w:rPr>
              <w:t>固废：零排放无需申请总量。</w:t>
            </w:r>
          </w:p>
        </w:tc>
      </w:tr>
    </w:tbl>
    <w:p w14:paraId="43DF77D7">
      <w:pPr>
        <w:pStyle w:val="25"/>
        <w:spacing w:before="0" w:beforeAutospacing="0" w:after="0" w:afterAutospacing="0"/>
        <w:jc w:val="center"/>
        <w:outlineLvl w:val="0"/>
        <w:rPr>
          <w:rFonts w:ascii="黑体" w:hAnsi="黑体" w:eastAsia="黑体"/>
          <w:snapToGrid w:val="0"/>
          <w:color w:val="auto"/>
          <w:sz w:val="30"/>
          <w:szCs w:val="30"/>
          <w:highlight w:val="none"/>
        </w:rPr>
      </w:pPr>
      <w:r>
        <w:rPr>
          <w:rFonts w:ascii="黑体" w:hAnsi="黑体" w:eastAsia="黑体"/>
          <w:snapToGrid w:val="0"/>
          <w:color w:val="FF0000"/>
          <w:sz w:val="36"/>
          <w:szCs w:val="36"/>
          <w:highlight w:val="none"/>
        </w:rPr>
        <w:br w:type="page"/>
      </w:r>
      <w:bookmarkStart w:id="24" w:name="_Toc28527"/>
      <w:bookmarkStart w:id="25" w:name="_Toc23271"/>
      <w:r>
        <w:rPr>
          <w:rFonts w:hint="eastAsia" w:ascii="黑体" w:hAnsi="黑体" w:eastAsia="黑体"/>
          <w:snapToGrid w:val="0"/>
          <w:color w:val="auto"/>
          <w:sz w:val="30"/>
          <w:szCs w:val="30"/>
          <w:highlight w:val="none"/>
        </w:rPr>
        <w:t>四、主要环境影响和保护措施</w:t>
      </w:r>
      <w:bookmarkEnd w:id="24"/>
      <w:bookmarkEnd w:id="25"/>
    </w:p>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427"/>
      </w:tblGrid>
      <w:tr w14:paraId="3BF70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481" w:type="dxa"/>
            <w:tcMar>
              <w:left w:w="28" w:type="dxa"/>
              <w:right w:w="28" w:type="dxa"/>
            </w:tcMar>
            <w:vAlign w:val="center"/>
          </w:tcPr>
          <w:p w14:paraId="7A4BB60D">
            <w:pPr>
              <w:pStyle w:val="25"/>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 w:val="21"/>
                <w:szCs w:val="21"/>
                <w:highlight w:val="none"/>
              </w:rPr>
              <w:t>施工期环境保护措施</w:t>
            </w:r>
          </w:p>
        </w:tc>
        <w:tc>
          <w:tcPr>
            <w:tcW w:w="8427" w:type="dxa"/>
          </w:tcPr>
          <w:p w14:paraId="74FBCFBC">
            <w:pPr>
              <w:keepNext w:val="0"/>
              <w:keepLines w:val="0"/>
              <w:pageBreakBefore w:val="0"/>
              <w:widowControl w:val="0"/>
              <w:kinsoku/>
              <w:wordWrap/>
              <w:overflowPunct/>
              <w:topLinePunct w:val="0"/>
              <w:autoSpaceDE/>
              <w:autoSpaceDN/>
              <w:bidi w:val="0"/>
              <w:spacing w:line="360" w:lineRule="auto"/>
              <w:textAlignment w:val="auto"/>
              <w:rPr>
                <w:b/>
                <w:bCs/>
                <w:color w:val="auto"/>
              </w:rPr>
            </w:pPr>
            <w:r>
              <w:rPr>
                <w:rFonts w:hint="eastAsia"/>
                <w:b/>
                <w:bCs/>
                <w:color w:val="auto"/>
              </w:rPr>
              <w:t>1 废气</w:t>
            </w:r>
          </w:p>
          <w:p w14:paraId="30DBE236">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在施工过程中，管沟开挖将造成部分土地裸露，同时土方的堆放、回填、建筑材料的装卸以及运输车辆等都会产生粉尘，这些粉尘随风扩散和飘动造成施工扬尘。施工扬尘造成的污染仅是短期和局部的，施工完成后便会消失。</w:t>
            </w:r>
          </w:p>
          <w:p w14:paraId="2E5AA576">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施工过程采取其主要对策有：</w:t>
            </w:r>
          </w:p>
          <w:p w14:paraId="01B2C964">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①对施工现场实行合理化管理，使砂石料统一堆放，水泥应设专门库房堆放，并尽量减少搬运环节，搬运时做到轻举轻放，防止包装袋破裂，对水泥类等建筑材料设专门库房堆放碎包；</w:t>
            </w:r>
          </w:p>
          <w:p w14:paraId="408151D5">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②施工区和堆土区要经常洒水。开挖时，对作业面和土堆适当洒水，使其保持一定湿度，以减少扬尘量。而且开挖的泥土和建筑垃圾要及时运走，以防长期堆放表面干燥而起尘或被雨水冲刷；</w:t>
            </w:r>
          </w:p>
          <w:p w14:paraId="59634F19">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③运输车辆应完好，不应装载过满，并尽量采取遮盖、密闭措施，运输弃土的车辆要减少沿途撒落，并及时清扫散落在地面上的泥土和建筑材料，冲洗轮胎，定时洒水压尘，以减少运输过程中的扬尘；</w:t>
            </w:r>
          </w:p>
          <w:p w14:paraId="20E67343">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④使用商品混凝土；</w:t>
            </w:r>
          </w:p>
          <w:p w14:paraId="4239EC3F">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⑤施工现场要设围栏，缩小施工扬尘扩散范围；</w:t>
            </w:r>
          </w:p>
          <w:p w14:paraId="088FA0DF">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⑥当风速过大时，应停止施工作业，并对堆存的砂粉等建筑材料采取遮盖措施。</w:t>
            </w:r>
          </w:p>
          <w:p w14:paraId="1F64EA6A">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根据类比材料，采取以上措施后施工扬尘在施工场地下风向150m处TSP浓度可降至0.3mg/m</w:t>
            </w:r>
            <w:r>
              <w:rPr>
                <w:rFonts w:hint="eastAsia"/>
                <w:color w:val="auto"/>
                <w:vertAlign w:val="superscript"/>
              </w:rPr>
              <w:t>3</w:t>
            </w:r>
            <w:r>
              <w:rPr>
                <w:rFonts w:hint="eastAsia"/>
                <w:color w:val="auto"/>
              </w:rPr>
              <w:t>以下，不会对周围大气环境造成不利影响。</w:t>
            </w:r>
          </w:p>
          <w:p w14:paraId="5266C5B5">
            <w:pPr>
              <w:keepNext w:val="0"/>
              <w:keepLines w:val="0"/>
              <w:pageBreakBefore w:val="0"/>
              <w:widowControl w:val="0"/>
              <w:kinsoku/>
              <w:wordWrap/>
              <w:overflowPunct/>
              <w:topLinePunct w:val="0"/>
              <w:autoSpaceDE/>
              <w:autoSpaceDN/>
              <w:bidi w:val="0"/>
              <w:spacing w:line="360" w:lineRule="auto"/>
              <w:textAlignment w:val="auto"/>
              <w:rPr>
                <w:b/>
                <w:bCs/>
                <w:color w:val="auto"/>
              </w:rPr>
            </w:pPr>
            <w:r>
              <w:rPr>
                <w:rFonts w:hint="eastAsia"/>
                <w:b/>
                <w:bCs/>
                <w:color w:val="auto"/>
              </w:rPr>
              <w:t>2 废水</w:t>
            </w:r>
          </w:p>
          <w:p w14:paraId="530235D4">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施工人员共约7人，施工期间不提供统一的住宿和吃饭，施工人员各自回家解决吃饭和住宿问题，因此，本项目施工过程不产生生活废水。工程建筑施工产生的施工废水，主要来源于施工机械的冲洗废水及管道的冲洗废水，主要含泥沙，悬浮物浓度较高，通过在项目区设临时沉淀池沉淀处理后，可用于施工场地洒水抑尘，不外排。项目拟在地势较低处设置雨水沉淀池收集初期雨水，经沉淀处理后回用于场区洒水降尘，不外排。</w:t>
            </w:r>
          </w:p>
          <w:p w14:paraId="625E5A48">
            <w:pPr>
              <w:keepNext w:val="0"/>
              <w:keepLines w:val="0"/>
              <w:pageBreakBefore w:val="0"/>
              <w:widowControl w:val="0"/>
              <w:kinsoku/>
              <w:wordWrap/>
              <w:overflowPunct/>
              <w:topLinePunct w:val="0"/>
              <w:autoSpaceDE/>
              <w:autoSpaceDN/>
              <w:bidi w:val="0"/>
              <w:spacing w:line="360" w:lineRule="auto"/>
              <w:textAlignment w:val="auto"/>
              <w:rPr>
                <w:b/>
                <w:bCs/>
                <w:color w:val="auto"/>
              </w:rPr>
            </w:pPr>
            <w:r>
              <w:rPr>
                <w:rFonts w:hint="eastAsia"/>
                <w:b/>
                <w:bCs/>
                <w:color w:val="auto"/>
              </w:rPr>
              <w:t>3 噪声</w:t>
            </w:r>
          </w:p>
          <w:p w14:paraId="657394F7">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项目建设期的噪声源主要来自道路开挖、土地平整以及管道铺设过程的各类施工设备和运输施工材料的车辆，主要有：装载机、推土机、平土机、挖掘机等，它们噪声一般在80~90dB(A)。实际过程中往往多种设备同时工作，各种噪声源迭加，噪声级将更高，影响范围亦更大。</w:t>
            </w:r>
          </w:p>
          <w:p w14:paraId="7F0CF28D">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为了减轻施工噪声对周围环境的影响，建议采取以下措施：</w:t>
            </w:r>
          </w:p>
          <w:p w14:paraId="26072E9E">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①加强施工管理，合理安排施工作业时间，避免强噪声作业机械持续影响周围居民。施工机械的噪声应符合噪声控制标准要求，超过夜间噪声标准的高噪声设备，夜间不得作业；</w:t>
            </w:r>
          </w:p>
          <w:p w14:paraId="44112C5A">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②尽量采用低噪声的施工工具，如以液压工具代替气压工具，同时尽可能采用施工噪声低的施工方法；</w:t>
            </w:r>
          </w:p>
          <w:p w14:paraId="26F3403C">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③施工机械应尽可能放置于对厂界外造成影响最小的地点；</w:t>
            </w:r>
          </w:p>
          <w:p w14:paraId="4AA5CE8F">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④在高噪声设备周围设置掩蔽物。考虑在施工场地周围修建一面或多面围墙作为声屏障，使噪声减弱。夜间22:00～06:00应停止作业，避免夜间扰民；</w:t>
            </w:r>
          </w:p>
          <w:p w14:paraId="2B6B7275">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⑤混凝土需要连续浇灌作业前，应做好各项准备工作，将搅拌机运行时间压到最低限度；</w:t>
            </w:r>
          </w:p>
          <w:p w14:paraId="6FAA5792">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⑥加强施工机械的维修和保养，使施工机械保持良好的工作状态。</w:t>
            </w:r>
          </w:p>
          <w:p w14:paraId="74BA7D4F">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振动污染防治措施：①合理安排各种机械设施位置、作业场所，减轻可能由此带来的振动叠加影响。②施工车辆的运输路线应该进行合理规划。③进行强振动施工作业应避开敏感时段。④加强施工机械维护保养，使设备保持良好状态，必要时加装隔振设施（如减振垫）。</w:t>
            </w:r>
          </w:p>
          <w:p w14:paraId="607FB6FE">
            <w:pPr>
              <w:keepNext w:val="0"/>
              <w:keepLines w:val="0"/>
              <w:pageBreakBefore w:val="0"/>
              <w:widowControl w:val="0"/>
              <w:kinsoku/>
              <w:wordWrap/>
              <w:overflowPunct/>
              <w:topLinePunct w:val="0"/>
              <w:autoSpaceDE/>
              <w:autoSpaceDN/>
              <w:bidi w:val="0"/>
              <w:spacing w:line="360" w:lineRule="auto"/>
              <w:textAlignment w:val="auto"/>
              <w:rPr>
                <w:b/>
                <w:bCs/>
                <w:color w:val="auto"/>
              </w:rPr>
            </w:pPr>
            <w:r>
              <w:rPr>
                <w:rFonts w:hint="eastAsia"/>
                <w:b/>
                <w:bCs/>
                <w:color w:val="auto"/>
              </w:rPr>
              <w:t>4 固体废物</w:t>
            </w:r>
          </w:p>
          <w:p w14:paraId="78BFEBC7">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rPr>
            </w:pPr>
            <w:r>
              <w:rPr>
                <w:rFonts w:hint="eastAsia"/>
                <w:color w:val="auto"/>
              </w:rPr>
              <w:t>施工期间需要挖土、运输弃土、运输各种建筑材料（如砂石、水泥、砖、木材等），工程完工后，会残留不少废建筑材料。建设单位应要求施工单位实行标准施工、规划运输，送至环保指定地点处理，不要随意倾倒建筑垃圾、制造新的“垃圾堆场”、造成水土流失，不然会对周围环境造成影响。其次，施工人员的生活垃圾也要收集到指定的垃圾箱（</w:t>
            </w:r>
            <w:r>
              <w:rPr>
                <w:rFonts w:hint="eastAsia"/>
                <w:color w:val="auto"/>
                <w:lang w:val="en-US" w:eastAsia="zh-CN"/>
              </w:rPr>
              <w:t>桶</w:t>
            </w:r>
            <w:r>
              <w:rPr>
                <w:rFonts w:hint="eastAsia"/>
                <w:color w:val="auto"/>
              </w:rPr>
              <w:t>）内，由环卫部门统一及时处理。</w:t>
            </w:r>
          </w:p>
          <w:p w14:paraId="09F30F81">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rPr>
                <w:rFonts w:ascii="宋体" w:hAnsi="宋体" w:cs="宋体"/>
                <w:bCs/>
                <w:color w:val="auto"/>
                <w:spacing w:val="-10"/>
                <w:szCs w:val="21"/>
                <w:highlight w:val="none"/>
              </w:rPr>
            </w:pPr>
            <w:r>
              <w:rPr>
                <w:rFonts w:hint="eastAsia"/>
                <w:color w:val="auto"/>
              </w:rPr>
              <w:t>综述，随着施工期的结束，以上环境影响将逐渐消失。</w:t>
            </w:r>
          </w:p>
        </w:tc>
      </w:tr>
      <w:tr w14:paraId="7A438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tcMar>
              <w:left w:w="28" w:type="dxa"/>
              <w:right w:w="28" w:type="dxa"/>
            </w:tcMar>
            <w:vAlign w:val="center"/>
          </w:tcPr>
          <w:p w14:paraId="4F39E2AA">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2BB89139">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5C768539">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78CDE578">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60572256">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47A07FCD">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427" w:type="dxa"/>
            <w:vAlign w:val="center"/>
          </w:tcPr>
          <w:p w14:paraId="5E50A364">
            <w:pPr>
              <w:spacing w:line="360" w:lineRule="auto"/>
              <w:ind w:left="431"/>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一、大气环境影响分析及防治措施</w:t>
            </w:r>
          </w:p>
          <w:p w14:paraId="72D32DB0">
            <w:pPr>
              <w:pStyle w:val="92"/>
              <w:spacing w:line="360" w:lineRule="auto"/>
              <w:ind w:firstLine="422" w:firstLineChars="200"/>
              <w:rPr>
                <w:rFonts w:hint="default" w:ascii="Times New Roman" w:hAnsi="Times New Roman" w:cs="Times New Roman"/>
                <w:color w:val="auto"/>
                <w:highlight w:val="none"/>
              </w:rPr>
            </w:pPr>
            <w:r>
              <w:rPr>
                <w:rFonts w:hint="default" w:ascii="Times New Roman" w:hAnsi="Times New Roman" w:cs="Times New Roman"/>
                <w:b/>
                <w:bCs w:val="0"/>
                <w:color w:val="auto"/>
                <w:highlight w:val="none"/>
              </w:rPr>
              <w:t>1、废气源强核算</w:t>
            </w:r>
          </w:p>
          <w:p w14:paraId="5B4A4E4D">
            <w:pPr>
              <w:tabs>
                <w:tab w:val="left" w:pos="2790"/>
              </w:tabs>
              <w:spacing w:line="360" w:lineRule="auto"/>
              <w:ind w:firstLine="420" w:firstLineChars="200"/>
              <w:rPr>
                <w:rFonts w:hint="eastAsia" w:ascii="Times New Roman" w:hAnsi="Times New Roman" w:eastAsia="宋体" w:cs="Times New Roman"/>
                <w:color w:val="auto"/>
                <w:kern w:val="24"/>
                <w:highlight w:val="none"/>
                <w:lang w:val="en-US" w:eastAsia="zh-CN"/>
              </w:rPr>
            </w:pPr>
            <w:r>
              <w:rPr>
                <w:rFonts w:hint="default" w:ascii="Times New Roman" w:hAnsi="Times New Roman" w:cs="Times New Roman"/>
                <w:color w:val="auto"/>
                <w:kern w:val="24"/>
                <w:highlight w:val="none"/>
              </w:rPr>
              <w:t>项目营运期产生的废气主要为</w:t>
            </w:r>
            <w:r>
              <w:rPr>
                <w:rFonts w:hint="eastAsia" w:cs="Times New Roman"/>
                <w:color w:val="auto"/>
                <w:kern w:val="24"/>
                <w:highlight w:val="none"/>
                <w:lang w:val="en-US" w:eastAsia="zh-CN"/>
              </w:rPr>
              <w:t>天然气燃烧废气、喷塑废气、粉末固化废气</w:t>
            </w:r>
            <w:r>
              <w:rPr>
                <w:rFonts w:hint="eastAsia"/>
                <w:color w:val="auto"/>
                <w:sz w:val="21"/>
                <w:szCs w:val="21"/>
                <w:highlight w:val="none"/>
                <w:lang w:val="en-US" w:eastAsia="zh-CN"/>
              </w:rPr>
              <w:t>。</w:t>
            </w:r>
          </w:p>
          <w:p w14:paraId="0AEBC560">
            <w:pPr>
              <w:pStyle w:val="25"/>
              <w:keepNext w:val="0"/>
              <w:keepLines w:val="0"/>
              <w:pageBreakBefore w:val="0"/>
              <w:widowControl/>
              <w:kinsoku/>
              <w:wordWrap/>
              <w:overflowPunct/>
              <w:topLinePunct w:val="0"/>
              <w:autoSpaceDE/>
              <w:autoSpaceDN/>
              <w:bidi w:val="0"/>
              <w:adjustRightInd/>
              <w:spacing w:before="0" w:beforeAutospacing="0" w:after="0" w:afterAutospacing="0"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（1）天然气燃烧废气</w:t>
            </w:r>
          </w:p>
          <w:p w14:paraId="35C86B8C">
            <w:pPr>
              <w:pStyle w:val="25"/>
              <w:keepNext w:val="0"/>
              <w:keepLines w:val="0"/>
              <w:pageBreakBefore w:val="0"/>
              <w:widowControl/>
              <w:kinsoku/>
              <w:wordWrap/>
              <w:overflowPunct/>
              <w:topLinePunct w:val="0"/>
              <w:autoSpaceDE/>
              <w:autoSpaceDN/>
              <w:bidi w:val="0"/>
              <w:adjustRightInd/>
              <w:spacing w:before="0" w:beforeAutospacing="0" w:after="0" w:afterAutospacing="0" w:line="360" w:lineRule="auto"/>
              <w:ind w:firstLine="420" w:firstLineChars="20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0"/>
                <w:sz w:val="21"/>
                <w:szCs w:val="21"/>
                <w:lang w:val="en-US" w:eastAsia="zh-CN" w:bidi="ar"/>
              </w:rPr>
              <w:t>本项目在烘干</w:t>
            </w:r>
            <w:r>
              <w:rPr>
                <w:rFonts w:hint="eastAsia" w:ascii="Times New Roman" w:hAnsi="Times New Roman" w:eastAsia="宋体" w:cs="Times New Roman"/>
                <w:color w:val="auto"/>
                <w:kern w:val="0"/>
                <w:sz w:val="21"/>
                <w:szCs w:val="21"/>
                <w:lang w:val="en-US" w:eastAsia="zh-CN" w:bidi="ar"/>
              </w:rPr>
              <w:t>及粉末固化</w:t>
            </w:r>
            <w:r>
              <w:rPr>
                <w:rFonts w:hint="default" w:ascii="Times New Roman" w:hAnsi="Times New Roman" w:eastAsia="宋体" w:cs="Times New Roman"/>
                <w:color w:val="auto"/>
                <w:kern w:val="0"/>
                <w:sz w:val="21"/>
                <w:szCs w:val="21"/>
                <w:lang w:val="en-US" w:eastAsia="zh-CN" w:bidi="ar"/>
              </w:rPr>
              <w:t>过程中</w:t>
            </w:r>
            <w:r>
              <w:rPr>
                <w:rFonts w:hint="eastAsia" w:ascii="Times New Roman" w:hAnsi="Times New Roman" w:eastAsia="宋体" w:cs="Times New Roman"/>
                <w:color w:val="auto"/>
                <w:kern w:val="0"/>
                <w:sz w:val="21"/>
                <w:szCs w:val="21"/>
                <w:lang w:val="en-US" w:eastAsia="zh-CN" w:bidi="ar"/>
              </w:rPr>
              <w:t>采用</w:t>
            </w:r>
            <w:r>
              <w:rPr>
                <w:rFonts w:hint="default" w:ascii="Times New Roman" w:hAnsi="Times New Roman" w:eastAsia="宋体" w:cs="Times New Roman"/>
                <w:color w:val="auto"/>
                <w:kern w:val="0"/>
                <w:sz w:val="21"/>
                <w:szCs w:val="21"/>
                <w:lang w:val="en-US" w:eastAsia="zh-CN" w:bidi="ar"/>
              </w:rPr>
              <w:t>天然气燃烧加热</w:t>
            </w:r>
            <w:r>
              <w:rPr>
                <w:rFonts w:hint="eastAsia" w:ascii="Times New Roman" w:hAnsi="Times New Roman" w:eastAsia="宋体" w:cs="Times New Roman"/>
                <w:color w:val="auto"/>
                <w:kern w:val="0"/>
                <w:sz w:val="21"/>
                <w:szCs w:val="21"/>
                <w:lang w:val="en-US" w:eastAsia="zh-CN" w:bidi="ar"/>
              </w:rPr>
              <w:t>方式，天然气燃烧</w:t>
            </w:r>
            <w:r>
              <w:rPr>
                <w:rFonts w:hint="default" w:ascii="Times New Roman" w:hAnsi="Times New Roman" w:eastAsia="宋体" w:cs="Times New Roman"/>
                <w:color w:val="auto"/>
                <w:kern w:val="0"/>
                <w:sz w:val="21"/>
                <w:szCs w:val="21"/>
                <w:lang w:val="en-US" w:eastAsia="zh-CN" w:bidi="ar"/>
              </w:rPr>
              <w:t>产生</w:t>
            </w:r>
            <w:r>
              <w:rPr>
                <w:rFonts w:hint="eastAsia" w:ascii="Times New Roman" w:hAnsi="Times New Roman" w:eastAsia="宋体" w:cs="Times New Roman"/>
                <w:color w:val="auto"/>
                <w:kern w:val="0"/>
                <w:sz w:val="21"/>
                <w:szCs w:val="21"/>
                <w:lang w:val="en-US" w:eastAsia="zh-CN" w:bidi="ar"/>
              </w:rPr>
              <w:t>的</w:t>
            </w:r>
            <w:r>
              <w:rPr>
                <w:rFonts w:hint="default" w:ascii="Times New Roman" w:hAnsi="Times New Roman" w:eastAsia="宋体" w:cs="Times New Roman"/>
                <w:color w:val="auto"/>
                <w:kern w:val="0"/>
                <w:sz w:val="21"/>
                <w:szCs w:val="21"/>
                <w:lang w:val="en-US" w:eastAsia="zh-CN" w:bidi="ar"/>
              </w:rPr>
              <w:t>废气主要含颗粒物、SO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、NO</w:t>
            </w:r>
            <w:r>
              <w:rPr>
                <w:rFonts w:hint="eastAsia" w:ascii="Times New Roman" w:hAnsi="Times New Roman" w:eastAsia="宋体" w:cs="Times New Roman"/>
                <w:color w:val="auto"/>
                <w:kern w:val="0"/>
                <w:sz w:val="21"/>
                <w:szCs w:val="21"/>
                <w:lang w:val="en-US" w:eastAsia="zh-CN" w:bidi="ar"/>
              </w:rPr>
              <w:t>x。污染物产生量依据</w:t>
            </w:r>
            <w:r>
              <w:rPr>
                <w:rFonts w:hint="eastAsia" w:ascii="Times New Roman" w:hAnsi="Times New Roman" w:eastAsia="宋体" w:cs="Times New Roman"/>
                <w:color w:val="auto"/>
                <w:kern w:val="2"/>
                <w:sz w:val="21"/>
                <w:szCs w:val="24"/>
                <w:lang w:val="en-US" w:eastAsia="zh-CN" w:bidi="ar-SA"/>
              </w:rPr>
              <w:t>《排放源统计调查产排污核算方法和系数手册》（公告2021年第24号）33-37，431-434 机械行业系数手册中14-涂装工序使用天然气产污系数进行计算，本项目燃烧天然气产生烟气、</w:t>
            </w:r>
            <w:r>
              <w:rPr>
                <w:rFonts w:hint="default" w:ascii="Times New Roman" w:hAnsi="Times New Roman" w:eastAsia="宋体" w:cs="Times New Roman"/>
                <w:color w:val="auto"/>
                <w:sz w:val="21"/>
                <w:szCs w:val="22"/>
                <w:lang w:val="en-US" w:eastAsia="zh-CN"/>
              </w:rPr>
              <w:t>SO</w:t>
            </w:r>
            <w:r>
              <w:rPr>
                <w:rFonts w:hint="default" w:ascii="Times New Roman" w:hAnsi="Times New Roman" w:eastAsia="宋体" w:cs="Times New Roman"/>
                <w:color w:val="auto"/>
                <w:sz w:val="21"/>
                <w:szCs w:val="22"/>
                <w:vertAlign w:val="subscript"/>
                <w:lang w:val="en-US" w:eastAsia="zh-CN"/>
              </w:rPr>
              <w:t>2</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sz w:val="21"/>
                <w:szCs w:val="22"/>
                <w:lang w:val="en-US" w:eastAsia="zh-CN"/>
              </w:rPr>
              <w:t>NO</w:t>
            </w:r>
            <w:r>
              <w:rPr>
                <w:rFonts w:hint="eastAsia" w:ascii="Times New Roman" w:hAnsi="Times New Roman" w:eastAsia="宋体" w:cs="Times New Roman"/>
                <w:color w:val="auto"/>
                <w:sz w:val="21"/>
                <w:szCs w:val="22"/>
                <w:vertAlign w:val="subscript"/>
                <w:lang w:val="en-US" w:eastAsia="zh-CN"/>
              </w:rPr>
              <w:t>X</w:t>
            </w:r>
            <w:r>
              <w:rPr>
                <w:rFonts w:hint="eastAsia" w:ascii="Times New Roman" w:hAnsi="Times New Roman" w:eastAsia="宋体" w:cs="Times New Roman"/>
                <w:color w:val="auto"/>
                <w:kern w:val="2"/>
                <w:sz w:val="21"/>
                <w:szCs w:val="24"/>
                <w:lang w:val="en-US" w:eastAsia="zh-CN" w:bidi="ar-SA"/>
              </w:rPr>
              <w:t>的产污系数见表4-1。</w:t>
            </w:r>
          </w:p>
          <w:p w14:paraId="32A2716B">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b/>
                <w:bCs/>
                <w:color w:val="auto"/>
                <w:sz w:val="21"/>
                <w:szCs w:val="21"/>
                <w:lang w:val="en-US" w:eastAsia="zh-CN"/>
              </w:rPr>
            </w:pPr>
            <w:r>
              <w:rPr>
                <w:rFonts w:hint="eastAsia"/>
                <w:b/>
                <w:bCs/>
                <w:color w:val="auto"/>
                <w:sz w:val="21"/>
                <w:szCs w:val="21"/>
                <w:lang w:val="en-US" w:eastAsia="zh-CN"/>
              </w:rPr>
              <w:t>表4-1 污染物产污系数一览表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37"/>
              <w:gridCol w:w="897"/>
              <w:gridCol w:w="1146"/>
              <w:gridCol w:w="1656"/>
              <w:gridCol w:w="984"/>
              <w:gridCol w:w="2592"/>
            </w:tblGrid>
            <w:tr w14:paraId="72B4D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dxa"/>
                  <w:tcBorders>
                    <w:tl2br w:val="nil"/>
                    <w:tr2bl w:val="nil"/>
                  </w:tcBorders>
                  <w:noWrap w:val="0"/>
                  <w:vAlign w:val="center"/>
                </w:tcPr>
                <w:p w14:paraId="1FB9B21B">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原料名称</w:t>
                  </w:r>
                </w:p>
              </w:tc>
              <w:tc>
                <w:tcPr>
                  <w:tcW w:w="900" w:type="dxa"/>
                  <w:tcBorders>
                    <w:tl2br w:val="nil"/>
                    <w:tr2bl w:val="nil"/>
                  </w:tcBorders>
                  <w:noWrap w:val="0"/>
                  <w:vAlign w:val="center"/>
                </w:tcPr>
                <w:p w14:paraId="2D2D72A4">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规模等级</w:t>
                  </w:r>
                </w:p>
              </w:tc>
              <w:tc>
                <w:tcPr>
                  <w:tcW w:w="1150" w:type="dxa"/>
                  <w:tcBorders>
                    <w:tl2br w:val="nil"/>
                    <w:tr2bl w:val="nil"/>
                  </w:tcBorders>
                  <w:noWrap w:val="0"/>
                  <w:vAlign w:val="center"/>
                </w:tcPr>
                <w:p w14:paraId="64B2294B">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污染物指标</w:t>
                  </w:r>
                </w:p>
              </w:tc>
              <w:tc>
                <w:tcPr>
                  <w:tcW w:w="1662" w:type="dxa"/>
                  <w:tcBorders>
                    <w:tl2br w:val="nil"/>
                    <w:tr2bl w:val="nil"/>
                  </w:tcBorders>
                  <w:noWrap w:val="0"/>
                  <w:vAlign w:val="center"/>
                </w:tcPr>
                <w:p w14:paraId="416F4123">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单位</w:t>
                  </w:r>
                </w:p>
              </w:tc>
              <w:tc>
                <w:tcPr>
                  <w:tcW w:w="988" w:type="dxa"/>
                  <w:tcBorders>
                    <w:tl2br w:val="nil"/>
                    <w:tr2bl w:val="nil"/>
                  </w:tcBorders>
                  <w:noWrap w:val="0"/>
                  <w:vAlign w:val="center"/>
                </w:tcPr>
                <w:p w14:paraId="0931FA95">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产污系数</w:t>
                  </w:r>
                </w:p>
              </w:tc>
              <w:tc>
                <w:tcPr>
                  <w:tcW w:w="2602" w:type="dxa"/>
                  <w:tcBorders>
                    <w:tl2br w:val="nil"/>
                    <w:tr2bl w:val="nil"/>
                  </w:tcBorders>
                  <w:noWrap w:val="0"/>
                  <w:vAlign w:val="center"/>
                </w:tcPr>
                <w:p w14:paraId="1ECEC926">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参数来源</w:t>
                  </w:r>
                </w:p>
              </w:tc>
            </w:tr>
            <w:tr w14:paraId="274C6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dxa"/>
                  <w:vMerge w:val="restart"/>
                  <w:tcBorders>
                    <w:tl2br w:val="nil"/>
                    <w:tr2bl w:val="nil"/>
                  </w:tcBorders>
                  <w:noWrap w:val="0"/>
                  <w:vAlign w:val="center"/>
                </w:tcPr>
                <w:p w14:paraId="02FE07BE">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天然气</w:t>
                  </w:r>
                </w:p>
              </w:tc>
              <w:tc>
                <w:tcPr>
                  <w:tcW w:w="900" w:type="dxa"/>
                  <w:vMerge w:val="restart"/>
                  <w:tcBorders>
                    <w:tl2br w:val="nil"/>
                    <w:tr2bl w:val="nil"/>
                  </w:tcBorders>
                  <w:noWrap w:val="0"/>
                  <w:vAlign w:val="center"/>
                </w:tcPr>
                <w:p w14:paraId="2280D59B">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所有规模</w:t>
                  </w:r>
                </w:p>
              </w:tc>
              <w:tc>
                <w:tcPr>
                  <w:tcW w:w="1150" w:type="dxa"/>
                  <w:tcBorders>
                    <w:tl2br w:val="nil"/>
                    <w:tr2bl w:val="nil"/>
                  </w:tcBorders>
                  <w:noWrap w:val="0"/>
                  <w:vAlign w:val="center"/>
                </w:tcPr>
                <w:p w14:paraId="16E10DEB">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b w:val="0"/>
                      <w:bCs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颗粒物</w:t>
                  </w:r>
                </w:p>
              </w:tc>
              <w:tc>
                <w:tcPr>
                  <w:tcW w:w="1662" w:type="dxa"/>
                  <w:tcBorders>
                    <w:tl2br w:val="nil"/>
                    <w:tr2bl w:val="nil"/>
                  </w:tcBorders>
                  <w:noWrap w:val="0"/>
                  <w:vAlign w:val="center"/>
                </w:tcPr>
                <w:p w14:paraId="34C71818">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b w:val="0"/>
                      <w:bCs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千克/立方米-原料</w:t>
                  </w:r>
                </w:p>
              </w:tc>
              <w:tc>
                <w:tcPr>
                  <w:tcW w:w="988" w:type="dxa"/>
                  <w:tcBorders>
                    <w:tl2br w:val="nil"/>
                    <w:tr2bl w:val="nil"/>
                  </w:tcBorders>
                  <w:noWrap w:val="0"/>
                  <w:vAlign w:val="center"/>
                </w:tcPr>
                <w:p w14:paraId="139DF29F">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b w:val="0"/>
                      <w:bCs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0.000286</w:t>
                  </w:r>
                </w:p>
              </w:tc>
              <w:tc>
                <w:tcPr>
                  <w:tcW w:w="2602" w:type="dxa"/>
                  <w:vMerge w:val="restart"/>
                  <w:tcBorders>
                    <w:tl2br w:val="nil"/>
                    <w:tr2bl w:val="nil"/>
                  </w:tcBorders>
                  <w:noWrap w:val="0"/>
                  <w:vAlign w:val="center"/>
                </w:tcPr>
                <w:p w14:paraId="14767D8C">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val="0"/>
                      <w:bCs w:val="0"/>
                      <w:color w:val="auto"/>
                      <w:sz w:val="21"/>
                      <w:szCs w:val="21"/>
                      <w:vertAlign w:val="baseline"/>
                      <w:lang w:val="en-US" w:eastAsia="zh-CN"/>
                    </w:rPr>
                  </w:pPr>
                  <w:r>
                    <w:rPr>
                      <w:rFonts w:hint="eastAsia"/>
                      <w:b w:val="0"/>
                      <w:bCs w:val="0"/>
                      <w:color w:val="auto"/>
                      <w:sz w:val="21"/>
                      <w:szCs w:val="21"/>
                      <w:vertAlign w:val="baseline"/>
                      <w:lang w:val="en-US" w:eastAsia="zh-CN"/>
                    </w:rPr>
                    <w:t>《排放源统计调查产排污核算方法和系数手册》（公告2021年第24号）</w:t>
                  </w:r>
                  <w:r>
                    <w:rPr>
                      <w:rFonts w:hint="eastAsia" w:ascii="Times New Roman" w:hAnsi="Times New Roman" w:eastAsia="宋体" w:cs="Times New Roman"/>
                      <w:color w:val="auto"/>
                      <w:kern w:val="2"/>
                      <w:sz w:val="21"/>
                      <w:szCs w:val="24"/>
                      <w:lang w:val="en-US" w:eastAsia="zh-CN" w:bidi="ar-SA"/>
                    </w:rPr>
                    <w:t>33-37，431-434 机械行业系数手册14-涂装</w:t>
                  </w:r>
                </w:p>
              </w:tc>
            </w:tr>
            <w:tr w14:paraId="6FC0E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dxa"/>
                  <w:vMerge w:val="continue"/>
                  <w:tcBorders>
                    <w:tl2br w:val="nil"/>
                    <w:tr2bl w:val="nil"/>
                  </w:tcBorders>
                  <w:noWrap w:val="0"/>
                  <w:vAlign w:val="center"/>
                </w:tcPr>
                <w:p w14:paraId="145113EB">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val="0"/>
                      <w:bCs w:val="0"/>
                      <w:color w:val="auto"/>
                      <w:sz w:val="21"/>
                      <w:szCs w:val="21"/>
                      <w:vertAlign w:val="baseline"/>
                      <w:lang w:val="en-US" w:eastAsia="zh-CN"/>
                    </w:rPr>
                  </w:pPr>
                </w:p>
              </w:tc>
              <w:tc>
                <w:tcPr>
                  <w:tcW w:w="900" w:type="dxa"/>
                  <w:vMerge w:val="continue"/>
                  <w:tcBorders>
                    <w:tl2br w:val="nil"/>
                    <w:tr2bl w:val="nil"/>
                  </w:tcBorders>
                  <w:noWrap w:val="0"/>
                  <w:vAlign w:val="center"/>
                </w:tcPr>
                <w:p w14:paraId="54977228">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val="0"/>
                      <w:bCs w:val="0"/>
                      <w:color w:val="auto"/>
                      <w:sz w:val="21"/>
                      <w:szCs w:val="21"/>
                      <w:vertAlign w:val="baseline"/>
                      <w:lang w:val="en-US" w:eastAsia="zh-CN"/>
                    </w:rPr>
                  </w:pPr>
                </w:p>
              </w:tc>
              <w:tc>
                <w:tcPr>
                  <w:tcW w:w="1150" w:type="dxa"/>
                  <w:tcBorders>
                    <w:tl2br w:val="nil"/>
                    <w:tr2bl w:val="nil"/>
                  </w:tcBorders>
                  <w:noWrap w:val="0"/>
                  <w:vAlign w:val="center"/>
                </w:tcPr>
                <w:p w14:paraId="46F9C567">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b w:val="0"/>
                      <w:bCs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SO</w:t>
                  </w:r>
                  <w:r>
                    <w:rPr>
                      <w:rFonts w:hint="eastAsia"/>
                      <w:b w:val="0"/>
                      <w:bCs w:val="0"/>
                      <w:color w:val="auto"/>
                      <w:sz w:val="21"/>
                      <w:szCs w:val="21"/>
                      <w:vertAlign w:val="subscript"/>
                      <w:lang w:val="en-US" w:eastAsia="zh-CN"/>
                    </w:rPr>
                    <w:t>2</w:t>
                  </w:r>
                </w:p>
              </w:tc>
              <w:tc>
                <w:tcPr>
                  <w:tcW w:w="1662" w:type="dxa"/>
                  <w:tcBorders>
                    <w:tl2br w:val="nil"/>
                    <w:tr2bl w:val="nil"/>
                  </w:tcBorders>
                  <w:noWrap w:val="0"/>
                  <w:vAlign w:val="center"/>
                </w:tcPr>
                <w:p w14:paraId="4CA3F14A">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b w:val="0"/>
                      <w:bCs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千克/立方米-原料</w:t>
                  </w:r>
                </w:p>
              </w:tc>
              <w:tc>
                <w:tcPr>
                  <w:tcW w:w="988" w:type="dxa"/>
                  <w:tcBorders>
                    <w:tl2br w:val="nil"/>
                    <w:tr2bl w:val="nil"/>
                  </w:tcBorders>
                  <w:noWrap w:val="0"/>
                  <w:vAlign w:val="center"/>
                </w:tcPr>
                <w:p w14:paraId="76E63163">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b w:val="0"/>
                      <w:bCs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0.000002S</w:t>
                  </w:r>
                </w:p>
              </w:tc>
              <w:tc>
                <w:tcPr>
                  <w:tcW w:w="2602" w:type="dxa"/>
                  <w:vMerge w:val="continue"/>
                  <w:tcBorders>
                    <w:tl2br w:val="nil"/>
                    <w:tr2bl w:val="nil"/>
                  </w:tcBorders>
                  <w:noWrap w:val="0"/>
                  <w:vAlign w:val="center"/>
                </w:tcPr>
                <w:p w14:paraId="223F3C43">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val="0"/>
                      <w:bCs w:val="0"/>
                      <w:color w:val="auto"/>
                      <w:sz w:val="21"/>
                      <w:szCs w:val="21"/>
                      <w:vertAlign w:val="baseline"/>
                      <w:lang w:val="en-US" w:eastAsia="zh-CN"/>
                    </w:rPr>
                  </w:pPr>
                </w:p>
              </w:tc>
            </w:tr>
            <w:tr w14:paraId="3B4DF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dxa"/>
                  <w:vMerge w:val="continue"/>
                  <w:tcBorders>
                    <w:tl2br w:val="nil"/>
                    <w:tr2bl w:val="nil"/>
                  </w:tcBorders>
                  <w:noWrap w:val="0"/>
                  <w:vAlign w:val="center"/>
                </w:tcPr>
                <w:p w14:paraId="6A13C15A">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val="0"/>
                      <w:bCs w:val="0"/>
                      <w:color w:val="auto"/>
                      <w:sz w:val="21"/>
                      <w:szCs w:val="21"/>
                      <w:vertAlign w:val="baseline"/>
                      <w:lang w:val="en-US" w:eastAsia="zh-CN"/>
                    </w:rPr>
                  </w:pPr>
                </w:p>
              </w:tc>
              <w:tc>
                <w:tcPr>
                  <w:tcW w:w="900" w:type="dxa"/>
                  <w:vMerge w:val="continue"/>
                  <w:tcBorders>
                    <w:tl2br w:val="nil"/>
                    <w:tr2bl w:val="nil"/>
                  </w:tcBorders>
                  <w:noWrap w:val="0"/>
                  <w:vAlign w:val="center"/>
                </w:tcPr>
                <w:p w14:paraId="603ED1C2">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val="0"/>
                      <w:bCs w:val="0"/>
                      <w:color w:val="auto"/>
                      <w:sz w:val="21"/>
                      <w:szCs w:val="21"/>
                      <w:vertAlign w:val="baseline"/>
                      <w:lang w:val="en-US" w:eastAsia="zh-CN"/>
                    </w:rPr>
                  </w:pPr>
                </w:p>
              </w:tc>
              <w:tc>
                <w:tcPr>
                  <w:tcW w:w="1150" w:type="dxa"/>
                  <w:tcBorders>
                    <w:tl2br w:val="nil"/>
                    <w:tr2bl w:val="nil"/>
                  </w:tcBorders>
                  <w:noWrap w:val="0"/>
                  <w:vAlign w:val="center"/>
                </w:tcPr>
                <w:p w14:paraId="6E17B44D">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NO</w:t>
                  </w:r>
                  <w:r>
                    <w:rPr>
                      <w:rFonts w:hint="eastAsia" w:ascii="Times New Roman" w:hAnsi="Times New Roman" w:eastAsia="宋体" w:cs="Times New Roman"/>
                      <w:b w:val="0"/>
                      <w:bCs w:val="0"/>
                      <w:color w:val="auto"/>
                      <w:sz w:val="21"/>
                      <w:szCs w:val="21"/>
                      <w:vertAlign w:val="baseline"/>
                      <w:lang w:val="en-US" w:eastAsia="zh-CN"/>
                    </w:rPr>
                    <w:t>x</w:t>
                  </w:r>
                </w:p>
              </w:tc>
              <w:tc>
                <w:tcPr>
                  <w:tcW w:w="1662" w:type="dxa"/>
                  <w:tcBorders>
                    <w:tl2br w:val="nil"/>
                    <w:tr2bl w:val="nil"/>
                  </w:tcBorders>
                  <w:noWrap w:val="0"/>
                  <w:vAlign w:val="center"/>
                </w:tcPr>
                <w:p w14:paraId="16999226">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b w:val="0"/>
                      <w:bCs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千克/立方米-原料</w:t>
                  </w:r>
                </w:p>
              </w:tc>
              <w:tc>
                <w:tcPr>
                  <w:tcW w:w="988" w:type="dxa"/>
                  <w:tcBorders>
                    <w:tl2br w:val="nil"/>
                    <w:tr2bl w:val="nil"/>
                  </w:tcBorders>
                  <w:noWrap w:val="0"/>
                  <w:vAlign w:val="center"/>
                </w:tcPr>
                <w:p w14:paraId="5401D2E2">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b w:val="0"/>
                      <w:bCs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0.00187</w:t>
                  </w:r>
                </w:p>
              </w:tc>
              <w:tc>
                <w:tcPr>
                  <w:tcW w:w="2602" w:type="dxa"/>
                  <w:vMerge w:val="continue"/>
                  <w:tcBorders>
                    <w:tl2br w:val="nil"/>
                    <w:tr2bl w:val="nil"/>
                  </w:tcBorders>
                  <w:noWrap w:val="0"/>
                  <w:vAlign w:val="center"/>
                </w:tcPr>
                <w:p w14:paraId="6D9BFDEA">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b w:val="0"/>
                      <w:bCs w:val="0"/>
                      <w:color w:val="auto"/>
                      <w:sz w:val="21"/>
                      <w:szCs w:val="21"/>
                      <w:vertAlign w:val="baseline"/>
                      <w:lang w:val="en-US" w:eastAsia="zh-CN"/>
                    </w:rPr>
                  </w:pPr>
                </w:p>
              </w:tc>
            </w:tr>
            <w:tr w14:paraId="40AB4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3" w:type="dxa"/>
                  <w:gridSpan w:val="6"/>
                  <w:tcBorders>
                    <w:tl2br w:val="nil"/>
                    <w:tr2bl w:val="nil"/>
                  </w:tcBorders>
                  <w:noWrap w:val="0"/>
                  <w:vAlign w:val="center"/>
                </w:tcPr>
                <w:p w14:paraId="6EFF35C0">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b w:val="0"/>
                      <w:bCs w:val="0"/>
                      <w:color w:val="auto"/>
                      <w:sz w:val="21"/>
                      <w:szCs w:val="21"/>
                      <w:vertAlign w:val="baseline"/>
                      <w:lang w:val="en-US" w:eastAsia="zh-CN"/>
                    </w:rPr>
                  </w:pPr>
                  <w:r>
                    <w:rPr>
                      <w:rFonts w:hint="eastAsia"/>
                      <w:b w:val="0"/>
                      <w:bCs w:val="0"/>
                      <w:color w:val="auto"/>
                      <w:sz w:val="21"/>
                      <w:szCs w:val="21"/>
                      <w:vertAlign w:val="baseline"/>
                      <w:lang w:val="en-US" w:eastAsia="zh-CN"/>
                    </w:rPr>
                    <w:t>注：SO</w:t>
                  </w:r>
                  <w:r>
                    <w:rPr>
                      <w:rFonts w:hint="eastAsia"/>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vertAlign w:val="baseline"/>
                      <w:lang w:val="en-US" w:eastAsia="zh-CN"/>
                    </w:rPr>
                    <w:t>的产排污系数是以含硫量（S）的行使表示的，其中含硫量（S）是指燃气收到基硫分含量，单位为m</w:t>
                  </w:r>
                  <w:r>
                    <w:rPr>
                      <w:rFonts w:hint="eastAsia" w:ascii="Times New Roman" w:hAnsi="Times New Roman" w:eastAsia="宋体" w:cs="Times New Roman"/>
                      <w:color w:val="auto"/>
                      <w:kern w:val="0"/>
                      <w:sz w:val="21"/>
                      <w:szCs w:val="21"/>
                      <w:lang w:val="en-US" w:eastAsia="zh-CN" w:bidi="ar"/>
                    </w:rPr>
                    <w:t>g/</w:t>
                  </w:r>
                  <w:r>
                    <w:rPr>
                      <w:rFonts w:hint="default" w:ascii="Times New Roman" w:hAnsi="Times New Roman" w:eastAsia="宋体" w:cs="Times New Roman"/>
                      <w:color w:val="auto"/>
                      <w:kern w:val="0"/>
                      <w:sz w:val="21"/>
                      <w:szCs w:val="21"/>
                      <w:lang w:val="en-US" w:eastAsia="zh-CN" w:bidi="ar"/>
                    </w:rPr>
                    <w:t>m</w:t>
                  </w:r>
                  <w:r>
                    <w:rPr>
                      <w:rFonts w:hint="eastAsia" w:ascii="Times New Roman" w:hAnsi="Times New Roman" w:eastAsia="宋体" w:cs="Times New Roman"/>
                      <w:color w:val="auto"/>
                      <w:kern w:val="0"/>
                      <w:sz w:val="21"/>
                      <w:szCs w:val="21"/>
                      <w:vertAlign w:val="superscript"/>
                      <w:lang w:val="en-US" w:eastAsia="zh-CN" w:bidi="ar"/>
                    </w:rPr>
                    <w:t>3</w:t>
                  </w:r>
                  <w:r>
                    <w:rPr>
                      <w:rFonts w:hint="eastAsia" w:ascii="Times New Roman" w:hAnsi="Times New Roman" w:eastAsia="宋体" w:cs="Times New Roman"/>
                      <w:b w:val="0"/>
                      <w:bCs w:val="0"/>
                      <w:color w:val="auto"/>
                      <w:sz w:val="21"/>
                      <w:szCs w:val="21"/>
                      <w:vertAlign w:val="baseline"/>
                      <w:lang w:val="en-US" w:eastAsia="zh-CN"/>
                    </w:rPr>
                    <w:t>。根据国家标准《天然气》（G</w:t>
                  </w:r>
                  <w:r>
                    <w:rPr>
                      <w:rFonts w:hint="eastAsia" w:cs="Times New Roman"/>
                      <w:b w:val="0"/>
                      <w:bCs w:val="0"/>
                      <w:color w:val="auto"/>
                      <w:sz w:val="21"/>
                      <w:szCs w:val="21"/>
                      <w:vertAlign w:val="baseline"/>
                      <w:lang w:val="en-US" w:eastAsia="zh-CN"/>
                    </w:rPr>
                    <w:t>B</w:t>
                  </w:r>
                  <w:r>
                    <w:rPr>
                      <w:rFonts w:hint="eastAsia" w:ascii="Times New Roman" w:hAnsi="Times New Roman" w:eastAsia="宋体" w:cs="Times New Roman"/>
                      <w:b w:val="0"/>
                      <w:bCs w:val="0"/>
                      <w:color w:val="auto"/>
                      <w:sz w:val="21"/>
                      <w:szCs w:val="21"/>
                      <w:vertAlign w:val="baseline"/>
                      <w:lang w:val="en-US" w:eastAsia="zh-CN"/>
                    </w:rPr>
                    <w:t>17820-2018）表1</w:t>
                  </w:r>
                  <w:r>
                    <w:rPr>
                      <w:rFonts w:hint="eastAsia" w:cs="Times New Roman"/>
                      <w:b w:val="0"/>
                      <w:bCs w:val="0"/>
                      <w:color w:val="auto"/>
                      <w:sz w:val="21"/>
                      <w:szCs w:val="21"/>
                      <w:vertAlign w:val="baseline"/>
                      <w:lang w:val="en-US" w:eastAsia="zh-CN"/>
                    </w:rPr>
                    <w:t>一</w:t>
                  </w:r>
                  <w:r>
                    <w:rPr>
                      <w:rFonts w:hint="eastAsia" w:ascii="Times New Roman" w:hAnsi="Times New Roman" w:eastAsia="宋体" w:cs="Times New Roman"/>
                      <w:b w:val="0"/>
                      <w:bCs w:val="0"/>
                      <w:color w:val="auto"/>
                      <w:sz w:val="21"/>
                      <w:szCs w:val="21"/>
                      <w:vertAlign w:val="baseline"/>
                      <w:lang w:val="en-US" w:eastAsia="zh-CN"/>
                    </w:rPr>
                    <w:t>类天然气质量总硫（以硫计）为≤</w:t>
                  </w:r>
                  <w:r>
                    <w:rPr>
                      <w:rFonts w:hint="eastAsia"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val="en-US" w:eastAsia="zh-CN"/>
                    </w:rPr>
                    <w:t>0mg/m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，则S取=</w:t>
                  </w:r>
                  <w:r>
                    <w:rPr>
                      <w:rFonts w:hint="eastAsia"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val="en-US" w:eastAsia="zh-CN"/>
                    </w:rPr>
                    <w:t>0mg/m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，则二氧化硫的污染物指标为0.000</w:t>
                  </w:r>
                  <w:r>
                    <w:rPr>
                      <w:rFonts w:hint="eastAsia" w:cs="Times New Roman"/>
                      <w:b w:val="0"/>
                      <w:bCs w:val="0"/>
                      <w:color w:val="auto"/>
                      <w:sz w:val="21"/>
                      <w:szCs w:val="21"/>
                      <w:vertAlign w:val="baseline"/>
                      <w:lang w:val="en-US" w:eastAsia="zh-CN"/>
                    </w:rPr>
                    <w:t>04</w:t>
                  </w:r>
                  <w:r>
                    <w:rPr>
                      <w:rFonts w:hint="eastAsia" w:ascii="Times New Roman" w:hAnsi="Times New Roman" w:eastAsia="宋体" w:cs="Times New Roman"/>
                      <w:b w:val="0"/>
                      <w:bCs w:val="0"/>
                      <w:color w:val="auto"/>
                      <w:sz w:val="21"/>
                      <w:szCs w:val="21"/>
                      <w:vertAlign w:val="baseline"/>
                      <w:lang w:val="en-US" w:eastAsia="zh-CN"/>
                    </w:rPr>
                    <w:t>kg/m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p>
              </w:tc>
            </w:tr>
          </w:tbl>
          <w:p w14:paraId="5A501CC9">
            <w:pPr>
              <w:pStyle w:val="25"/>
              <w:keepNext w:val="0"/>
              <w:keepLines w:val="0"/>
              <w:pageBreakBefore w:val="0"/>
              <w:widowControl/>
              <w:kinsoku/>
              <w:wordWrap/>
              <w:overflowPunct/>
              <w:topLinePunct w:val="0"/>
              <w:autoSpaceDE/>
              <w:autoSpaceDN/>
              <w:bidi w:val="0"/>
              <w:adjustRightInd/>
              <w:spacing w:before="0" w:beforeAutospacing="0" w:after="0" w:afterAutospacing="0" w:line="360" w:lineRule="auto"/>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2"/>
                <w:sz w:val="21"/>
                <w:szCs w:val="24"/>
                <w:lang w:val="en-US" w:eastAsia="zh-CN" w:bidi="ar-SA"/>
              </w:rPr>
              <w:t>本项目</w:t>
            </w:r>
            <w:r>
              <w:rPr>
                <w:rFonts w:hint="eastAsia" w:ascii="Times New Roman" w:hAnsi="Times New Roman" w:cs="Times New Roman"/>
                <w:color w:val="auto"/>
                <w:kern w:val="2"/>
                <w:sz w:val="21"/>
                <w:szCs w:val="24"/>
                <w:lang w:val="en-US" w:eastAsia="zh-CN" w:bidi="ar-SA"/>
              </w:rPr>
              <w:t>两套天然气烘干炉</w:t>
            </w:r>
            <w:r>
              <w:rPr>
                <w:rFonts w:hint="default" w:ascii="Times New Roman" w:hAnsi="Times New Roman" w:eastAsia="宋体" w:cs="Times New Roman"/>
                <w:color w:val="auto"/>
                <w:kern w:val="2"/>
                <w:sz w:val="21"/>
                <w:szCs w:val="24"/>
                <w:lang w:val="en-US" w:eastAsia="zh-CN" w:bidi="ar-SA"/>
              </w:rPr>
              <w:t>天然气</w:t>
            </w:r>
            <w:r>
              <w:rPr>
                <w:rFonts w:hint="eastAsia" w:ascii="Times New Roman" w:hAnsi="Times New Roman" w:cs="Times New Roman"/>
                <w:color w:val="auto"/>
                <w:kern w:val="2"/>
                <w:sz w:val="21"/>
                <w:szCs w:val="24"/>
                <w:lang w:val="en-US" w:eastAsia="zh-CN" w:bidi="ar-SA"/>
              </w:rPr>
              <w:t>总</w:t>
            </w:r>
            <w:r>
              <w:rPr>
                <w:rFonts w:hint="default" w:ascii="Times New Roman" w:hAnsi="Times New Roman" w:eastAsia="宋体" w:cs="Times New Roman"/>
                <w:color w:val="auto"/>
                <w:kern w:val="2"/>
                <w:sz w:val="21"/>
                <w:szCs w:val="24"/>
                <w:lang w:val="en-US" w:eastAsia="zh-CN" w:bidi="ar-SA"/>
              </w:rPr>
              <w:t>用量约为</w:t>
            </w:r>
            <w:r>
              <w:rPr>
                <w:rFonts w:hint="eastAsia" w:ascii="Times New Roman" w:hAnsi="Times New Roman" w:eastAsia="宋体" w:cs="Times New Roman"/>
                <w:color w:val="auto"/>
                <w:kern w:val="2"/>
                <w:sz w:val="21"/>
                <w:szCs w:val="24"/>
                <w:lang w:val="en-US" w:eastAsia="zh-CN" w:bidi="ar-SA"/>
              </w:rPr>
              <w:t>10</w:t>
            </w:r>
            <w:r>
              <w:rPr>
                <w:rFonts w:hint="default" w:ascii="Times New Roman" w:hAnsi="Times New Roman" w:eastAsia="宋体" w:cs="Times New Roman"/>
                <w:color w:val="auto"/>
                <w:kern w:val="2"/>
                <w:sz w:val="21"/>
                <w:szCs w:val="24"/>
                <w:lang w:val="en-US" w:eastAsia="zh-CN" w:bidi="ar-SA"/>
              </w:rPr>
              <w:t>万m</w:t>
            </w:r>
            <w:r>
              <w:rPr>
                <w:rFonts w:hint="default" w:ascii="Times New Roman" w:hAnsi="Times New Roman" w:eastAsia="宋体" w:cs="Times New Roman"/>
                <w:color w:val="auto"/>
                <w:kern w:val="2"/>
                <w:sz w:val="21"/>
                <w:szCs w:val="24"/>
                <w:vertAlign w:val="superscript"/>
                <w:lang w:val="en-US" w:eastAsia="zh-CN" w:bidi="ar-SA"/>
              </w:rPr>
              <w:t>3</w:t>
            </w:r>
            <w:r>
              <w:rPr>
                <w:rFonts w:hint="default" w:ascii="Times New Roman" w:hAnsi="Times New Roman" w:eastAsia="宋体" w:cs="Times New Roman"/>
                <w:color w:val="auto"/>
                <w:kern w:val="2"/>
                <w:sz w:val="21"/>
                <w:szCs w:val="24"/>
                <w:lang w:val="en-US" w:eastAsia="zh-CN" w:bidi="ar-SA"/>
              </w:rPr>
              <w:t>/a</w:t>
            </w:r>
            <w:r>
              <w:rPr>
                <w:rFonts w:hint="eastAsia" w:ascii="Times New Roman" w:hAnsi="Times New Roman" w:eastAsia="宋体" w:cs="Times New Roman"/>
                <w:color w:val="auto"/>
                <w:kern w:val="2"/>
                <w:sz w:val="21"/>
                <w:szCs w:val="24"/>
                <w:lang w:val="en-US" w:eastAsia="zh-CN" w:bidi="ar-SA"/>
              </w:rPr>
              <w:t>。</w:t>
            </w:r>
            <w:r>
              <w:rPr>
                <w:rFonts w:hint="eastAsia" w:ascii="Times New Roman" w:hAnsi="Times New Roman" w:cs="Times New Roman"/>
                <w:color w:val="auto"/>
                <w:kern w:val="2"/>
                <w:sz w:val="21"/>
                <w:szCs w:val="24"/>
                <w:lang w:val="en-US" w:eastAsia="zh-CN" w:bidi="ar-SA"/>
              </w:rPr>
              <w:t>则废气污染物产生量分别为颗粒物0.0286t/a，SO</w:t>
            </w:r>
            <w:r>
              <w:rPr>
                <w:rFonts w:hint="eastAsia" w:ascii="Times New Roman" w:hAnsi="Times New Roman" w:cs="Times New Roman"/>
                <w:color w:val="auto"/>
                <w:kern w:val="2"/>
                <w:sz w:val="21"/>
                <w:szCs w:val="24"/>
                <w:vertAlign w:val="subscript"/>
                <w:lang w:val="en-US" w:eastAsia="zh-CN" w:bidi="ar-SA"/>
              </w:rPr>
              <w:t>2</w:t>
            </w:r>
            <w:r>
              <w:rPr>
                <w:rFonts w:hint="eastAsia" w:ascii="Times New Roman" w:hAnsi="Times New Roman" w:cs="Times New Roman"/>
                <w:color w:val="auto"/>
                <w:kern w:val="2"/>
                <w:sz w:val="21"/>
                <w:szCs w:val="24"/>
                <w:lang w:val="en-US" w:eastAsia="zh-CN" w:bidi="ar-SA"/>
              </w:rPr>
              <w:t>0.004t/a、NOx0.187t/a，</w:t>
            </w:r>
            <w:r>
              <w:rPr>
                <w:rFonts w:hint="default" w:ascii="Times New Roman" w:hAnsi="Times New Roman" w:eastAsia="宋体" w:cs="Times New Roman"/>
                <w:color w:val="auto"/>
                <w:kern w:val="0"/>
                <w:sz w:val="21"/>
                <w:szCs w:val="21"/>
                <w:lang w:val="en-US" w:eastAsia="zh-CN" w:bidi="ar"/>
              </w:rPr>
              <w:t>天然气燃烧</w:t>
            </w:r>
            <w:r>
              <w:rPr>
                <w:rFonts w:hint="eastAsia" w:ascii="Times New Roman" w:hAnsi="Times New Roman" w:eastAsia="宋体" w:cs="Times New Roman"/>
                <w:color w:val="auto"/>
                <w:kern w:val="0"/>
                <w:sz w:val="21"/>
                <w:szCs w:val="21"/>
                <w:lang w:val="en-US" w:eastAsia="zh-CN" w:bidi="ar"/>
              </w:rPr>
              <w:t>采用低氮燃烧技术</w:t>
            </w:r>
            <w:r>
              <w:rPr>
                <w:rFonts w:hint="eastAsia" w:ascii="Times New Roman" w:hAnsi="Times New Roman" w:cs="Times New Roman"/>
                <w:color w:val="auto"/>
                <w:kern w:val="0"/>
                <w:sz w:val="21"/>
                <w:szCs w:val="21"/>
                <w:lang w:val="en-US" w:eastAsia="zh-CN" w:bidi="ar"/>
              </w:rPr>
              <w:t>，根据《排放源统计调查产排污核算方法和系数手册》（公告2021年第24号）33-37，431-434 机械行业系数手册14-涂装采用低氮燃烧技术</w:t>
            </w:r>
            <w:r>
              <w:rPr>
                <w:rFonts w:hint="eastAsia" w:ascii="Times New Roman" w:hAnsi="Times New Roman" w:cs="Times New Roman"/>
                <w:color w:val="auto"/>
                <w:kern w:val="2"/>
                <w:sz w:val="21"/>
                <w:szCs w:val="24"/>
                <w:lang w:val="en-US" w:eastAsia="zh-CN" w:bidi="ar-SA"/>
              </w:rPr>
              <w:t>NOx产生量减少50%，则项目氮氧化物最终排放量为0.0935t/a</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cs="Times New Roman"/>
                <w:color w:val="auto"/>
                <w:kern w:val="0"/>
                <w:sz w:val="21"/>
                <w:szCs w:val="21"/>
                <w:lang w:val="en-US" w:eastAsia="zh-CN" w:bidi="ar"/>
              </w:rPr>
              <w:t>天然气燃烧废气与粉末固化废气一起经15m高DA006排气筒排放。</w:t>
            </w:r>
          </w:p>
          <w:p w14:paraId="2C9F5AA7">
            <w:pPr>
              <w:pStyle w:val="25"/>
              <w:keepNext w:val="0"/>
              <w:keepLines w:val="0"/>
              <w:pageBreakBefore w:val="0"/>
              <w:widowControl/>
              <w:kinsoku/>
              <w:wordWrap/>
              <w:overflowPunct/>
              <w:topLinePunct w:val="0"/>
              <w:autoSpaceDE/>
              <w:autoSpaceDN/>
              <w:bidi w:val="0"/>
              <w:adjustRightInd/>
              <w:spacing w:before="0" w:beforeAutospacing="0" w:after="0" w:afterAutospacing="0"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（2）喷塑废气</w:t>
            </w:r>
          </w:p>
          <w:p w14:paraId="2C202AA1">
            <w:pPr>
              <w:pStyle w:val="25"/>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项目喷塑工序采用静电喷涂工艺，喷塑过程</w:t>
            </w:r>
            <w:r>
              <w:rPr>
                <w:rFonts w:hint="eastAsia" w:ascii="Times New Roman" w:hAnsi="Times New Roman" w:cs="Times New Roman"/>
                <w:color w:val="auto"/>
                <w:sz w:val="21"/>
                <w:szCs w:val="21"/>
                <w:highlight w:val="none"/>
                <w:lang w:val="en-US" w:eastAsia="zh-CN"/>
              </w:rPr>
              <w:t>在密闭的喷塑房内进行，喷塑过程</w:t>
            </w:r>
            <w:r>
              <w:rPr>
                <w:rFonts w:hint="default" w:ascii="Times New Roman" w:hAnsi="Times New Roman" w:cs="Times New Roman"/>
                <w:color w:val="auto"/>
                <w:sz w:val="21"/>
                <w:szCs w:val="21"/>
                <w:highlight w:val="none"/>
                <w:lang w:val="en-US" w:eastAsia="zh-CN"/>
              </w:rPr>
              <w:t>会产生粉尘，以颗粒物计</w:t>
            </w:r>
            <w:r>
              <w:rPr>
                <w:rFonts w:hint="eastAsia" w:ascii="Times New Roman" w:hAnsi="Times New Roman" w:cs="Times New Roman"/>
                <w:color w:val="auto"/>
                <w:sz w:val="21"/>
                <w:szCs w:val="21"/>
                <w:highlight w:val="none"/>
                <w:lang w:val="en-US" w:eastAsia="zh-CN"/>
              </w:rPr>
              <w:t>，喷塑间采用密闭负压收集</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根据</w:t>
            </w:r>
            <w:r>
              <w:rPr>
                <w:rFonts w:hint="default" w:ascii="Times New Roman" w:hAnsi="Times New Roman" w:cs="Times New Roman"/>
                <w:color w:val="auto"/>
                <w:sz w:val="21"/>
                <w:szCs w:val="21"/>
                <w:highlight w:val="none"/>
                <w:lang w:val="en-US" w:eastAsia="zh-CN"/>
              </w:rPr>
              <w:t>《排放源统</w:t>
            </w:r>
            <w:r>
              <w:rPr>
                <w:rFonts w:hint="default" w:ascii="Times New Roman" w:hAnsi="Times New Roman" w:cs="Times New Roman"/>
                <w:color w:val="auto"/>
                <w:sz w:val="21"/>
                <w:szCs w:val="21"/>
                <w:lang w:val="en-US" w:eastAsia="zh-CN"/>
              </w:rPr>
              <w:t>计调查产排污核算方法和系数手册-33-37，431-434机械行业系数手册》14涂装-喷塑</w:t>
            </w:r>
            <w:r>
              <w:rPr>
                <w:rFonts w:hint="eastAsia" w:ascii="Times New Roman" w:hAnsi="Times New Roman" w:cs="Times New Roman"/>
                <w:color w:val="auto"/>
                <w:sz w:val="21"/>
                <w:szCs w:val="21"/>
                <w:lang w:val="en-US" w:eastAsia="zh-CN"/>
              </w:rPr>
              <w:t>颗粒物</w:t>
            </w:r>
            <w:r>
              <w:rPr>
                <w:rFonts w:hint="default" w:ascii="Times New Roman" w:hAnsi="Times New Roman" w:cs="Times New Roman"/>
                <w:color w:val="auto"/>
                <w:sz w:val="21"/>
                <w:szCs w:val="21"/>
                <w:lang w:val="en-US" w:eastAsia="zh-CN"/>
              </w:rPr>
              <w:t>产生系数</w:t>
            </w:r>
            <w:r>
              <w:rPr>
                <w:rFonts w:hint="eastAsia" w:ascii="Times New Roman" w:hAnsi="Times New Roman" w:cs="Times New Roman"/>
                <w:color w:val="auto"/>
                <w:sz w:val="21"/>
                <w:szCs w:val="21"/>
                <w:lang w:val="en-US" w:eastAsia="zh-CN"/>
              </w:rPr>
              <w:t>300</w:t>
            </w:r>
            <w:r>
              <w:rPr>
                <w:rFonts w:hint="default" w:ascii="Times New Roman" w:hAnsi="Times New Roman" w:cs="Times New Roman"/>
                <w:color w:val="auto"/>
                <w:sz w:val="21"/>
                <w:szCs w:val="21"/>
                <w:lang w:val="en-US" w:eastAsia="zh-CN"/>
              </w:rPr>
              <w:t>kg/t-原料</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highlight w:val="none"/>
                <w:lang w:val="en-US" w:eastAsia="zh-CN"/>
              </w:rPr>
              <w:t>参考《喷塑行业污染物源强估算及治理方法探讨》（作者：王世杰，朱童琪，宋洁，张明辉，陈修硕）可知，静电喷塑过程负压吸气装置对脱离粉尘回收效率为95%左右。</w:t>
            </w:r>
            <w:r>
              <w:rPr>
                <w:rFonts w:hint="eastAsia" w:ascii="Times New Roman" w:hAnsi="Times New Roman" w:cs="Times New Roman"/>
                <w:color w:val="auto"/>
                <w:sz w:val="21"/>
                <w:szCs w:val="21"/>
                <w:highlight w:val="none"/>
                <w:lang w:val="en-US" w:eastAsia="zh-CN"/>
              </w:rPr>
              <w:t>本项目塑粉用量36t/a，则喷塑工序颗粒物产生量为10.8t/a，有组织产生量10.26/a，无组织产生量0.54t/a</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喷塑废气经密闭收集后经旋风除尘及布袋除尘器回收处理后于喷塑工序循环使用不外排。</w:t>
            </w:r>
          </w:p>
          <w:p w14:paraId="527B4CD2">
            <w:pPr>
              <w:pStyle w:val="25"/>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未收集的颗粒物部分在喷塑房内沉淀后无组织排放。参照《未纳入排污许可管理行业适用的排污系数、物料衡算方法》中“锯材加工业产排污系数表”，车间不装除尘设备的情况下，重力沉降的效率约为85%。保守计算，本项目未被收集的粉尘沉降率按70%计，沉降于地面的粉尘0.378t/a。</w:t>
            </w:r>
            <w:r>
              <w:rPr>
                <w:rFonts w:hint="default" w:ascii="Times New Roman" w:hAnsi="Times New Roman" w:cs="Times New Roman"/>
                <w:color w:val="auto"/>
                <w:sz w:val="21"/>
                <w:szCs w:val="21"/>
                <w:highlight w:val="none"/>
                <w:lang w:val="en-US" w:eastAsia="zh-CN"/>
              </w:rPr>
              <w:t>则</w:t>
            </w:r>
            <w:r>
              <w:rPr>
                <w:rFonts w:hint="eastAsia" w:ascii="Times New Roman" w:hAnsi="Times New Roman" w:cs="Times New Roman"/>
                <w:color w:val="auto"/>
                <w:sz w:val="21"/>
                <w:szCs w:val="21"/>
                <w:highlight w:val="none"/>
                <w:lang w:val="en-US" w:eastAsia="zh-CN"/>
              </w:rPr>
              <w:t>颗粒物无</w:t>
            </w:r>
            <w:r>
              <w:rPr>
                <w:rFonts w:hint="default" w:ascii="Times New Roman" w:hAnsi="Times New Roman" w:cs="Times New Roman"/>
                <w:color w:val="auto"/>
                <w:sz w:val="21"/>
                <w:szCs w:val="21"/>
                <w:highlight w:val="none"/>
                <w:lang w:val="en-US" w:eastAsia="zh-CN"/>
              </w:rPr>
              <w:t>组织</w:t>
            </w:r>
            <w:r>
              <w:rPr>
                <w:rFonts w:hint="eastAsia" w:ascii="Times New Roman" w:hAnsi="Times New Roman" w:cs="Times New Roman"/>
                <w:color w:val="auto"/>
                <w:sz w:val="21"/>
                <w:szCs w:val="21"/>
                <w:highlight w:val="none"/>
                <w:lang w:val="en-US" w:eastAsia="zh-CN"/>
              </w:rPr>
              <w:t>排放</w:t>
            </w:r>
            <w:r>
              <w:rPr>
                <w:rFonts w:hint="default" w:ascii="Times New Roman" w:hAnsi="Times New Roman" w:cs="Times New Roman"/>
                <w:color w:val="auto"/>
                <w:sz w:val="21"/>
                <w:szCs w:val="21"/>
                <w:highlight w:val="none"/>
                <w:lang w:val="en-US" w:eastAsia="zh-CN"/>
              </w:rPr>
              <w:t>量为</w:t>
            </w:r>
            <w:r>
              <w:rPr>
                <w:rFonts w:hint="eastAsia" w:ascii="Times New Roman" w:hAnsi="Times New Roman" w:cs="Times New Roman"/>
                <w:color w:val="auto"/>
                <w:sz w:val="21"/>
                <w:szCs w:val="21"/>
                <w:highlight w:val="none"/>
                <w:lang w:val="en-US" w:eastAsia="zh-CN"/>
              </w:rPr>
              <w:t>0.162</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p>
          <w:p w14:paraId="483C720E">
            <w:pPr>
              <w:pStyle w:val="25"/>
              <w:spacing w:before="0" w:beforeAutospacing="0" w:after="0" w:afterAutospacing="0" w:line="360" w:lineRule="auto"/>
              <w:ind w:firstLine="42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（3）粉末固化废气</w:t>
            </w:r>
          </w:p>
          <w:p w14:paraId="4D6A581E">
            <w:pPr>
              <w:pStyle w:val="25"/>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固化工序产生的挥发性有机物以非甲烷总烃计。根据《排放源统</w:t>
            </w:r>
            <w:r>
              <w:rPr>
                <w:rFonts w:hint="default" w:ascii="Times New Roman" w:hAnsi="Times New Roman" w:cs="Times New Roman"/>
                <w:color w:val="auto"/>
                <w:sz w:val="21"/>
                <w:szCs w:val="21"/>
                <w:lang w:val="en-US" w:eastAsia="zh-CN"/>
              </w:rPr>
              <w:t>计调查产排污核算方法和系数手册-33-37，431-434机械行业系数手册》14涂装-喷塑后烘干挥发性有机物产生系数1.2kg/t-原料</w:t>
            </w:r>
            <w:r>
              <w:rPr>
                <w:rFonts w:hint="default" w:ascii="Times New Roman" w:hAnsi="Times New Roman" w:cs="Times New Roman"/>
                <w:color w:val="auto"/>
                <w:sz w:val="21"/>
                <w:szCs w:val="21"/>
                <w:highlight w:val="none"/>
                <w:lang w:val="en-US" w:eastAsia="zh-CN"/>
              </w:rPr>
              <w:t>，项目塑粉用量36t/a，则固化废气非甲烷总烃产生量为0.0432t/a。项目拟对烘干炉进行密闭，粉末固化废气经密闭负压收集后经风冷装置+二级活性炭吸附装置处理后经</w:t>
            </w:r>
            <w:r>
              <w:rPr>
                <w:rFonts w:hint="default" w:ascii="Times New Roman" w:hAnsi="Times New Roman" w:cs="Times New Roman"/>
                <w:color w:val="auto"/>
                <w:kern w:val="0"/>
                <w:sz w:val="21"/>
                <w:szCs w:val="21"/>
                <w:lang w:val="en-US" w:eastAsia="zh-CN" w:bidi="ar"/>
              </w:rPr>
              <w:t>15m高DA006排气筒排放。收集效率95%，去除效率90%</w:t>
            </w:r>
            <w:r>
              <w:rPr>
                <w:rFonts w:hint="eastAsia" w:ascii="Times New Roman" w:hAnsi="Times New Roman" w:cs="Times New Roman"/>
                <w:color w:val="auto"/>
                <w:kern w:val="0"/>
                <w:sz w:val="21"/>
                <w:szCs w:val="21"/>
                <w:lang w:val="en-US" w:eastAsia="zh-CN" w:bidi="ar"/>
              </w:rPr>
              <w:t>。</w:t>
            </w:r>
            <w:r>
              <w:rPr>
                <w:rFonts w:hint="eastAsia" w:ascii="Times New Roman" w:hAnsi="Times New Roman" w:cs="Times New Roman"/>
                <w:color w:val="auto"/>
                <w:sz w:val="21"/>
                <w:szCs w:val="21"/>
                <w:highlight w:val="none"/>
                <w:lang w:val="en-US" w:eastAsia="zh-CN"/>
              </w:rPr>
              <w:t>未收集的非甲烷总烃在车间无组织排放，则非甲烷总烃有组织产生量0.041t/a，无组织产生量0.0022t/a。</w:t>
            </w:r>
          </w:p>
          <w:p w14:paraId="3300482D">
            <w:pPr>
              <w:pStyle w:val="25"/>
              <w:spacing w:before="0" w:beforeAutospacing="0" w:after="0" w:afterAutospacing="0"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）危废</w:t>
            </w:r>
            <w:r>
              <w:rPr>
                <w:rFonts w:hint="eastAsia" w:ascii="Times New Roman" w:hAnsi="Times New Roman" w:cs="Times New Roman"/>
                <w:color w:val="auto"/>
                <w:sz w:val="21"/>
                <w:szCs w:val="21"/>
                <w:highlight w:val="none"/>
                <w:lang w:val="en-US" w:eastAsia="zh-CN"/>
              </w:rPr>
              <w:t>暂存间</w:t>
            </w:r>
            <w:r>
              <w:rPr>
                <w:rFonts w:hint="default" w:ascii="Times New Roman" w:hAnsi="Times New Roman" w:cs="Times New Roman"/>
                <w:color w:val="auto"/>
                <w:sz w:val="21"/>
                <w:szCs w:val="21"/>
                <w:highlight w:val="none"/>
                <w:lang w:val="en-US" w:eastAsia="zh-CN"/>
              </w:rPr>
              <w:t>废气</w:t>
            </w:r>
          </w:p>
          <w:p w14:paraId="3B129BCC">
            <w:pPr>
              <w:pStyle w:val="25"/>
              <w:spacing w:before="0" w:beforeAutospacing="0" w:after="0" w:afterAutospacing="0" w:line="360" w:lineRule="auto"/>
              <w:ind w:firstLine="420" w:firstLineChars="200"/>
              <w:rPr>
                <w:rFonts w:cs="宋体"/>
                <w:bCs/>
                <w:color w:val="auto"/>
                <w:spacing w:val="-10"/>
                <w:szCs w:val="21"/>
                <w:highlight w:val="none"/>
              </w:rPr>
            </w:pPr>
            <w:r>
              <w:rPr>
                <w:rFonts w:hint="eastAsia"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lang w:val="en-US" w:eastAsia="zh-CN"/>
              </w:rPr>
              <w:t>危险废物主要为废活性炭</w:t>
            </w:r>
            <w:r>
              <w:rPr>
                <w:rFonts w:hint="eastAsia" w:ascii="Times New Roman" w:hAnsi="Times New Roman" w:cs="Times New Roman"/>
                <w:color w:val="auto"/>
                <w:sz w:val="21"/>
                <w:szCs w:val="21"/>
                <w:highlight w:val="none"/>
                <w:lang w:val="en-US" w:eastAsia="zh-CN"/>
              </w:rPr>
              <w:t>、废包装材料、废油</w:t>
            </w:r>
            <w:r>
              <w:rPr>
                <w:rFonts w:hint="default" w:ascii="Times New Roman" w:hAnsi="Times New Roman" w:cs="Times New Roman"/>
                <w:color w:val="auto"/>
                <w:sz w:val="21"/>
                <w:szCs w:val="21"/>
                <w:highlight w:val="none"/>
                <w:lang w:val="en-US" w:eastAsia="zh-CN"/>
              </w:rPr>
              <w:t>等，危险废物在暂存时，会产生非甲烷总烃。产生浓度较低，</w:t>
            </w:r>
            <w:r>
              <w:rPr>
                <w:rFonts w:hint="eastAsia" w:ascii="Times New Roman" w:hAnsi="Times New Roman" w:cs="Times New Roman"/>
                <w:color w:val="auto"/>
                <w:sz w:val="21"/>
                <w:szCs w:val="21"/>
                <w:highlight w:val="none"/>
                <w:lang w:val="en-US" w:eastAsia="zh-CN"/>
              </w:rPr>
              <w:t>对大气环境影响较小，本次评价仅做定性分析</w:t>
            </w:r>
            <w:r>
              <w:rPr>
                <w:rFonts w:hint="default" w:ascii="Times New Roman" w:hAnsi="Times New Roman" w:cs="Times New Roman"/>
                <w:color w:val="auto"/>
                <w:sz w:val="21"/>
                <w:szCs w:val="21"/>
                <w:highlight w:val="none"/>
                <w:lang w:val="en-US" w:eastAsia="zh-CN"/>
              </w:rPr>
              <w:t>。项目废物</w:t>
            </w:r>
            <w:r>
              <w:rPr>
                <w:rFonts w:hint="eastAsia" w:ascii="Times New Roman" w:hAnsi="Times New Roman" w:cs="Times New Roman"/>
                <w:color w:val="auto"/>
                <w:sz w:val="21"/>
                <w:szCs w:val="21"/>
                <w:highlight w:val="none"/>
                <w:lang w:val="en-US" w:eastAsia="zh-CN"/>
              </w:rPr>
              <w:t>暂存间</w:t>
            </w:r>
            <w:r>
              <w:rPr>
                <w:rFonts w:hint="default" w:ascii="Times New Roman" w:hAnsi="Times New Roman" w:cs="Times New Roman"/>
                <w:color w:val="auto"/>
                <w:sz w:val="21"/>
                <w:szCs w:val="21"/>
                <w:highlight w:val="none"/>
                <w:lang w:val="en-US" w:eastAsia="zh-CN"/>
              </w:rPr>
              <w:t>密闭，气体经抽风管道汇入</w:t>
            </w:r>
            <w:r>
              <w:rPr>
                <w:rFonts w:hint="eastAsia" w:ascii="Times New Roman" w:hAnsi="Times New Roman" w:cs="Times New Roman"/>
                <w:color w:val="auto"/>
                <w:sz w:val="21"/>
                <w:szCs w:val="21"/>
                <w:highlight w:val="none"/>
                <w:lang w:val="en-US" w:eastAsia="zh-CN"/>
              </w:rPr>
              <w:t>现有</w:t>
            </w:r>
            <w:r>
              <w:rPr>
                <w:rFonts w:hint="default" w:ascii="Times New Roman" w:hAnsi="Times New Roman" w:cs="Times New Roman"/>
                <w:color w:val="auto"/>
                <w:sz w:val="21"/>
                <w:szCs w:val="21"/>
                <w:highlight w:val="none"/>
                <w:lang w:val="en-US" w:eastAsia="zh-CN"/>
              </w:rPr>
              <w:t>二级活性炭吸附</w:t>
            </w:r>
            <w:r>
              <w:rPr>
                <w:rFonts w:hint="default" w:ascii="Times New Roman" w:hAnsi="Times New Roman" w:eastAsia="宋体" w:cs="Times New Roman"/>
                <w:color w:val="auto"/>
                <w:sz w:val="21"/>
                <w:szCs w:val="21"/>
                <w:highlight w:val="none"/>
                <w:lang w:val="en-US" w:eastAsia="zh-CN"/>
              </w:rPr>
              <w:t>装置处理后通过</w:t>
            </w:r>
            <w:r>
              <w:rPr>
                <w:rFonts w:hint="eastAsia"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m高排气筒DA00</w:t>
            </w:r>
            <w:r>
              <w:rPr>
                <w:rFonts w:hint="eastAsia" w:ascii="Times New Roman" w:hAnsi="Times New Roman"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排放</w:t>
            </w:r>
            <w:r>
              <w:rPr>
                <w:rFonts w:hint="default" w:ascii="Times New Roman" w:hAnsi="Times New Roman" w:cs="Times New Roman"/>
                <w:color w:val="auto"/>
                <w:sz w:val="21"/>
                <w:szCs w:val="21"/>
                <w:highlight w:val="none"/>
                <w:lang w:val="en-US" w:eastAsia="zh-CN"/>
              </w:rPr>
              <w:t>。</w:t>
            </w:r>
          </w:p>
        </w:tc>
      </w:tr>
    </w:tbl>
    <w:p w14:paraId="37CEB151">
      <w:pPr>
        <w:adjustRightInd w:val="0"/>
        <w:snapToGrid w:val="0"/>
        <w:spacing w:line="360" w:lineRule="auto"/>
        <w:rPr>
          <w:rFonts w:ascii="宋体" w:cs="宋体"/>
          <w:b/>
          <w:color w:val="FF0000"/>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1"/>
        <w:tblW w:w="13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2818"/>
      </w:tblGrid>
      <w:tr w14:paraId="1F52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 w:type="dxa"/>
            <w:vAlign w:val="center"/>
          </w:tcPr>
          <w:p w14:paraId="02CBA6B2">
            <w:pPr>
              <w:jc w:val="center"/>
              <w:rPr>
                <w:color w:val="FF0000"/>
                <w:sz w:val="24"/>
                <w:szCs w:val="22"/>
                <w:highlight w:val="none"/>
              </w:rPr>
            </w:pPr>
          </w:p>
        </w:tc>
        <w:tc>
          <w:tcPr>
            <w:tcW w:w="8498" w:type="dxa"/>
            <w:vAlign w:val="center"/>
          </w:tcPr>
          <w:p w14:paraId="3A596FC2">
            <w:pPr>
              <w:spacing w:line="30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项目废气产污环节、污染物种类、排放形式及污染防治设施一览表</w:t>
            </w:r>
          </w:p>
          <w:tbl>
            <w:tblPr>
              <w:tblStyle w:val="30"/>
              <w:tblW w:w="126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60"/>
              <w:gridCol w:w="1393"/>
              <w:gridCol w:w="796"/>
              <w:gridCol w:w="1430"/>
              <w:gridCol w:w="1322"/>
              <w:gridCol w:w="906"/>
              <w:gridCol w:w="1998"/>
              <w:gridCol w:w="930"/>
              <w:gridCol w:w="2609"/>
            </w:tblGrid>
            <w:tr w14:paraId="42867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498" w:type="pct"/>
                  <w:vMerge w:val="restart"/>
                  <w:noWrap w:val="0"/>
                  <w:vAlign w:val="center"/>
                </w:tcPr>
                <w:p w14:paraId="5FC703B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产排污环节</w:t>
                  </w:r>
                </w:p>
              </w:tc>
              <w:tc>
                <w:tcPr>
                  <w:tcW w:w="550" w:type="pct"/>
                  <w:vMerge w:val="restart"/>
                  <w:noWrap w:val="0"/>
                  <w:vAlign w:val="center"/>
                </w:tcPr>
                <w:p w14:paraId="5C9D2ACF">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314" w:type="pct"/>
                  <w:vMerge w:val="restart"/>
                  <w:noWrap w:val="0"/>
                  <w:vAlign w:val="center"/>
                </w:tcPr>
                <w:p w14:paraId="33996BAF">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排放形式</w:t>
                  </w:r>
                </w:p>
              </w:tc>
              <w:tc>
                <w:tcPr>
                  <w:tcW w:w="565" w:type="pct"/>
                  <w:vMerge w:val="restart"/>
                  <w:noWrap w:val="0"/>
                  <w:vAlign w:val="center"/>
                </w:tcPr>
                <w:p w14:paraId="34A1054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排放口编号</w:t>
                  </w:r>
                </w:p>
              </w:tc>
              <w:tc>
                <w:tcPr>
                  <w:tcW w:w="2038" w:type="pct"/>
                  <w:gridSpan w:val="4"/>
                  <w:noWrap w:val="0"/>
                  <w:vAlign w:val="center"/>
                </w:tcPr>
                <w:p w14:paraId="0FDFDE50">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污染治理设施</w:t>
                  </w:r>
                </w:p>
              </w:tc>
              <w:tc>
                <w:tcPr>
                  <w:tcW w:w="1031" w:type="pct"/>
                  <w:vMerge w:val="restart"/>
                  <w:noWrap w:val="0"/>
                  <w:vAlign w:val="center"/>
                </w:tcPr>
                <w:p w14:paraId="4520D39D">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排放标准</w:t>
                  </w:r>
                </w:p>
              </w:tc>
            </w:tr>
            <w:tr w14:paraId="77C02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498" w:type="pct"/>
                  <w:vMerge w:val="continue"/>
                  <w:noWrap w:val="0"/>
                  <w:vAlign w:val="center"/>
                </w:tcPr>
                <w:p w14:paraId="20E5AA47">
                  <w:pPr>
                    <w:jc w:val="center"/>
                    <w:rPr>
                      <w:rFonts w:hint="default" w:ascii="Times New Roman" w:hAnsi="Times New Roman" w:cs="Times New Roman"/>
                      <w:b/>
                      <w:bCs/>
                      <w:color w:val="auto"/>
                      <w:sz w:val="21"/>
                      <w:szCs w:val="21"/>
                      <w:highlight w:val="none"/>
                    </w:rPr>
                  </w:pPr>
                </w:p>
              </w:tc>
              <w:tc>
                <w:tcPr>
                  <w:tcW w:w="550" w:type="pct"/>
                  <w:vMerge w:val="continue"/>
                  <w:noWrap w:val="0"/>
                  <w:vAlign w:val="center"/>
                </w:tcPr>
                <w:p w14:paraId="294A3EE4">
                  <w:pPr>
                    <w:jc w:val="center"/>
                    <w:rPr>
                      <w:rFonts w:hint="default" w:ascii="Times New Roman" w:hAnsi="Times New Roman" w:cs="Times New Roman"/>
                      <w:b/>
                      <w:bCs/>
                      <w:color w:val="auto"/>
                      <w:sz w:val="21"/>
                      <w:szCs w:val="21"/>
                      <w:highlight w:val="none"/>
                    </w:rPr>
                  </w:pPr>
                </w:p>
              </w:tc>
              <w:tc>
                <w:tcPr>
                  <w:tcW w:w="314" w:type="pct"/>
                  <w:vMerge w:val="continue"/>
                  <w:noWrap w:val="0"/>
                  <w:vAlign w:val="center"/>
                </w:tcPr>
                <w:p w14:paraId="75F03F97">
                  <w:pPr>
                    <w:jc w:val="center"/>
                    <w:rPr>
                      <w:rFonts w:hint="default" w:ascii="Times New Roman" w:hAnsi="Times New Roman" w:cs="Times New Roman"/>
                      <w:b/>
                      <w:bCs/>
                      <w:color w:val="auto"/>
                      <w:sz w:val="21"/>
                      <w:szCs w:val="21"/>
                      <w:highlight w:val="none"/>
                    </w:rPr>
                  </w:pPr>
                </w:p>
              </w:tc>
              <w:tc>
                <w:tcPr>
                  <w:tcW w:w="565" w:type="pct"/>
                  <w:vMerge w:val="continue"/>
                  <w:noWrap w:val="0"/>
                  <w:vAlign w:val="center"/>
                </w:tcPr>
                <w:p w14:paraId="680EEAFC">
                  <w:pPr>
                    <w:jc w:val="center"/>
                    <w:rPr>
                      <w:rFonts w:hint="default" w:ascii="Times New Roman" w:hAnsi="Times New Roman" w:cs="Times New Roman"/>
                      <w:b/>
                      <w:bCs/>
                      <w:color w:val="auto"/>
                      <w:sz w:val="21"/>
                      <w:szCs w:val="21"/>
                      <w:highlight w:val="none"/>
                    </w:rPr>
                  </w:pPr>
                </w:p>
              </w:tc>
              <w:tc>
                <w:tcPr>
                  <w:tcW w:w="522" w:type="pct"/>
                  <w:noWrap w:val="0"/>
                  <w:vAlign w:val="center"/>
                </w:tcPr>
                <w:p w14:paraId="1C81C053">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处理能力</w:t>
                  </w:r>
                </w:p>
              </w:tc>
              <w:tc>
                <w:tcPr>
                  <w:tcW w:w="358" w:type="pct"/>
                  <w:noWrap w:val="0"/>
                  <w:vAlign w:val="center"/>
                </w:tcPr>
                <w:p w14:paraId="7856529F">
                  <w:pPr>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收集效率</w:t>
                  </w:r>
                  <w:r>
                    <w:rPr>
                      <w:rFonts w:hint="eastAsia" w:cs="Times New Roman"/>
                      <w:b/>
                      <w:bCs/>
                      <w:color w:val="auto"/>
                      <w:sz w:val="21"/>
                      <w:szCs w:val="21"/>
                      <w:highlight w:val="none"/>
                      <w:lang w:val="en-US" w:eastAsia="zh-CN"/>
                    </w:rPr>
                    <w:t>%</w:t>
                  </w:r>
                </w:p>
              </w:tc>
              <w:tc>
                <w:tcPr>
                  <w:tcW w:w="790" w:type="pct"/>
                  <w:noWrap w:val="0"/>
                  <w:vAlign w:val="center"/>
                </w:tcPr>
                <w:p w14:paraId="2D10FB1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治理工艺去除率</w:t>
                  </w:r>
                </w:p>
              </w:tc>
              <w:tc>
                <w:tcPr>
                  <w:tcW w:w="367" w:type="pct"/>
                  <w:noWrap w:val="0"/>
                  <w:vAlign w:val="center"/>
                </w:tcPr>
                <w:p w14:paraId="59FC9B5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是否为可行技术</w:t>
                  </w:r>
                </w:p>
              </w:tc>
              <w:tc>
                <w:tcPr>
                  <w:tcW w:w="1031" w:type="pct"/>
                  <w:vMerge w:val="continue"/>
                  <w:noWrap w:val="0"/>
                  <w:vAlign w:val="center"/>
                </w:tcPr>
                <w:p w14:paraId="044FEEC8">
                  <w:pPr>
                    <w:jc w:val="center"/>
                    <w:rPr>
                      <w:rFonts w:hint="default" w:ascii="Times New Roman" w:hAnsi="Times New Roman" w:cs="Times New Roman"/>
                      <w:b/>
                      <w:bCs/>
                      <w:color w:val="auto"/>
                      <w:sz w:val="21"/>
                      <w:szCs w:val="21"/>
                      <w:highlight w:val="none"/>
                    </w:rPr>
                  </w:pPr>
                </w:p>
              </w:tc>
            </w:tr>
            <w:tr w14:paraId="47468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498" w:type="pct"/>
                  <w:shd w:val="clear" w:color="auto" w:fill="auto"/>
                  <w:noWrap w:val="0"/>
                  <w:vAlign w:val="center"/>
                </w:tcPr>
                <w:p w14:paraId="584E4CB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4"/>
                      <w:highlight w:val="none"/>
                      <w:lang w:val="en-US" w:eastAsia="zh-CN"/>
                    </w:rPr>
                    <w:t>喷塑</w:t>
                  </w:r>
                </w:p>
              </w:tc>
              <w:tc>
                <w:tcPr>
                  <w:tcW w:w="550" w:type="pct"/>
                  <w:shd w:val="clear" w:color="auto" w:fill="auto"/>
                  <w:noWrap w:val="0"/>
                  <w:vAlign w:val="center"/>
                </w:tcPr>
                <w:p w14:paraId="068BF5C4">
                  <w:pPr>
                    <w:jc w:val="center"/>
                    <w:rPr>
                      <w:rFonts w:hint="default" w:ascii="Times New Roman" w:hAnsi="Times New Roman" w:eastAsia="宋体" w:cs="Times New Roman"/>
                      <w:color w:val="auto"/>
                      <w:kern w:val="2"/>
                      <w:sz w:val="21"/>
                      <w:szCs w:val="21"/>
                      <w:highlight w:val="none"/>
                      <w:lang w:val="en-US" w:eastAsia="zh-CN" w:bidi="ar-SA"/>
                    </w:rPr>
                  </w:pPr>
                  <w:r>
                    <w:rPr>
                      <w:rStyle w:val="39"/>
                      <w:rFonts w:hint="eastAsia"/>
                      <w:color w:val="auto"/>
                      <w:kern w:val="0"/>
                      <w:sz w:val="21"/>
                      <w:szCs w:val="21"/>
                      <w:highlight w:val="none"/>
                      <w:lang w:val="en-US" w:eastAsia="zh-CN"/>
                    </w:rPr>
                    <w:t>颗粒物</w:t>
                  </w:r>
                </w:p>
              </w:tc>
              <w:tc>
                <w:tcPr>
                  <w:tcW w:w="314" w:type="pct"/>
                  <w:shd w:val="clear" w:color="auto" w:fill="auto"/>
                  <w:noWrap w:val="0"/>
                  <w:vAlign w:val="center"/>
                </w:tcPr>
                <w:p w14:paraId="0F500142">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w:t>
                  </w:r>
                  <w:r>
                    <w:rPr>
                      <w:rFonts w:hint="default" w:ascii="Times New Roman" w:hAnsi="Times New Roman" w:cs="Times New Roman"/>
                      <w:color w:val="auto"/>
                      <w:sz w:val="21"/>
                      <w:szCs w:val="21"/>
                      <w:highlight w:val="none"/>
                    </w:rPr>
                    <w:t>组织</w:t>
                  </w:r>
                </w:p>
              </w:tc>
              <w:tc>
                <w:tcPr>
                  <w:tcW w:w="565" w:type="pct"/>
                  <w:noWrap w:val="0"/>
                  <w:vAlign w:val="center"/>
                </w:tcPr>
                <w:p w14:paraId="7A46917A">
                  <w:pPr>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p>
              </w:tc>
              <w:tc>
                <w:tcPr>
                  <w:tcW w:w="522" w:type="pct"/>
                  <w:noWrap w:val="0"/>
                  <w:vAlign w:val="center"/>
                </w:tcPr>
                <w:p w14:paraId="08A5BFFB">
                  <w:pPr>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p>
              </w:tc>
              <w:tc>
                <w:tcPr>
                  <w:tcW w:w="358" w:type="pct"/>
                  <w:shd w:val="clear" w:color="auto" w:fill="auto"/>
                  <w:noWrap w:val="0"/>
                  <w:vAlign w:val="center"/>
                </w:tcPr>
                <w:p w14:paraId="3601AE4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95</w:t>
                  </w:r>
                </w:p>
              </w:tc>
              <w:tc>
                <w:tcPr>
                  <w:tcW w:w="790" w:type="pct"/>
                  <w:shd w:val="clear" w:color="auto" w:fill="auto"/>
                  <w:noWrap w:val="0"/>
                  <w:vAlign w:val="center"/>
                </w:tcPr>
                <w:p w14:paraId="5704BA2F">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旋风除尘器+布袋除尘器</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去</w:t>
                  </w:r>
                  <w:r>
                    <w:rPr>
                      <w:rFonts w:hint="eastAsia" w:ascii="Times New Roman" w:hAnsi="Times New Roman" w:cs="Times New Roman"/>
                      <w:color w:val="auto"/>
                      <w:sz w:val="21"/>
                      <w:szCs w:val="21"/>
                      <w:highlight w:val="none"/>
                      <w:lang w:val="en-US" w:eastAsia="zh-CN"/>
                    </w:rPr>
                    <w:t>除效率</w:t>
                  </w:r>
                  <w:r>
                    <w:rPr>
                      <w:rFonts w:hint="default" w:ascii="Times New Roman" w:hAnsi="Times New Roman" w:cs="Times New Roman"/>
                      <w:color w:val="auto"/>
                      <w:sz w:val="21"/>
                      <w:szCs w:val="21"/>
                      <w:highlight w:val="none"/>
                    </w:rPr>
                    <w:t>9</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w:t>
                  </w:r>
                </w:p>
              </w:tc>
              <w:tc>
                <w:tcPr>
                  <w:tcW w:w="367" w:type="pct"/>
                  <w:shd w:val="clear" w:color="auto" w:fill="auto"/>
                  <w:noWrap w:val="0"/>
                  <w:vAlign w:val="center"/>
                </w:tcPr>
                <w:p w14:paraId="449DCD9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可行</w:t>
                  </w:r>
                </w:p>
              </w:tc>
              <w:tc>
                <w:tcPr>
                  <w:tcW w:w="1031" w:type="pct"/>
                  <w:noWrap w:val="0"/>
                  <w:vAlign w:val="center"/>
                </w:tcPr>
                <w:p w14:paraId="6872243D">
                  <w:pPr>
                    <w:jc w:val="center"/>
                    <w:rPr>
                      <w:rFonts w:hint="default" w:ascii="Times New Roman" w:hAnsi="Times New Roman" w:cs="Times New Roman"/>
                      <w:b/>
                      <w:bCs/>
                      <w:color w:val="auto"/>
                      <w:sz w:val="21"/>
                      <w:szCs w:val="21"/>
                      <w:highlight w:val="none"/>
                    </w:rPr>
                  </w:pPr>
                  <w:r>
                    <w:rPr>
                      <w:rFonts w:hint="eastAsia"/>
                      <w:color w:val="auto"/>
                      <w:sz w:val="21"/>
                      <w:szCs w:val="21"/>
                      <w:highlight w:val="none"/>
                    </w:rPr>
                    <w:t>《大气污染物综合排放标准》（DB32/4041-2021）</w:t>
                  </w:r>
                </w:p>
              </w:tc>
            </w:tr>
            <w:tr w14:paraId="41069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498" w:type="pct"/>
                  <w:noWrap w:val="0"/>
                  <w:vAlign w:val="center"/>
                </w:tcPr>
                <w:p w14:paraId="367374A5">
                  <w:pPr>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天然气烘干炉</w:t>
                  </w:r>
                </w:p>
              </w:tc>
              <w:tc>
                <w:tcPr>
                  <w:tcW w:w="550" w:type="pct"/>
                  <w:noWrap w:val="0"/>
                  <w:vAlign w:val="center"/>
                </w:tcPr>
                <w:p w14:paraId="51F62682">
                  <w:pPr>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颗粒物、SO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、NOx</w:t>
                  </w:r>
                </w:p>
              </w:tc>
              <w:tc>
                <w:tcPr>
                  <w:tcW w:w="314" w:type="pct"/>
                  <w:noWrap w:val="0"/>
                  <w:vAlign w:val="center"/>
                </w:tcPr>
                <w:p w14:paraId="79144C3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565" w:type="pct"/>
                  <w:vMerge w:val="restart"/>
                  <w:noWrap w:val="0"/>
                  <w:vAlign w:val="center"/>
                </w:tcPr>
                <w:p w14:paraId="7F98247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DA00</w:t>
                  </w:r>
                  <w:r>
                    <w:rPr>
                      <w:rFonts w:hint="eastAsia" w:cs="Times New Roman"/>
                      <w:color w:val="auto"/>
                      <w:sz w:val="21"/>
                      <w:szCs w:val="21"/>
                      <w:highlight w:val="none"/>
                      <w:lang w:val="en-US" w:eastAsia="zh-CN"/>
                    </w:rPr>
                    <w:t>6</w:t>
                  </w:r>
                </w:p>
              </w:tc>
              <w:tc>
                <w:tcPr>
                  <w:tcW w:w="522" w:type="pct"/>
                  <w:vMerge w:val="restart"/>
                  <w:noWrap w:val="0"/>
                  <w:vAlign w:val="center"/>
                </w:tcPr>
                <w:p w14:paraId="1DA31E1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风机风量</w:t>
                  </w:r>
                  <w:r>
                    <w:rPr>
                      <w:rFonts w:hint="eastAsia"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000m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358" w:type="pct"/>
                  <w:noWrap w:val="0"/>
                  <w:vAlign w:val="center"/>
                </w:tcPr>
                <w:p w14:paraId="0412A11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790" w:type="pct"/>
                  <w:noWrap w:val="0"/>
                  <w:vAlign w:val="center"/>
                </w:tcPr>
                <w:p w14:paraId="21E0CD6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低氮燃烧器</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产生量减少50</w:t>
                  </w:r>
                  <w:r>
                    <w:rPr>
                      <w:rFonts w:hint="default" w:ascii="Times New Roman" w:hAnsi="Times New Roman" w:cs="Times New Roman"/>
                      <w:color w:val="auto"/>
                      <w:sz w:val="21"/>
                      <w:szCs w:val="21"/>
                      <w:highlight w:val="none"/>
                    </w:rPr>
                    <w:t>%</w:t>
                  </w:r>
                </w:p>
              </w:tc>
              <w:tc>
                <w:tcPr>
                  <w:tcW w:w="367" w:type="pct"/>
                  <w:noWrap w:val="0"/>
                  <w:vAlign w:val="center"/>
                </w:tcPr>
                <w:p w14:paraId="5F2733C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可行</w:t>
                  </w:r>
                </w:p>
              </w:tc>
              <w:tc>
                <w:tcPr>
                  <w:tcW w:w="1031" w:type="pct"/>
                  <w:noWrap w:val="0"/>
                  <w:vAlign w:val="center"/>
                </w:tcPr>
                <w:p w14:paraId="32A12EB9">
                  <w:pPr>
                    <w:jc w:val="center"/>
                    <w:rPr>
                      <w:rFonts w:eastAsia="宋体"/>
                      <w:color w:val="auto"/>
                      <w:sz w:val="21"/>
                      <w:szCs w:val="16"/>
                      <w:highlight w:val="none"/>
                    </w:rPr>
                  </w:pPr>
                  <w:r>
                    <w:rPr>
                      <w:rFonts w:hint="default" w:ascii="Times New Roman" w:hAnsi="Times New Roman" w:eastAsia="宋体" w:cs="Times New Roman"/>
                      <w:color w:val="auto"/>
                      <w:sz w:val="21"/>
                      <w:szCs w:val="16"/>
                      <w:highlight w:val="none"/>
                      <w:lang w:val="en-US" w:eastAsia="zh-CN"/>
                    </w:rPr>
                    <w:t>《工业炉窑大气污染物排放标准》</w:t>
                  </w:r>
                  <w:r>
                    <w:rPr>
                      <w:rFonts w:hint="default" w:ascii="Times New Roman" w:hAnsi="Times New Roman" w:eastAsia="宋体" w:cs="Times New Roman"/>
                      <w:color w:val="auto"/>
                      <w:sz w:val="21"/>
                      <w:szCs w:val="16"/>
                      <w:highlight w:val="none"/>
                    </w:rPr>
                    <w:t>（DB32/</w:t>
                  </w:r>
                  <w:r>
                    <w:rPr>
                      <w:rFonts w:hint="default" w:ascii="Times New Roman" w:hAnsi="Times New Roman" w:eastAsia="宋体" w:cs="Times New Roman"/>
                      <w:color w:val="auto"/>
                      <w:sz w:val="21"/>
                      <w:szCs w:val="16"/>
                      <w:highlight w:val="none"/>
                      <w:lang w:val="en-US" w:eastAsia="zh-CN"/>
                    </w:rPr>
                    <w:t>3728</w:t>
                  </w:r>
                  <w:r>
                    <w:rPr>
                      <w:rFonts w:hint="default" w:ascii="Times New Roman" w:hAnsi="Times New Roman" w:eastAsia="宋体" w:cs="Times New Roman"/>
                      <w:color w:val="auto"/>
                      <w:sz w:val="21"/>
                      <w:szCs w:val="16"/>
                      <w:highlight w:val="none"/>
                    </w:rPr>
                    <w:t>-20</w:t>
                  </w:r>
                  <w:r>
                    <w:rPr>
                      <w:rFonts w:hint="default" w:ascii="Times New Roman" w:hAnsi="Times New Roman" w:eastAsia="宋体" w:cs="Times New Roman"/>
                      <w:color w:val="auto"/>
                      <w:sz w:val="21"/>
                      <w:szCs w:val="16"/>
                      <w:highlight w:val="none"/>
                      <w:lang w:val="en-US" w:eastAsia="zh-CN"/>
                    </w:rPr>
                    <w:t>20</w:t>
                  </w:r>
                  <w:r>
                    <w:rPr>
                      <w:rFonts w:hint="default" w:ascii="Times New Roman" w:hAnsi="Times New Roman" w:eastAsia="宋体" w:cs="Times New Roman"/>
                      <w:color w:val="auto"/>
                      <w:sz w:val="21"/>
                      <w:szCs w:val="16"/>
                      <w:highlight w:val="none"/>
                    </w:rPr>
                    <w:t>）</w:t>
                  </w:r>
                </w:p>
              </w:tc>
            </w:tr>
            <w:tr w14:paraId="4355D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498" w:type="pct"/>
                  <w:noWrap w:val="0"/>
                  <w:vAlign w:val="center"/>
                </w:tcPr>
                <w:p w14:paraId="65A40B6A">
                  <w:pPr>
                    <w:jc w:val="center"/>
                    <w:rPr>
                      <w:rFonts w:hint="eastAsia"/>
                      <w:color w:val="auto"/>
                      <w:sz w:val="21"/>
                      <w:szCs w:val="21"/>
                      <w:highlight w:val="none"/>
                    </w:rPr>
                  </w:pPr>
                  <w:r>
                    <w:rPr>
                      <w:rFonts w:hint="eastAsia" w:cs="Times New Roman"/>
                      <w:color w:val="auto"/>
                      <w:kern w:val="24"/>
                      <w:highlight w:val="none"/>
                      <w:lang w:val="en-US" w:eastAsia="zh-CN"/>
                    </w:rPr>
                    <w:t>粉末固化</w:t>
                  </w:r>
                </w:p>
              </w:tc>
              <w:tc>
                <w:tcPr>
                  <w:tcW w:w="550" w:type="pct"/>
                  <w:noWrap w:val="0"/>
                  <w:vAlign w:val="center"/>
                </w:tcPr>
                <w:p w14:paraId="0578F506">
                  <w:pPr>
                    <w:jc w:val="center"/>
                    <w:rPr>
                      <w:rFonts w:hint="eastAsia"/>
                      <w:color w:val="auto"/>
                      <w:sz w:val="21"/>
                      <w:szCs w:val="21"/>
                      <w:highlight w:val="none"/>
                    </w:rPr>
                  </w:pPr>
                  <w:r>
                    <w:rPr>
                      <w:rFonts w:hint="eastAsia"/>
                      <w:color w:val="auto"/>
                      <w:sz w:val="21"/>
                      <w:szCs w:val="21"/>
                      <w:highlight w:val="none"/>
                    </w:rPr>
                    <w:t>非甲烷总烃</w:t>
                  </w:r>
                </w:p>
              </w:tc>
              <w:tc>
                <w:tcPr>
                  <w:tcW w:w="314" w:type="pct"/>
                  <w:noWrap w:val="0"/>
                  <w:vAlign w:val="center"/>
                </w:tcPr>
                <w:p w14:paraId="2F99ACB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565" w:type="pct"/>
                  <w:vMerge w:val="continue"/>
                  <w:noWrap w:val="0"/>
                  <w:vAlign w:val="center"/>
                </w:tcPr>
                <w:p w14:paraId="6D0D12B4">
                  <w:pPr>
                    <w:jc w:val="center"/>
                    <w:rPr>
                      <w:rFonts w:hint="default" w:ascii="Times New Roman" w:hAnsi="Times New Roman" w:cs="Times New Roman"/>
                      <w:color w:val="auto"/>
                      <w:sz w:val="21"/>
                      <w:szCs w:val="21"/>
                      <w:highlight w:val="none"/>
                    </w:rPr>
                  </w:pPr>
                </w:p>
              </w:tc>
              <w:tc>
                <w:tcPr>
                  <w:tcW w:w="522" w:type="pct"/>
                  <w:vMerge w:val="continue"/>
                  <w:noWrap w:val="0"/>
                  <w:vAlign w:val="center"/>
                </w:tcPr>
                <w:p w14:paraId="4BF74137">
                  <w:pPr>
                    <w:jc w:val="center"/>
                    <w:rPr>
                      <w:rFonts w:hint="default" w:ascii="Times New Roman" w:hAnsi="Times New Roman" w:cs="Times New Roman"/>
                      <w:color w:val="auto"/>
                      <w:sz w:val="21"/>
                      <w:szCs w:val="21"/>
                      <w:highlight w:val="none"/>
                    </w:rPr>
                  </w:pPr>
                </w:p>
              </w:tc>
              <w:tc>
                <w:tcPr>
                  <w:tcW w:w="358" w:type="pct"/>
                  <w:noWrap w:val="0"/>
                  <w:vAlign w:val="center"/>
                </w:tcPr>
                <w:p w14:paraId="1DA36F9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c>
                <w:tcPr>
                  <w:tcW w:w="790" w:type="pct"/>
                  <w:noWrap w:val="0"/>
                  <w:vAlign w:val="center"/>
                </w:tcPr>
                <w:p w14:paraId="5588DD39">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风冷装置+二级活性炭吸附装置</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去</w:t>
                  </w:r>
                  <w:r>
                    <w:rPr>
                      <w:rFonts w:hint="eastAsia" w:ascii="Times New Roman" w:hAnsi="Times New Roman" w:cs="Times New Roman"/>
                      <w:color w:val="auto"/>
                      <w:sz w:val="21"/>
                      <w:szCs w:val="21"/>
                      <w:highlight w:val="none"/>
                      <w:lang w:val="en-US" w:eastAsia="zh-CN"/>
                    </w:rPr>
                    <w:t>除效率</w:t>
                  </w:r>
                  <w:r>
                    <w:rPr>
                      <w:rFonts w:hint="default" w:ascii="Times New Roman" w:hAnsi="Times New Roman" w:cs="Times New Roman"/>
                      <w:color w:val="auto"/>
                      <w:sz w:val="21"/>
                      <w:szCs w:val="21"/>
                      <w:highlight w:val="none"/>
                    </w:rPr>
                    <w:t>9</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w:t>
                  </w:r>
                </w:p>
              </w:tc>
              <w:tc>
                <w:tcPr>
                  <w:tcW w:w="367" w:type="pct"/>
                  <w:noWrap w:val="0"/>
                  <w:vAlign w:val="center"/>
                </w:tcPr>
                <w:p w14:paraId="3F1B328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可行</w:t>
                  </w:r>
                </w:p>
              </w:tc>
              <w:tc>
                <w:tcPr>
                  <w:tcW w:w="1031" w:type="pct"/>
                  <w:noWrap w:val="0"/>
                  <w:vAlign w:val="center"/>
                </w:tcPr>
                <w:p w14:paraId="7A582DCA">
                  <w:pPr>
                    <w:jc w:val="center"/>
                    <w:rPr>
                      <w:rFonts w:eastAsia="宋体"/>
                      <w:color w:val="auto"/>
                      <w:sz w:val="21"/>
                      <w:szCs w:val="16"/>
                      <w:highlight w:val="none"/>
                    </w:rPr>
                  </w:pPr>
                  <w:r>
                    <w:rPr>
                      <w:rFonts w:hint="default" w:ascii="Times New Roman" w:hAnsi="Times New Roman" w:eastAsia="宋体" w:cs="Times New Roman"/>
                      <w:color w:val="auto"/>
                      <w:sz w:val="21"/>
                      <w:szCs w:val="16"/>
                      <w:highlight w:val="none"/>
                    </w:rPr>
                    <w:t>《</w:t>
                  </w:r>
                  <w:r>
                    <w:rPr>
                      <w:rFonts w:hint="default" w:ascii="Times New Roman" w:hAnsi="Times New Roman" w:eastAsia="宋体" w:cs="Times New Roman"/>
                      <w:color w:val="auto"/>
                      <w:sz w:val="21"/>
                      <w:szCs w:val="16"/>
                      <w:highlight w:val="none"/>
                      <w:lang w:val="en-US" w:eastAsia="zh-CN"/>
                    </w:rPr>
                    <w:t>工业涂装工序</w:t>
                  </w:r>
                  <w:r>
                    <w:rPr>
                      <w:rFonts w:hint="default" w:ascii="Times New Roman" w:hAnsi="Times New Roman" w:eastAsia="宋体" w:cs="Times New Roman"/>
                      <w:color w:val="auto"/>
                      <w:sz w:val="21"/>
                      <w:szCs w:val="16"/>
                      <w:highlight w:val="none"/>
                    </w:rPr>
                    <w:t>大气污染物排放标准》（DB32/4</w:t>
                  </w:r>
                  <w:r>
                    <w:rPr>
                      <w:rFonts w:hint="default" w:ascii="Times New Roman" w:hAnsi="Times New Roman" w:eastAsia="宋体" w:cs="Times New Roman"/>
                      <w:color w:val="auto"/>
                      <w:sz w:val="21"/>
                      <w:szCs w:val="16"/>
                      <w:highlight w:val="none"/>
                      <w:lang w:val="en-US" w:eastAsia="zh-CN"/>
                    </w:rPr>
                    <w:t>439</w:t>
                  </w:r>
                  <w:r>
                    <w:rPr>
                      <w:rFonts w:hint="default" w:ascii="Times New Roman" w:hAnsi="Times New Roman" w:eastAsia="宋体" w:cs="Times New Roman"/>
                      <w:color w:val="auto"/>
                      <w:sz w:val="21"/>
                      <w:szCs w:val="16"/>
                      <w:highlight w:val="none"/>
                    </w:rPr>
                    <w:t>-202</w:t>
                  </w:r>
                  <w:r>
                    <w:rPr>
                      <w:rFonts w:hint="default" w:ascii="Times New Roman" w:hAnsi="Times New Roman" w:eastAsia="宋体" w:cs="Times New Roman"/>
                      <w:color w:val="auto"/>
                      <w:sz w:val="21"/>
                      <w:szCs w:val="16"/>
                      <w:highlight w:val="none"/>
                      <w:lang w:val="en-US" w:eastAsia="zh-CN"/>
                    </w:rPr>
                    <w:t>2</w:t>
                  </w:r>
                  <w:r>
                    <w:rPr>
                      <w:rFonts w:hint="default" w:ascii="Times New Roman" w:hAnsi="Times New Roman" w:eastAsia="宋体" w:cs="Times New Roman"/>
                      <w:color w:val="auto"/>
                      <w:sz w:val="21"/>
                      <w:szCs w:val="16"/>
                      <w:highlight w:val="none"/>
                    </w:rPr>
                    <w:t>）</w:t>
                  </w:r>
                </w:p>
              </w:tc>
            </w:tr>
          </w:tbl>
          <w:p w14:paraId="00FB0375">
            <w:pPr>
              <w:spacing w:line="30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项目有组织废气源强核算结果表</w:t>
            </w:r>
          </w:p>
          <w:tbl>
            <w:tblPr>
              <w:tblStyle w:val="30"/>
              <w:tblW w:w="125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7"/>
              <w:gridCol w:w="540"/>
              <w:gridCol w:w="780"/>
              <w:gridCol w:w="709"/>
              <w:gridCol w:w="975"/>
              <w:gridCol w:w="945"/>
              <w:gridCol w:w="854"/>
              <w:gridCol w:w="650"/>
              <w:gridCol w:w="906"/>
              <w:gridCol w:w="511"/>
              <w:gridCol w:w="694"/>
              <w:gridCol w:w="1035"/>
              <w:gridCol w:w="934"/>
              <w:gridCol w:w="855"/>
              <w:gridCol w:w="736"/>
              <w:gridCol w:w="619"/>
            </w:tblGrid>
            <w:tr w14:paraId="54217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7" w:type="dxa"/>
                  <w:vMerge w:val="restart"/>
                  <w:noWrap w:val="0"/>
                  <w:vAlign w:val="center"/>
                </w:tcPr>
                <w:p w14:paraId="2300158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产污环节</w:t>
                  </w:r>
                </w:p>
              </w:tc>
              <w:tc>
                <w:tcPr>
                  <w:tcW w:w="540" w:type="dxa"/>
                  <w:vMerge w:val="restart"/>
                  <w:noWrap w:val="0"/>
                  <w:vAlign w:val="center"/>
                </w:tcPr>
                <w:p w14:paraId="79C5D1FD">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污染源</w:t>
                  </w:r>
                </w:p>
              </w:tc>
              <w:tc>
                <w:tcPr>
                  <w:tcW w:w="780" w:type="dxa"/>
                  <w:vMerge w:val="restart"/>
                  <w:noWrap w:val="0"/>
                  <w:vAlign w:val="center"/>
                </w:tcPr>
                <w:p w14:paraId="47DCB993">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4133" w:type="dxa"/>
                  <w:gridSpan w:val="5"/>
                  <w:noWrap w:val="0"/>
                  <w:vAlign w:val="center"/>
                </w:tcPr>
                <w:p w14:paraId="563A68F2">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污染物产生</w:t>
                  </w:r>
                </w:p>
              </w:tc>
              <w:tc>
                <w:tcPr>
                  <w:tcW w:w="1417" w:type="dxa"/>
                  <w:gridSpan w:val="2"/>
                  <w:noWrap w:val="0"/>
                  <w:vAlign w:val="center"/>
                </w:tcPr>
                <w:p w14:paraId="3DA884B0">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治理措施</w:t>
                  </w:r>
                </w:p>
              </w:tc>
              <w:tc>
                <w:tcPr>
                  <w:tcW w:w="4254" w:type="dxa"/>
                  <w:gridSpan w:val="5"/>
                  <w:noWrap w:val="0"/>
                  <w:vAlign w:val="center"/>
                </w:tcPr>
                <w:p w14:paraId="1A3E2180">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污染物排放</w:t>
                  </w:r>
                </w:p>
              </w:tc>
              <w:tc>
                <w:tcPr>
                  <w:tcW w:w="619" w:type="dxa"/>
                  <w:vMerge w:val="restart"/>
                  <w:noWrap w:val="0"/>
                  <w:vAlign w:val="center"/>
                </w:tcPr>
                <w:p w14:paraId="6E755F55">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排放时间/（h/a）</w:t>
                  </w:r>
                </w:p>
              </w:tc>
            </w:tr>
            <w:tr w14:paraId="304D9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7" w:type="dxa"/>
                  <w:vMerge w:val="continue"/>
                  <w:noWrap w:val="0"/>
                  <w:vAlign w:val="center"/>
                </w:tcPr>
                <w:p w14:paraId="235B30C5">
                  <w:pPr>
                    <w:jc w:val="center"/>
                    <w:rPr>
                      <w:rFonts w:hint="default" w:ascii="Times New Roman" w:hAnsi="Times New Roman" w:cs="Times New Roman"/>
                      <w:color w:val="auto"/>
                      <w:sz w:val="21"/>
                      <w:szCs w:val="21"/>
                      <w:highlight w:val="none"/>
                    </w:rPr>
                  </w:pPr>
                </w:p>
              </w:tc>
              <w:tc>
                <w:tcPr>
                  <w:tcW w:w="540" w:type="dxa"/>
                  <w:vMerge w:val="continue"/>
                  <w:noWrap w:val="0"/>
                  <w:vAlign w:val="center"/>
                </w:tcPr>
                <w:p w14:paraId="024C59DF">
                  <w:pPr>
                    <w:jc w:val="center"/>
                    <w:rPr>
                      <w:rFonts w:hint="default" w:ascii="Times New Roman" w:hAnsi="Times New Roman" w:cs="Times New Roman"/>
                      <w:color w:val="auto"/>
                      <w:sz w:val="21"/>
                      <w:szCs w:val="21"/>
                      <w:highlight w:val="none"/>
                    </w:rPr>
                  </w:pPr>
                </w:p>
              </w:tc>
              <w:tc>
                <w:tcPr>
                  <w:tcW w:w="780" w:type="dxa"/>
                  <w:vMerge w:val="continue"/>
                  <w:noWrap w:val="0"/>
                  <w:vAlign w:val="center"/>
                </w:tcPr>
                <w:p w14:paraId="4AA579B5">
                  <w:pPr>
                    <w:jc w:val="center"/>
                    <w:rPr>
                      <w:rFonts w:hint="default" w:ascii="Times New Roman" w:hAnsi="Times New Roman" w:cs="Times New Roman"/>
                      <w:color w:val="auto"/>
                      <w:sz w:val="21"/>
                      <w:szCs w:val="21"/>
                      <w:highlight w:val="none"/>
                    </w:rPr>
                  </w:pPr>
                </w:p>
              </w:tc>
              <w:tc>
                <w:tcPr>
                  <w:tcW w:w="709" w:type="dxa"/>
                  <w:noWrap w:val="0"/>
                  <w:vAlign w:val="center"/>
                </w:tcPr>
                <w:p w14:paraId="1450D2AC">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核算方法</w:t>
                  </w:r>
                </w:p>
              </w:tc>
              <w:tc>
                <w:tcPr>
                  <w:tcW w:w="975" w:type="dxa"/>
                  <w:noWrap w:val="0"/>
                  <w:vAlign w:val="center"/>
                </w:tcPr>
                <w:p w14:paraId="4B9C1544">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废气产生量/（m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/h）</w:t>
                  </w:r>
                </w:p>
              </w:tc>
              <w:tc>
                <w:tcPr>
                  <w:tcW w:w="945" w:type="dxa"/>
                  <w:noWrap w:val="0"/>
                  <w:vAlign w:val="center"/>
                </w:tcPr>
                <w:p w14:paraId="16AA8610">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产生浓度/（mg/m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854" w:type="dxa"/>
                  <w:noWrap w:val="0"/>
                  <w:vAlign w:val="center"/>
                </w:tcPr>
                <w:p w14:paraId="1D0D0F8F">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产生速率/（kg/h）</w:t>
                  </w:r>
                </w:p>
              </w:tc>
              <w:tc>
                <w:tcPr>
                  <w:tcW w:w="650" w:type="dxa"/>
                  <w:noWrap w:val="0"/>
                  <w:vAlign w:val="center"/>
                </w:tcPr>
                <w:p w14:paraId="6E84CF4D">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产生量/（t/a）</w:t>
                  </w:r>
                </w:p>
              </w:tc>
              <w:tc>
                <w:tcPr>
                  <w:tcW w:w="906" w:type="dxa"/>
                  <w:noWrap w:val="0"/>
                  <w:vAlign w:val="center"/>
                </w:tcPr>
                <w:p w14:paraId="676A4B8D">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工艺</w:t>
                  </w:r>
                </w:p>
              </w:tc>
              <w:tc>
                <w:tcPr>
                  <w:tcW w:w="511" w:type="dxa"/>
                  <w:noWrap w:val="0"/>
                  <w:vAlign w:val="center"/>
                </w:tcPr>
                <w:p w14:paraId="7F931FCD">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效率/</w:t>
                  </w:r>
                </w:p>
                <w:p w14:paraId="543579AE">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w:t>
                  </w:r>
                </w:p>
              </w:tc>
              <w:tc>
                <w:tcPr>
                  <w:tcW w:w="694" w:type="dxa"/>
                  <w:noWrap w:val="0"/>
                  <w:vAlign w:val="center"/>
                </w:tcPr>
                <w:p w14:paraId="0EDB6AA0">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核算方法</w:t>
                  </w:r>
                </w:p>
              </w:tc>
              <w:tc>
                <w:tcPr>
                  <w:tcW w:w="1035" w:type="dxa"/>
                  <w:noWrap w:val="0"/>
                  <w:vAlign w:val="center"/>
                </w:tcPr>
                <w:p w14:paraId="02AFFD21">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废气排放量/（m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/h）</w:t>
                  </w:r>
                </w:p>
              </w:tc>
              <w:tc>
                <w:tcPr>
                  <w:tcW w:w="934" w:type="dxa"/>
                  <w:noWrap w:val="0"/>
                  <w:vAlign w:val="center"/>
                </w:tcPr>
                <w:p w14:paraId="7B8550D4">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855" w:type="dxa"/>
                  <w:noWrap w:val="0"/>
                  <w:vAlign w:val="center"/>
                </w:tcPr>
                <w:p w14:paraId="11727DB4">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排放速率/（kg/h）</w:t>
                  </w:r>
                </w:p>
              </w:tc>
              <w:tc>
                <w:tcPr>
                  <w:tcW w:w="736" w:type="dxa"/>
                  <w:noWrap w:val="0"/>
                  <w:vAlign w:val="center"/>
                </w:tcPr>
                <w:p w14:paraId="391A36A9">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排放量/（t/a）</w:t>
                  </w:r>
                </w:p>
              </w:tc>
              <w:tc>
                <w:tcPr>
                  <w:tcW w:w="619" w:type="dxa"/>
                  <w:vMerge w:val="continue"/>
                  <w:noWrap w:val="0"/>
                  <w:vAlign w:val="center"/>
                </w:tcPr>
                <w:p w14:paraId="45370DEB">
                  <w:pPr>
                    <w:jc w:val="center"/>
                    <w:rPr>
                      <w:rFonts w:hint="default" w:ascii="Times New Roman" w:hAnsi="Times New Roman" w:cs="Times New Roman"/>
                      <w:color w:val="auto"/>
                      <w:sz w:val="21"/>
                      <w:szCs w:val="21"/>
                      <w:highlight w:val="none"/>
                    </w:rPr>
                  </w:pPr>
                </w:p>
              </w:tc>
            </w:tr>
            <w:tr w14:paraId="29FED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7" w:type="dxa"/>
                  <w:vMerge w:val="restart"/>
                  <w:noWrap w:val="0"/>
                  <w:vAlign w:val="center"/>
                </w:tcPr>
                <w:p w14:paraId="073E988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天然气烘干炉</w:t>
                  </w:r>
                </w:p>
              </w:tc>
              <w:tc>
                <w:tcPr>
                  <w:tcW w:w="540" w:type="dxa"/>
                  <w:vMerge w:val="restart"/>
                  <w:noWrap w:val="0"/>
                  <w:vAlign w:val="center"/>
                </w:tcPr>
                <w:p w14:paraId="4FB2700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DA006</w:t>
                  </w:r>
                </w:p>
              </w:tc>
              <w:tc>
                <w:tcPr>
                  <w:tcW w:w="780" w:type="dxa"/>
                  <w:noWrap w:val="0"/>
                  <w:vAlign w:val="center"/>
                </w:tcPr>
                <w:p w14:paraId="579F936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颗粒物</w:t>
                  </w:r>
                </w:p>
              </w:tc>
              <w:tc>
                <w:tcPr>
                  <w:tcW w:w="709" w:type="dxa"/>
                  <w:noWrap w:val="0"/>
                  <w:vAlign w:val="center"/>
                </w:tcPr>
                <w:p w14:paraId="74391CC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产污系数法</w:t>
                  </w:r>
                </w:p>
              </w:tc>
              <w:tc>
                <w:tcPr>
                  <w:tcW w:w="975" w:type="dxa"/>
                  <w:vMerge w:val="restart"/>
                  <w:noWrap w:val="0"/>
                  <w:vAlign w:val="center"/>
                </w:tcPr>
                <w:p w14:paraId="0103063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10000</w:t>
                  </w:r>
                </w:p>
              </w:tc>
              <w:tc>
                <w:tcPr>
                  <w:tcW w:w="945" w:type="dxa"/>
                  <w:noWrap w:val="0"/>
                  <w:vAlign w:val="center"/>
                </w:tcPr>
                <w:p w14:paraId="6A4451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0.9533</w:t>
                  </w:r>
                </w:p>
              </w:tc>
              <w:tc>
                <w:tcPr>
                  <w:tcW w:w="854" w:type="dxa"/>
                  <w:noWrap w:val="0"/>
                  <w:vAlign w:val="center"/>
                </w:tcPr>
                <w:p w14:paraId="651BB6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095</w:t>
                  </w:r>
                </w:p>
              </w:tc>
              <w:tc>
                <w:tcPr>
                  <w:tcW w:w="650" w:type="dxa"/>
                  <w:noWrap w:val="0"/>
                  <w:vAlign w:val="center"/>
                </w:tcPr>
                <w:p w14:paraId="30909B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906" w:type="dxa"/>
                  <w:vMerge w:val="restart"/>
                  <w:noWrap w:val="0"/>
                  <w:vAlign w:val="center"/>
                </w:tcPr>
                <w:p w14:paraId="5C89101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低氮燃烧器</w:t>
                  </w:r>
                </w:p>
              </w:tc>
              <w:tc>
                <w:tcPr>
                  <w:tcW w:w="511" w:type="dxa"/>
                  <w:noWrap w:val="0"/>
                  <w:vAlign w:val="center"/>
                </w:tcPr>
                <w:p w14:paraId="35B2F44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94" w:type="dxa"/>
                  <w:noWrap w:val="0"/>
                  <w:vAlign w:val="center"/>
                </w:tcPr>
                <w:p w14:paraId="7092F42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排污系数法</w:t>
                  </w:r>
                </w:p>
              </w:tc>
              <w:tc>
                <w:tcPr>
                  <w:tcW w:w="1035" w:type="dxa"/>
                  <w:vMerge w:val="restart"/>
                  <w:noWrap w:val="0"/>
                  <w:vAlign w:val="center"/>
                </w:tcPr>
                <w:p w14:paraId="47ADEF4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10000</w:t>
                  </w:r>
                </w:p>
              </w:tc>
              <w:tc>
                <w:tcPr>
                  <w:tcW w:w="934" w:type="dxa"/>
                  <w:shd w:val="clear" w:color="auto" w:fill="auto"/>
                  <w:noWrap w:val="0"/>
                  <w:vAlign w:val="center"/>
                </w:tcPr>
                <w:p w14:paraId="45A012F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0.9533</w:t>
                  </w:r>
                </w:p>
              </w:tc>
              <w:tc>
                <w:tcPr>
                  <w:tcW w:w="855" w:type="dxa"/>
                  <w:shd w:val="clear" w:color="auto" w:fill="auto"/>
                  <w:noWrap w:val="0"/>
                  <w:vAlign w:val="center"/>
                </w:tcPr>
                <w:p w14:paraId="05CFE3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095</w:t>
                  </w:r>
                </w:p>
              </w:tc>
              <w:tc>
                <w:tcPr>
                  <w:tcW w:w="736" w:type="dxa"/>
                  <w:shd w:val="clear" w:color="auto" w:fill="auto"/>
                  <w:noWrap w:val="0"/>
                  <w:vAlign w:val="center"/>
                </w:tcPr>
                <w:p w14:paraId="2BA623E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619" w:type="dxa"/>
                  <w:vMerge w:val="restart"/>
                  <w:noWrap w:val="0"/>
                  <w:vAlign w:val="center"/>
                </w:tcPr>
                <w:p w14:paraId="395AA8E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lang w:val="en-US" w:eastAsia="zh-CN"/>
                    </w:rPr>
                    <w:t>00</w:t>
                  </w:r>
                </w:p>
              </w:tc>
            </w:tr>
            <w:tr w14:paraId="27BF5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7" w:type="dxa"/>
                  <w:vMerge w:val="continue"/>
                  <w:noWrap w:val="0"/>
                  <w:vAlign w:val="center"/>
                </w:tcPr>
                <w:p w14:paraId="6765B84C">
                  <w:pPr>
                    <w:jc w:val="center"/>
                    <w:rPr>
                      <w:rFonts w:hint="default" w:ascii="Times New Roman" w:hAnsi="Times New Roman" w:cs="Times New Roman"/>
                      <w:color w:val="auto"/>
                      <w:sz w:val="21"/>
                      <w:szCs w:val="21"/>
                      <w:highlight w:val="none"/>
                    </w:rPr>
                  </w:pPr>
                </w:p>
              </w:tc>
              <w:tc>
                <w:tcPr>
                  <w:tcW w:w="540" w:type="dxa"/>
                  <w:vMerge w:val="continue"/>
                  <w:noWrap w:val="0"/>
                  <w:vAlign w:val="center"/>
                </w:tcPr>
                <w:p w14:paraId="676AA740">
                  <w:pPr>
                    <w:jc w:val="center"/>
                    <w:rPr>
                      <w:rFonts w:hint="default" w:ascii="Times New Roman" w:hAnsi="Times New Roman" w:cs="Times New Roman"/>
                      <w:color w:val="auto"/>
                      <w:sz w:val="21"/>
                      <w:szCs w:val="21"/>
                      <w:highlight w:val="none"/>
                    </w:rPr>
                  </w:pPr>
                </w:p>
              </w:tc>
              <w:tc>
                <w:tcPr>
                  <w:tcW w:w="780" w:type="dxa"/>
                  <w:noWrap w:val="0"/>
                  <w:vAlign w:val="center"/>
                </w:tcPr>
                <w:p w14:paraId="6B0FDC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SO</w:t>
                  </w:r>
                  <w:r>
                    <w:rPr>
                      <w:rFonts w:hint="default" w:ascii="Times New Roman" w:hAnsi="Times New Roman" w:cs="Times New Roman"/>
                      <w:i w:val="0"/>
                      <w:iCs w:val="0"/>
                      <w:color w:val="auto"/>
                      <w:kern w:val="0"/>
                      <w:sz w:val="21"/>
                      <w:szCs w:val="21"/>
                      <w:highlight w:val="none"/>
                      <w:u w:val="none"/>
                      <w:vertAlign w:val="subscript"/>
                      <w:lang w:val="en-US" w:eastAsia="zh-CN" w:bidi="ar"/>
                    </w:rPr>
                    <w:t>2</w:t>
                  </w:r>
                </w:p>
              </w:tc>
              <w:tc>
                <w:tcPr>
                  <w:tcW w:w="709" w:type="dxa"/>
                  <w:noWrap w:val="0"/>
                  <w:vAlign w:val="center"/>
                </w:tcPr>
                <w:p w14:paraId="146EC22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产污系数法</w:t>
                  </w:r>
                </w:p>
              </w:tc>
              <w:tc>
                <w:tcPr>
                  <w:tcW w:w="975" w:type="dxa"/>
                  <w:vMerge w:val="continue"/>
                  <w:noWrap w:val="0"/>
                  <w:vAlign w:val="center"/>
                </w:tcPr>
                <w:p w14:paraId="37ED69DE">
                  <w:pPr>
                    <w:jc w:val="center"/>
                    <w:rPr>
                      <w:rFonts w:hint="default" w:ascii="Times New Roman" w:hAnsi="Times New Roman" w:cs="Times New Roman"/>
                      <w:color w:val="auto"/>
                      <w:sz w:val="21"/>
                      <w:szCs w:val="21"/>
                      <w:highlight w:val="none"/>
                      <w:lang w:val="en-US" w:eastAsia="zh-CN"/>
                    </w:rPr>
                  </w:pPr>
                </w:p>
              </w:tc>
              <w:tc>
                <w:tcPr>
                  <w:tcW w:w="945" w:type="dxa"/>
                  <w:noWrap w:val="0"/>
                  <w:vAlign w:val="center"/>
                </w:tcPr>
                <w:p w14:paraId="6ED830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1333</w:t>
                  </w:r>
                </w:p>
              </w:tc>
              <w:tc>
                <w:tcPr>
                  <w:tcW w:w="854" w:type="dxa"/>
                  <w:noWrap w:val="0"/>
                  <w:vAlign w:val="center"/>
                </w:tcPr>
                <w:p w14:paraId="7BDF37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13</w:t>
                  </w:r>
                </w:p>
              </w:tc>
              <w:tc>
                <w:tcPr>
                  <w:tcW w:w="650" w:type="dxa"/>
                  <w:noWrap w:val="0"/>
                  <w:vAlign w:val="center"/>
                </w:tcPr>
                <w:p w14:paraId="04AA5B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w:t>
                  </w:r>
                </w:p>
              </w:tc>
              <w:tc>
                <w:tcPr>
                  <w:tcW w:w="906" w:type="dxa"/>
                  <w:vMerge w:val="continue"/>
                  <w:noWrap w:val="0"/>
                  <w:vAlign w:val="center"/>
                </w:tcPr>
                <w:p w14:paraId="35A4D851">
                  <w:pPr>
                    <w:jc w:val="center"/>
                    <w:rPr>
                      <w:rFonts w:hint="default" w:ascii="Times New Roman" w:hAnsi="Times New Roman" w:cs="Times New Roman"/>
                      <w:color w:val="auto"/>
                      <w:sz w:val="21"/>
                      <w:szCs w:val="21"/>
                      <w:highlight w:val="none"/>
                      <w:lang w:val="en-US" w:eastAsia="zh-CN"/>
                    </w:rPr>
                  </w:pPr>
                </w:p>
              </w:tc>
              <w:tc>
                <w:tcPr>
                  <w:tcW w:w="511" w:type="dxa"/>
                  <w:noWrap w:val="0"/>
                  <w:vAlign w:val="center"/>
                </w:tcPr>
                <w:p w14:paraId="65E39C92">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94" w:type="dxa"/>
                  <w:noWrap w:val="0"/>
                  <w:vAlign w:val="center"/>
                </w:tcPr>
                <w:p w14:paraId="443AA0C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排污系数法</w:t>
                  </w:r>
                </w:p>
              </w:tc>
              <w:tc>
                <w:tcPr>
                  <w:tcW w:w="1035" w:type="dxa"/>
                  <w:vMerge w:val="continue"/>
                  <w:noWrap w:val="0"/>
                  <w:vAlign w:val="center"/>
                </w:tcPr>
                <w:p w14:paraId="2170E89F">
                  <w:pPr>
                    <w:jc w:val="center"/>
                    <w:rPr>
                      <w:rFonts w:hint="default" w:ascii="Times New Roman" w:hAnsi="Times New Roman" w:cs="Times New Roman"/>
                      <w:color w:val="auto"/>
                      <w:sz w:val="21"/>
                      <w:szCs w:val="21"/>
                      <w:highlight w:val="none"/>
                      <w:lang w:val="en-US" w:eastAsia="zh-CN"/>
                    </w:rPr>
                  </w:pPr>
                </w:p>
              </w:tc>
              <w:tc>
                <w:tcPr>
                  <w:tcW w:w="934" w:type="dxa"/>
                  <w:shd w:val="clear" w:color="auto" w:fill="auto"/>
                  <w:noWrap w:val="0"/>
                  <w:vAlign w:val="center"/>
                </w:tcPr>
                <w:p w14:paraId="2F4BC9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1333</w:t>
                  </w:r>
                </w:p>
              </w:tc>
              <w:tc>
                <w:tcPr>
                  <w:tcW w:w="855" w:type="dxa"/>
                  <w:shd w:val="clear" w:color="auto" w:fill="auto"/>
                  <w:noWrap w:val="0"/>
                  <w:vAlign w:val="center"/>
                </w:tcPr>
                <w:p w14:paraId="59B03C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13</w:t>
                  </w:r>
                </w:p>
              </w:tc>
              <w:tc>
                <w:tcPr>
                  <w:tcW w:w="736" w:type="dxa"/>
                  <w:shd w:val="clear" w:color="auto" w:fill="auto"/>
                  <w:noWrap w:val="0"/>
                  <w:vAlign w:val="center"/>
                </w:tcPr>
                <w:p w14:paraId="071F18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w:t>
                  </w:r>
                </w:p>
              </w:tc>
              <w:tc>
                <w:tcPr>
                  <w:tcW w:w="619" w:type="dxa"/>
                  <w:vMerge w:val="continue"/>
                  <w:noWrap w:val="0"/>
                  <w:vAlign w:val="center"/>
                </w:tcPr>
                <w:p w14:paraId="5D3341C5">
                  <w:pPr>
                    <w:jc w:val="center"/>
                    <w:rPr>
                      <w:rFonts w:hint="default" w:ascii="Times New Roman" w:hAnsi="Times New Roman" w:cs="Times New Roman"/>
                      <w:color w:val="auto"/>
                      <w:sz w:val="21"/>
                      <w:szCs w:val="21"/>
                      <w:highlight w:val="none"/>
                      <w:lang w:val="en-US" w:eastAsia="zh-CN"/>
                    </w:rPr>
                  </w:pPr>
                </w:p>
              </w:tc>
            </w:tr>
            <w:tr w14:paraId="5A957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7" w:type="dxa"/>
                  <w:vMerge w:val="continue"/>
                  <w:noWrap w:val="0"/>
                  <w:vAlign w:val="center"/>
                </w:tcPr>
                <w:p w14:paraId="232F2418">
                  <w:pPr>
                    <w:jc w:val="center"/>
                    <w:rPr>
                      <w:rFonts w:hint="default" w:ascii="Times New Roman" w:hAnsi="Times New Roman" w:eastAsia="宋体" w:cs="Times New Roman"/>
                      <w:color w:val="auto"/>
                      <w:kern w:val="2"/>
                      <w:sz w:val="21"/>
                      <w:szCs w:val="21"/>
                      <w:highlight w:val="none"/>
                      <w:lang w:val="en-US" w:eastAsia="zh-CN" w:bidi="ar-SA"/>
                    </w:rPr>
                  </w:pPr>
                </w:p>
              </w:tc>
              <w:tc>
                <w:tcPr>
                  <w:tcW w:w="540" w:type="dxa"/>
                  <w:vMerge w:val="continue"/>
                  <w:noWrap w:val="0"/>
                  <w:vAlign w:val="center"/>
                </w:tcPr>
                <w:p w14:paraId="710ED4F3">
                  <w:pPr>
                    <w:jc w:val="center"/>
                    <w:rPr>
                      <w:rFonts w:hint="default" w:ascii="Times New Roman" w:hAnsi="Times New Roman" w:cs="Times New Roman"/>
                      <w:color w:val="auto"/>
                      <w:sz w:val="21"/>
                      <w:szCs w:val="21"/>
                      <w:highlight w:val="none"/>
                    </w:rPr>
                  </w:pPr>
                </w:p>
              </w:tc>
              <w:tc>
                <w:tcPr>
                  <w:tcW w:w="780" w:type="dxa"/>
                  <w:noWrap w:val="0"/>
                  <w:vAlign w:val="center"/>
                </w:tcPr>
                <w:p w14:paraId="71A77DE6">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NOx</w:t>
                  </w:r>
                </w:p>
              </w:tc>
              <w:tc>
                <w:tcPr>
                  <w:tcW w:w="709" w:type="dxa"/>
                  <w:noWrap w:val="0"/>
                  <w:vAlign w:val="center"/>
                </w:tcPr>
                <w:p w14:paraId="1405D9E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产污系数法</w:t>
                  </w:r>
                </w:p>
              </w:tc>
              <w:tc>
                <w:tcPr>
                  <w:tcW w:w="975" w:type="dxa"/>
                  <w:vMerge w:val="continue"/>
                  <w:noWrap w:val="0"/>
                  <w:vAlign w:val="center"/>
                </w:tcPr>
                <w:p w14:paraId="4914D0F2">
                  <w:pPr>
                    <w:jc w:val="center"/>
                    <w:rPr>
                      <w:rFonts w:hint="default" w:ascii="Times New Roman" w:hAnsi="Times New Roman" w:eastAsia="宋体" w:cs="Times New Roman"/>
                      <w:color w:val="auto"/>
                      <w:sz w:val="21"/>
                      <w:szCs w:val="21"/>
                      <w:highlight w:val="none"/>
                      <w:lang w:val="en-US" w:eastAsia="zh-CN"/>
                    </w:rPr>
                  </w:pPr>
                </w:p>
              </w:tc>
              <w:tc>
                <w:tcPr>
                  <w:tcW w:w="945" w:type="dxa"/>
                  <w:noWrap w:val="0"/>
                  <w:vAlign w:val="center"/>
                </w:tcPr>
                <w:p w14:paraId="278ED000">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3.1167</w:t>
                  </w:r>
                </w:p>
              </w:tc>
              <w:tc>
                <w:tcPr>
                  <w:tcW w:w="854" w:type="dxa"/>
                  <w:noWrap w:val="0"/>
                  <w:vAlign w:val="center"/>
                </w:tcPr>
                <w:p w14:paraId="328FA2C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r>
                    <w:rPr>
                      <w:rFonts w:hint="eastAsia" w:cs="Times New Roman"/>
                      <w:i w:val="0"/>
                      <w:iCs w:val="0"/>
                      <w:color w:val="auto"/>
                      <w:kern w:val="0"/>
                      <w:sz w:val="21"/>
                      <w:szCs w:val="21"/>
                      <w:u w:val="none"/>
                      <w:lang w:val="en-US" w:eastAsia="zh-CN" w:bidi="ar"/>
                    </w:rPr>
                    <w:t>12</w:t>
                  </w:r>
                </w:p>
              </w:tc>
              <w:tc>
                <w:tcPr>
                  <w:tcW w:w="650" w:type="dxa"/>
                  <w:noWrap w:val="0"/>
                  <w:vAlign w:val="center"/>
                </w:tcPr>
                <w:p w14:paraId="4B4D917B">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0.0935</w:t>
                  </w:r>
                </w:p>
              </w:tc>
              <w:tc>
                <w:tcPr>
                  <w:tcW w:w="906" w:type="dxa"/>
                  <w:vMerge w:val="continue"/>
                  <w:noWrap w:val="0"/>
                  <w:vAlign w:val="center"/>
                </w:tcPr>
                <w:p w14:paraId="0FECF55A">
                  <w:pPr>
                    <w:jc w:val="center"/>
                    <w:rPr>
                      <w:rFonts w:hint="default" w:ascii="Times New Roman" w:hAnsi="Times New Roman" w:cs="Times New Roman"/>
                      <w:color w:val="auto"/>
                      <w:sz w:val="21"/>
                      <w:szCs w:val="21"/>
                      <w:highlight w:val="none"/>
                    </w:rPr>
                  </w:pPr>
                </w:p>
              </w:tc>
              <w:tc>
                <w:tcPr>
                  <w:tcW w:w="511" w:type="dxa"/>
                  <w:noWrap w:val="0"/>
                  <w:vAlign w:val="center"/>
                </w:tcPr>
                <w:p w14:paraId="3911FFA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94" w:type="dxa"/>
                  <w:noWrap w:val="0"/>
                  <w:vAlign w:val="center"/>
                </w:tcPr>
                <w:p w14:paraId="5E14803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排污系数法</w:t>
                  </w:r>
                </w:p>
              </w:tc>
              <w:tc>
                <w:tcPr>
                  <w:tcW w:w="1035" w:type="dxa"/>
                  <w:vMerge w:val="continue"/>
                  <w:noWrap w:val="0"/>
                  <w:vAlign w:val="center"/>
                </w:tcPr>
                <w:p w14:paraId="0588EB8C">
                  <w:pPr>
                    <w:jc w:val="center"/>
                    <w:rPr>
                      <w:rFonts w:hint="default" w:ascii="Times New Roman" w:hAnsi="Times New Roman" w:eastAsia="宋体" w:cs="Times New Roman"/>
                      <w:color w:val="auto"/>
                      <w:sz w:val="21"/>
                      <w:szCs w:val="21"/>
                      <w:highlight w:val="none"/>
                      <w:lang w:val="en-US" w:eastAsia="zh-CN"/>
                    </w:rPr>
                  </w:pPr>
                </w:p>
              </w:tc>
              <w:tc>
                <w:tcPr>
                  <w:tcW w:w="934" w:type="dxa"/>
                  <w:shd w:val="clear" w:color="auto" w:fill="auto"/>
                  <w:noWrap w:val="0"/>
                  <w:vAlign w:val="center"/>
                </w:tcPr>
                <w:p w14:paraId="479831F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3.1167</w:t>
                  </w:r>
                </w:p>
              </w:tc>
              <w:tc>
                <w:tcPr>
                  <w:tcW w:w="855" w:type="dxa"/>
                  <w:shd w:val="clear" w:color="auto" w:fill="auto"/>
                  <w:noWrap w:val="0"/>
                  <w:vAlign w:val="center"/>
                </w:tcPr>
                <w:p w14:paraId="3ABD503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w:t>
                  </w:r>
                  <w:r>
                    <w:rPr>
                      <w:rFonts w:hint="eastAsia" w:cs="Times New Roman"/>
                      <w:i w:val="0"/>
                      <w:iCs w:val="0"/>
                      <w:color w:val="auto"/>
                      <w:kern w:val="0"/>
                      <w:sz w:val="21"/>
                      <w:szCs w:val="21"/>
                      <w:u w:val="none"/>
                      <w:lang w:val="en-US" w:eastAsia="zh-CN" w:bidi="ar"/>
                    </w:rPr>
                    <w:t>12</w:t>
                  </w:r>
                </w:p>
              </w:tc>
              <w:tc>
                <w:tcPr>
                  <w:tcW w:w="736" w:type="dxa"/>
                  <w:shd w:val="clear" w:color="auto" w:fill="auto"/>
                  <w:noWrap w:val="0"/>
                  <w:vAlign w:val="center"/>
                </w:tcPr>
                <w:p w14:paraId="2212546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0.0935</w:t>
                  </w:r>
                </w:p>
              </w:tc>
              <w:tc>
                <w:tcPr>
                  <w:tcW w:w="619" w:type="dxa"/>
                  <w:vMerge w:val="continue"/>
                  <w:noWrap w:val="0"/>
                  <w:vAlign w:val="center"/>
                </w:tcPr>
                <w:p w14:paraId="2A663C54">
                  <w:pPr>
                    <w:jc w:val="center"/>
                    <w:rPr>
                      <w:rFonts w:hint="default" w:ascii="Times New Roman" w:hAnsi="Times New Roman" w:eastAsia="宋体" w:cs="Times New Roman"/>
                      <w:color w:val="auto"/>
                      <w:sz w:val="21"/>
                      <w:szCs w:val="21"/>
                      <w:highlight w:val="none"/>
                      <w:lang w:val="en-US" w:eastAsia="zh-CN"/>
                    </w:rPr>
                  </w:pPr>
                </w:p>
              </w:tc>
            </w:tr>
            <w:tr w14:paraId="58715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7" w:type="dxa"/>
                  <w:noWrap w:val="0"/>
                  <w:vAlign w:val="center"/>
                </w:tcPr>
                <w:p w14:paraId="685AC81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粉末固化</w:t>
                  </w:r>
                </w:p>
              </w:tc>
              <w:tc>
                <w:tcPr>
                  <w:tcW w:w="540" w:type="dxa"/>
                  <w:vMerge w:val="continue"/>
                  <w:noWrap w:val="0"/>
                  <w:vAlign w:val="center"/>
                </w:tcPr>
                <w:p w14:paraId="215A5F75">
                  <w:pPr>
                    <w:jc w:val="center"/>
                    <w:rPr>
                      <w:rFonts w:hint="default" w:ascii="Times New Roman" w:hAnsi="Times New Roman" w:cs="Times New Roman"/>
                      <w:color w:val="auto"/>
                      <w:sz w:val="21"/>
                      <w:szCs w:val="21"/>
                      <w:highlight w:val="none"/>
                    </w:rPr>
                  </w:pPr>
                </w:p>
              </w:tc>
              <w:tc>
                <w:tcPr>
                  <w:tcW w:w="780" w:type="dxa"/>
                  <w:noWrap w:val="0"/>
                  <w:vAlign w:val="center"/>
                </w:tcPr>
                <w:p w14:paraId="2D7EF96C">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709" w:type="dxa"/>
                  <w:noWrap w:val="0"/>
                  <w:vAlign w:val="center"/>
                </w:tcPr>
                <w:p w14:paraId="03CF300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产污系数法</w:t>
                  </w:r>
                </w:p>
              </w:tc>
              <w:tc>
                <w:tcPr>
                  <w:tcW w:w="975" w:type="dxa"/>
                  <w:vMerge w:val="continue"/>
                  <w:noWrap w:val="0"/>
                  <w:vAlign w:val="center"/>
                </w:tcPr>
                <w:p w14:paraId="1196EAB3">
                  <w:pPr>
                    <w:jc w:val="center"/>
                    <w:rPr>
                      <w:rFonts w:hint="default" w:ascii="Times New Roman" w:hAnsi="Times New Roman" w:eastAsia="宋体" w:cs="Times New Roman"/>
                      <w:color w:val="auto"/>
                      <w:sz w:val="21"/>
                      <w:szCs w:val="21"/>
                      <w:highlight w:val="none"/>
                      <w:lang w:val="en-US" w:eastAsia="zh-CN"/>
                    </w:rPr>
                  </w:pPr>
                </w:p>
              </w:tc>
              <w:tc>
                <w:tcPr>
                  <w:tcW w:w="945" w:type="dxa"/>
                  <w:noWrap w:val="0"/>
                  <w:vAlign w:val="center"/>
                </w:tcPr>
                <w:p w14:paraId="7E061BD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1.3667</w:t>
                  </w:r>
                </w:p>
              </w:tc>
              <w:tc>
                <w:tcPr>
                  <w:tcW w:w="854" w:type="dxa"/>
                  <w:noWrap w:val="0"/>
                  <w:vAlign w:val="center"/>
                </w:tcPr>
                <w:p w14:paraId="2118CB0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137</w:t>
                  </w:r>
                </w:p>
              </w:tc>
              <w:tc>
                <w:tcPr>
                  <w:tcW w:w="650" w:type="dxa"/>
                  <w:noWrap w:val="0"/>
                  <w:vAlign w:val="center"/>
                </w:tcPr>
                <w:p w14:paraId="2E8CCAC6">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0.041</w:t>
                  </w:r>
                </w:p>
              </w:tc>
              <w:tc>
                <w:tcPr>
                  <w:tcW w:w="906" w:type="dxa"/>
                  <w:noWrap w:val="0"/>
                  <w:vAlign w:val="center"/>
                </w:tcPr>
                <w:p w14:paraId="7F95BC4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风冷装置+二级活性炭吸附装置</w:t>
                  </w:r>
                </w:p>
              </w:tc>
              <w:tc>
                <w:tcPr>
                  <w:tcW w:w="511" w:type="dxa"/>
                  <w:noWrap w:val="0"/>
                  <w:vAlign w:val="center"/>
                </w:tcPr>
                <w:p w14:paraId="70BA7F4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694" w:type="dxa"/>
                  <w:noWrap w:val="0"/>
                  <w:vAlign w:val="center"/>
                </w:tcPr>
                <w:p w14:paraId="6D72558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排污系数法</w:t>
                  </w:r>
                </w:p>
              </w:tc>
              <w:tc>
                <w:tcPr>
                  <w:tcW w:w="1035" w:type="dxa"/>
                  <w:vMerge w:val="continue"/>
                  <w:noWrap w:val="0"/>
                  <w:vAlign w:val="center"/>
                </w:tcPr>
                <w:p w14:paraId="09551F13">
                  <w:pPr>
                    <w:jc w:val="center"/>
                    <w:rPr>
                      <w:rFonts w:hint="default" w:ascii="Times New Roman" w:hAnsi="Times New Roman" w:cs="Times New Roman"/>
                      <w:color w:val="auto"/>
                      <w:sz w:val="21"/>
                      <w:szCs w:val="21"/>
                      <w:highlight w:val="none"/>
                    </w:rPr>
                  </w:pPr>
                </w:p>
              </w:tc>
              <w:tc>
                <w:tcPr>
                  <w:tcW w:w="934" w:type="dxa"/>
                  <w:noWrap w:val="0"/>
                  <w:vAlign w:val="center"/>
                </w:tcPr>
                <w:p w14:paraId="0BAEF9F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1367</w:t>
                  </w:r>
                </w:p>
              </w:tc>
              <w:tc>
                <w:tcPr>
                  <w:tcW w:w="855" w:type="dxa"/>
                  <w:noWrap w:val="0"/>
                  <w:vAlign w:val="center"/>
                </w:tcPr>
                <w:p w14:paraId="3B86912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14</w:t>
                  </w:r>
                </w:p>
              </w:tc>
              <w:tc>
                <w:tcPr>
                  <w:tcW w:w="736" w:type="dxa"/>
                  <w:noWrap w:val="0"/>
                  <w:vAlign w:val="center"/>
                </w:tcPr>
                <w:p w14:paraId="287F9A8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0.0041</w:t>
                  </w:r>
                </w:p>
              </w:tc>
              <w:tc>
                <w:tcPr>
                  <w:tcW w:w="619" w:type="dxa"/>
                  <w:vMerge w:val="continue"/>
                  <w:noWrap w:val="0"/>
                  <w:vAlign w:val="center"/>
                </w:tcPr>
                <w:p w14:paraId="34AE88B7">
                  <w:pPr>
                    <w:jc w:val="center"/>
                    <w:rPr>
                      <w:rFonts w:hint="default" w:ascii="Times New Roman" w:hAnsi="Times New Roman" w:cs="Times New Roman"/>
                      <w:color w:val="auto"/>
                      <w:sz w:val="21"/>
                      <w:szCs w:val="21"/>
                      <w:highlight w:val="none"/>
                    </w:rPr>
                  </w:pPr>
                </w:p>
              </w:tc>
            </w:tr>
          </w:tbl>
          <w:p w14:paraId="496714F3">
            <w:pPr>
              <w:spacing w:line="30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 xml:space="preserve">  本项目废气排放口基本情况表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34"/>
              <w:gridCol w:w="1478"/>
              <w:gridCol w:w="1307"/>
              <w:gridCol w:w="1516"/>
              <w:gridCol w:w="1307"/>
              <w:gridCol w:w="1097"/>
              <w:gridCol w:w="1239"/>
              <w:gridCol w:w="1238"/>
              <w:gridCol w:w="1240"/>
              <w:gridCol w:w="1248"/>
            </w:tblGrid>
            <w:tr w14:paraId="4009E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370" w:type="pct"/>
                  <w:vMerge w:val="restart"/>
                  <w:noWrap w:val="0"/>
                  <w:vAlign w:val="center"/>
                </w:tcPr>
                <w:p w14:paraId="1910A98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排放口编号</w:t>
                  </w:r>
                </w:p>
              </w:tc>
              <w:tc>
                <w:tcPr>
                  <w:tcW w:w="586" w:type="pct"/>
                  <w:vMerge w:val="restart"/>
                  <w:noWrap w:val="0"/>
                  <w:vAlign w:val="center"/>
                </w:tcPr>
                <w:p w14:paraId="0CFFF7CB">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排放口名称</w:t>
                  </w:r>
                </w:p>
              </w:tc>
              <w:tc>
                <w:tcPr>
                  <w:tcW w:w="518" w:type="pct"/>
                  <w:vMerge w:val="restart"/>
                  <w:noWrap w:val="0"/>
                  <w:vAlign w:val="center"/>
                </w:tcPr>
                <w:p w14:paraId="6846B7E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排放口类型</w:t>
                  </w:r>
                </w:p>
              </w:tc>
              <w:tc>
                <w:tcPr>
                  <w:tcW w:w="601" w:type="pct"/>
                  <w:vMerge w:val="restart"/>
                  <w:noWrap w:val="0"/>
                  <w:vAlign w:val="center"/>
                </w:tcPr>
                <w:p w14:paraId="0062294D">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953" w:type="pct"/>
                  <w:gridSpan w:val="2"/>
                  <w:noWrap w:val="0"/>
                  <w:vAlign w:val="center"/>
                </w:tcPr>
                <w:p w14:paraId="3952EE28">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地理坐标</w:t>
                  </w:r>
                </w:p>
              </w:tc>
              <w:tc>
                <w:tcPr>
                  <w:tcW w:w="1969" w:type="pct"/>
                  <w:gridSpan w:val="4"/>
                  <w:noWrap w:val="0"/>
                  <w:vAlign w:val="center"/>
                </w:tcPr>
                <w:p w14:paraId="4DE12A3A">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排气筒参数</w:t>
                  </w:r>
                </w:p>
              </w:tc>
            </w:tr>
            <w:tr w14:paraId="61FC6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370" w:type="pct"/>
                  <w:vMerge w:val="continue"/>
                  <w:noWrap w:val="0"/>
                  <w:vAlign w:val="center"/>
                </w:tcPr>
                <w:p w14:paraId="78123AB9">
                  <w:pPr>
                    <w:jc w:val="center"/>
                    <w:rPr>
                      <w:rFonts w:hint="default" w:ascii="Times New Roman" w:hAnsi="Times New Roman" w:cs="Times New Roman"/>
                      <w:b/>
                      <w:bCs/>
                      <w:color w:val="auto"/>
                      <w:sz w:val="21"/>
                      <w:szCs w:val="21"/>
                      <w:highlight w:val="none"/>
                    </w:rPr>
                  </w:pPr>
                </w:p>
              </w:tc>
              <w:tc>
                <w:tcPr>
                  <w:tcW w:w="586" w:type="pct"/>
                  <w:vMerge w:val="continue"/>
                  <w:noWrap w:val="0"/>
                  <w:vAlign w:val="center"/>
                </w:tcPr>
                <w:p w14:paraId="16E9C94F">
                  <w:pPr>
                    <w:jc w:val="center"/>
                    <w:rPr>
                      <w:rFonts w:hint="default" w:ascii="Times New Roman" w:hAnsi="Times New Roman" w:cs="Times New Roman"/>
                      <w:b/>
                      <w:bCs/>
                      <w:color w:val="auto"/>
                      <w:sz w:val="21"/>
                      <w:szCs w:val="21"/>
                      <w:highlight w:val="none"/>
                    </w:rPr>
                  </w:pPr>
                </w:p>
              </w:tc>
              <w:tc>
                <w:tcPr>
                  <w:tcW w:w="518" w:type="pct"/>
                  <w:vMerge w:val="continue"/>
                  <w:noWrap w:val="0"/>
                  <w:vAlign w:val="center"/>
                </w:tcPr>
                <w:p w14:paraId="793ED4F8">
                  <w:pPr>
                    <w:jc w:val="center"/>
                    <w:rPr>
                      <w:rFonts w:hint="default" w:ascii="Times New Roman" w:hAnsi="Times New Roman" w:cs="Times New Roman"/>
                      <w:b/>
                      <w:bCs/>
                      <w:color w:val="auto"/>
                      <w:sz w:val="21"/>
                      <w:szCs w:val="21"/>
                      <w:highlight w:val="none"/>
                    </w:rPr>
                  </w:pPr>
                </w:p>
              </w:tc>
              <w:tc>
                <w:tcPr>
                  <w:tcW w:w="601" w:type="pct"/>
                  <w:vMerge w:val="continue"/>
                  <w:noWrap w:val="0"/>
                  <w:vAlign w:val="center"/>
                </w:tcPr>
                <w:p w14:paraId="67D1FEEB">
                  <w:pPr>
                    <w:jc w:val="center"/>
                    <w:rPr>
                      <w:rFonts w:hint="default" w:ascii="Times New Roman" w:hAnsi="Times New Roman" w:cs="Times New Roman"/>
                      <w:b/>
                      <w:bCs/>
                      <w:color w:val="auto"/>
                      <w:sz w:val="21"/>
                      <w:szCs w:val="21"/>
                      <w:highlight w:val="none"/>
                    </w:rPr>
                  </w:pPr>
                </w:p>
              </w:tc>
              <w:tc>
                <w:tcPr>
                  <w:tcW w:w="518" w:type="pct"/>
                  <w:noWrap w:val="0"/>
                  <w:vAlign w:val="center"/>
                </w:tcPr>
                <w:p w14:paraId="059FB77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经度</w:t>
                  </w:r>
                </w:p>
              </w:tc>
              <w:tc>
                <w:tcPr>
                  <w:tcW w:w="435" w:type="pct"/>
                  <w:noWrap w:val="0"/>
                  <w:vAlign w:val="center"/>
                </w:tcPr>
                <w:p w14:paraId="0C67EFC3">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纬度</w:t>
                  </w:r>
                </w:p>
              </w:tc>
              <w:tc>
                <w:tcPr>
                  <w:tcW w:w="491" w:type="pct"/>
                  <w:noWrap w:val="0"/>
                  <w:vAlign w:val="center"/>
                </w:tcPr>
                <w:p w14:paraId="218269F0">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排气筒高度/m</w:t>
                  </w:r>
                </w:p>
              </w:tc>
              <w:tc>
                <w:tcPr>
                  <w:tcW w:w="491" w:type="pct"/>
                  <w:noWrap w:val="0"/>
                  <w:vAlign w:val="center"/>
                </w:tcPr>
                <w:p w14:paraId="13CA1661">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排气筒出口内径/m</w:t>
                  </w:r>
                </w:p>
              </w:tc>
              <w:tc>
                <w:tcPr>
                  <w:tcW w:w="491" w:type="pct"/>
                  <w:noWrap w:val="0"/>
                  <w:vAlign w:val="center"/>
                </w:tcPr>
                <w:p w14:paraId="370E784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排气温度/℃</w:t>
                  </w:r>
                </w:p>
              </w:tc>
              <w:tc>
                <w:tcPr>
                  <w:tcW w:w="495" w:type="pct"/>
                  <w:noWrap w:val="0"/>
                  <w:vAlign w:val="center"/>
                </w:tcPr>
                <w:p w14:paraId="5536BA6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风速/m/s</w:t>
                  </w:r>
                </w:p>
              </w:tc>
            </w:tr>
            <w:tr w14:paraId="0DA62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370" w:type="pct"/>
                  <w:noWrap w:val="0"/>
                  <w:vAlign w:val="center"/>
                </w:tcPr>
                <w:p w14:paraId="491391C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DA00</w:t>
                  </w:r>
                  <w:r>
                    <w:rPr>
                      <w:rFonts w:hint="eastAsia" w:cs="Times New Roman"/>
                      <w:color w:val="auto"/>
                      <w:sz w:val="21"/>
                      <w:szCs w:val="21"/>
                      <w:highlight w:val="none"/>
                      <w:lang w:val="en-US" w:eastAsia="zh-CN"/>
                    </w:rPr>
                    <w:t>6</w:t>
                  </w:r>
                </w:p>
              </w:tc>
              <w:tc>
                <w:tcPr>
                  <w:tcW w:w="586" w:type="pct"/>
                  <w:noWrap w:val="0"/>
                  <w:vAlign w:val="center"/>
                </w:tcPr>
                <w:p w14:paraId="3741DC11">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DA006</w:t>
                  </w:r>
                  <w:r>
                    <w:rPr>
                      <w:rFonts w:hint="default" w:ascii="Times New Roman" w:hAnsi="Times New Roman" w:cs="Times New Roman"/>
                      <w:color w:val="auto"/>
                      <w:sz w:val="21"/>
                      <w:szCs w:val="21"/>
                      <w:highlight w:val="none"/>
                    </w:rPr>
                    <w:t>废气排口</w:t>
                  </w:r>
                </w:p>
              </w:tc>
              <w:tc>
                <w:tcPr>
                  <w:tcW w:w="518" w:type="pct"/>
                  <w:noWrap w:val="0"/>
                  <w:vAlign w:val="center"/>
                </w:tcPr>
                <w:p w14:paraId="650E1F7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一般排放口</w:t>
                  </w:r>
                </w:p>
              </w:tc>
              <w:tc>
                <w:tcPr>
                  <w:tcW w:w="601" w:type="pct"/>
                  <w:noWrap w:val="0"/>
                  <w:vAlign w:val="center"/>
                </w:tcPr>
                <w:p w14:paraId="3E906B5D">
                  <w:pPr>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颗粒物、SO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、NOx、</w:t>
                  </w:r>
                  <w:r>
                    <w:rPr>
                      <w:rFonts w:hint="eastAsia"/>
                      <w:color w:val="auto"/>
                      <w:sz w:val="21"/>
                      <w:szCs w:val="21"/>
                      <w:highlight w:val="none"/>
                    </w:rPr>
                    <w:t>非甲烷总烃</w:t>
                  </w:r>
                </w:p>
              </w:tc>
              <w:tc>
                <w:tcPr>
                  <w:tcW w:w="518" w:type="pct"/>
                  <w:noWrap w:val="0"/>
                  <w:vAlign w:val="center"/>
                </w:tcPr>
                <w:p w14:paraId="750EE09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118.715432</w:t>
                  </w:r>
                </w:p>
              </w:tc>
              <w:tc>
                <w:tcPr>
                  <w:tcW w:w="435" w:type="pct"/>
                  <w:noWrap w:val="0"/>
                  <w:vAlign w:val="center"/>
                </w:tcPr>
                <w:p w14:paraId="0C3663E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33.626585</w:t>
                  </w:r>
                </w:p>
              </w:tc>
              <w:tc>
                <w:tcPr>
                  <w:tcW w:w="491" w:type="pct"/>
                  <w:noWrap w:val="0"/>
                  <w:vAlign w:val="center"/>
                </w:tcPr>
                <w:p w14:paraId="601CDE4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1" w:type="pct"/>
                  <w:noWrap w:val="0"/>
                  <w:vAlign w:val="center"/>
                </w:tcPr>
                <w:p w14:paraId="7318DFD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491" w:type="pct"/>
                  <w:noWrap w:val="0"/>
                  <w:vAlign w:val="center"/>
                </w:tcPr>
                <w:p w14:paraId="3BEC465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495" w:type="pct"/>
                  <w:noWrap w:val="0"/>
                  <w:vAlign w:val="center"/>
                </w:tcPr>
                <w:p w14:paraId="5A7D1B9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18.29</w:t>
                  </w:r>
                </w:p>
              </w:tc>
            </w:tr>
          </w:tbl>
          <w:p w14:paraId="1CFB6990">
            <w:pPr>
              <w:spacing w:line="30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本项目无组织废气排放情况表</w:t>
            </w:r>
          </w:p>
          <w:tbl>
            <w:tblPr>
              <w:tblStyle w:val="30"/>
              <w:tblW w:w="46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689"/>
              <w:gridCol w:w="1401"/>
              <w:gridCol w:w="1401"/>
              <w:gridCol w:w="1401"/>
              <w:gridCol w:w="1682"/>
              <w:gridCol w:w="1122"/>
              <w:gridCol w:w="1392"/>
            </w:tblGrid>
            <w:tr w14:paraId="4CFE7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31" w:type="pct"/>
                  <w:tcBorders>
                    <w:bottom w:val="single" w:color="auto" w:sz="4" w:space="0"/>
                  </w:tcBorders>
                  <w:noWrap w:val="0"/>
                  <w:vAlign w:val="center"/>
                </w:tcPr>
                <w:p w14:paraId="02F7508D">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生产线/车间</w:t>
                  </w:r>
                </w:p>
              </w:tc>
              <w:tc>
                <w:tcPr>
                  <w:tcW w:w="714" w:type="pct"/>
                  <w:tcBorders>
                    <w:bottom w:val="single" w:color="auto" w:sz="4" w:space="0"/>
                  </w:tcBorders>
                  <w:noWrap w:val="0"/>
                  <w:vAlign w:val="center"/>
                </w:tcPr>
                <w:p w14:paraId="74F56F6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592" w:type="pct"/>
                  <w:tcBorders>
                    <w:bottom w:val="single" w:color="auto" w:sz="4" w:space="0"/>
                  </w:tcBorders>
                  <w:noWrap w:val="0"/>
                  <w:vAlign w:val="center"/>
                </w:tcPr>
                <w:p w14:paraId="5F88FD5C">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核算方法</w:t>
                  </w:r>
                </w:p>
              </w:tc>
              <w:tc>
                <w:tcPr>
                  <w:tcW w:w="592" w:type="pct"/>
                  <w:tcBorders>
                    <w:bottom w:val="single" w:color="auto" w:sz="4" w:space="0"/>
                  </w:tcBorders>
                  <w:noWrap w:val="0"/>
                  <w:vAlign w:val="center"/>
                </w:tcPr>
                <w:p w14:paraId="0B8B7867">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无组织排放量（t/a）</w:t>
                  </w:r>
                </w:p>
              </w:tc>
              <w:tc>
                <w:tcPr>
                  <w:tcW w:w="592" w:type="pct"/>
                  <w:tcBorders>
                    <w:bottom w:val="single" w:color="auto" w:sz="4" w:space="0"/>
                  </w:tcBorders>
                  <w:noWrap w:val="0"/>
                  <w:vAlign w:val="center"/>
                </w:tcPr>
                <w:p w14:paraId="3FECB91D">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无组织排放速率（kg/h）</w:t>
                  </w:r>
                </w:p>
              </w:tc>
              <w:tc>
                <w:tcPr>
                  <w:tcW w:w="711" w:type="pct"/>
                  <w:tcBorders>
                    <w:bottom w:val="single" w:color="auto" w:sz="4" w:space="0"/>
                  </w:tcBorders>
                  <w:noWrap w:val="0"/>
                  <w:vAlign w:val="center"/>
                </w:tcPr>
                <w:p w14:paraId="092274A1">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面源面积（m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w:t>
                  </w:r>
                </w:p>
              </w:tc>
              <w:tc>
                <w:tcPr>
                  <w:tcW w:w="474" w:type="pct"/>
                  <w:tcBorders>
                    <w:bottom w:val="single" w:color="auto" w:sz="4" w:space="0"/>
                  </w:tcBorders>
                  <w:noWrap w:val="0"/>
                  <w:vAlign w:val="center"/>
                </w:tcPr>
                <w:p w14:paraId="53BE26A3">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面源高度（m）</w:t>
                  </w:r>
                </w:p>
              </w:tc>
              <w:tc>
                <w:tcPr>
                  <w:tcW w:w="588" w:type="pct"/>
                  <w:tcBorders>
                    <w:bottom w:val="single" w:color="auto" w:sz="4" w:space="0"/>
                  </w:tcBorders>
                  <w:noWrap w:val="0"/>
                  <w:vAlign w:val="center"/>
                </w:tcPr>
                <w:p w14:paraId="5113E3CB">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年排放时间（h/a）</w:t>
                  </w:r>
                </w:p>
              </w:tc>
            </w:tr>
            <w:tr w14:paraId="04938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1" w:type="pct"/>
                  <w:vMerge w:val="restart"/>
                  <w:noWrap w:val="0"/>
                  <w:vAlign w:val="center"/>
                </w:tcPr>
                <w:p w14:paraId="08E198C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厂房</w:t>
                  </w:r>
                </w:p>
              </w:tc>
              <w:tc>
                <w:tcPr>
                  <w:tcW w:w="714" w:type="pct"/>
                  <w:noWrap w:val="0"/>
                  <w:vAlign w:val="center"/>
                </w:tcPr>
                <w:p w14:paraId="54504BA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w:t>
                  </w:r>
                </w:p>
              </w:tc>
              <w:tc>
                <w:tcPr>
                  <w:tcW w:w="592" w:type="pct"/>
                  <w:noWrap w:val="0"/>
                  <w:vAlign w:val="center"/>
                </w:tcPr>
                <w:p w14:paraId="00EB615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排污系数法</w:t>
                  </w:r>
                </w:p>
              </w:tc>
              <w:tc>
                <w:tcPr>
                  <w:tcW w:w="592" w:type="pct"/>
                  <w:noWrap w:val="0"/>
                  <w:vAlign w:val="center"/>
                </w:tcPr>
                <w:p w14:paraId="7877357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0.162</w:t>
                  </w:r>
                </w:p>
              </w:tc>
              <w:tc>
                <w:tcPr>
                  <w:tcW w:w="592" w:type="pct"/>
                  <w:noWrap w:val="0"/>
                  <w:vAlign w:val="center"/>
                </w:tcPr>
                <w:p w14:paraId="04EDF5D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0.054</w:t>
                  </w:r>
                </w:p>
              </w:tc>
              <w:tc>
                <w:tcPr>
                  <w:tcW w:w="711" w:type="pct"/>
                  <w:vMerge w:val="restart"/>
                  <w:noWrap w:val="0"/>
                  <w:vAlign w:val="center"/>
                </w:tcPr>
                <w:p w14:paraId="147FE18C">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4000</w:t>
                  </w:r>
                </w:p>
              </w:tc>
              <w:tc>
                <w:tcPr>
                  <w:tcW w:w="474" w:type="pct"/>
                  <w:vMerge w:val="restart"/>
                  <w:noWrap w:val="0"/>
                  <w:vAlign w:val="center"/>
                </w:tcPr>
                <w:p w14:paraId="7254782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88" w:type="pct"/>
                  <w:vMerge w:val="restart"/>
                  <w:noWrap w:val="0"/>
                  <w:vAlign w:val="center"/>
                </w:tcPr>
                <w:p w14:paraId="7F195CF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r>
            <w:tr w14:paraId="24245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1" w:type="pct"/>
                  <w:vMerge w:val="continue"/>
                  <w:noWrap w:val="0"/>
                  <w:vAlign w:val="center"/>
                </w:tcPr>
                <w:p w14:paraId="2E34EF36">
                  <w:pPr>
                    <w:jc w:val="center"/>
                    <w:rPr>
                      <w:rFonts w:hint="default" w:ascii="Times New Roman" w:hAnsi="Times New Roman" w:cs="Times New Roman"/>
                      <w:color w:val="auto"/>
                      <w:sz w:val="21"/>
                      <w:szCs w:val="21"/>
                      <w:highlight w:val="none"/>
                    </w:rPr>
                  </w:pPr>
                </w:p>
              </w:tc>
              <w:tc>
                <w:tcPr>
                  <w:tcW w:w="714" w:type="pct"/>
                  <w:noWrap w:val="0"/>
                  <w:vAlign w:val="center"/>
                </w:tcPr>
                <w:p w14:paraId="09B48997">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592" w:type="pct"/>
                  <w:noWrap w:val="0"/>
                  <w:vAlign w:val="center"/>
                </w:tcPr>
                <w:p w14:paraId="69C5436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排污系数法</w:t>
                  </w:r>
                </w:p>
              </w:tc>
              <w:tc>
                <w:tcPr>
                  <w:tcW w:w="592" w:type="pct"/>
                  <w:noWrap w:val="0"/>
                  <w:vAlign w:val="center"/>
                </w:tcPr>
                <w:p w14:paraId="452224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0.0022</w:t>
                  </w:r>
                </w:p>
              </w:tc>
              <w:tc>
                <w:tcPr>
                  <w:tcW w:w="592" w:type="pct"/>
                  <w:noWrap w:val="0"/>
                  <w:vAlign w:val="center"/>
                </w:tcPr>
                <w:p w14:paraId="57C97320">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0.0007</w:t>
                  </w:r>
                </w:p>
              </w:tc>
              <w:tc>
                <w:tcPr>
                  <w:tcW w:w="711" w:type="pct"/>
                  <w:vMerge w:val="continue"/>
                  <w:noWrap w:val="0"/>
                  <w:vAlign w:val="center"/>
                </w:tcPr>
                <w:p w14:paraId="7869C23F">
                  <w:pPr>
                    <w:jc w:val="center"/>
                    <w:rPr>
                      <w:rFonts w:hint="eastAsia" w:cs="Times New Roman"/>
                      <w:color w:val="auto"/>
                      <w:sz w:val="21"/>
                      <w:szCs w:val="21"/>
                      <w:highlight w:val="none"/>
                      <w:lang w:val="en-US" w:eastAsia="zh-CN"/>
                    </w:rPr>
                  </w:pPr>
                </w:p>
              </w:tc>
              <w:tc>
                <w:tcPr>
                  <w:tcW w:w="474" w:type="pct"/>
                  <w:vMerge w:val="continue"/>
                  <w:noWrap w:val="0"/>
                  <w:vAlign w:val="center"/>
                </w:tcPr>
                <w:p w14:paraId="1825E5A0">
                  <w:pPr>
                    <w:jc w:val="center"/>
                    <w:rPr>
                      <w:rFonts w:hint="eastAsia" w:cs="Times New Roman"/>
                      <w:color w:val="auto"/>
                      <w:sz w:val="21"/>
                      <w:szCs w:val="21"/>
                      <w:highlight w:val="none"/>
                      <w:lang w:val="en-US" w:eastAsia="zh-CN"/>
                    </w:rPr>
                  </w:pPr>
                </w:p>
              </w:tc>
              <w:tc>
                <w:tcPr>
                  <w:tcW w:w="588" w:type="pct"/>
                  <w:vMerge w:val="continue"/>
                  <w:noWrap w:val="0"/>
                  <w:vAlign w:val="center"/>
                </w:tcPr>
                <w:p w14:paraId="3D836EAA">
                  <w:pPr>
                    <w:jc w:val="center"/>
                    <w:rPr>
                      <w:rFonts w:hint="eastAsia" w:cs="Times New Roman"/>
                      <w:color w:val="auto"/>
                      <w:sz w:val="21"/>
                      <w:szCs w:val="21"/>
                      <w:highlight w:val="none"/>
                      <w:lang w:val="en-US" w:eastAsia="zh-CN"/>
                    </w:rPr>
                  </w:pPr>
                </w:p>
              </w:tc>
            </w:tr>
          </w:tbl>
          <w:p w14:paraId="78660A4A">
            <w:pPr>
              <w:spacing w:line="300" w:lineRule="auto"/>
              <w:ind w:firstLine="480" w:firstLineChars="200"/>
              <w:rPr>
                <w:color w:val="FF0000"/>
                <w:sz w:val="24"/>
                <w:szCs w:val="22"/>
                <w:highlight w:val="none"/>
              </w:rPr>
            </w:pPr>
          </w:p>
        </w:tc>
      </w:tr>
    </w:tbl>
    <w:p w14:paraId="669E70E4">
      <w:pPr>
        <w:adjustRightInd w:val="0"/>
        <w:snapToGrid w:val="0"/>
        <w:spacing w:line="360" w:lineRule="auto"/>
        <w:rPr>
          <w:rFonts w:ascii="宋体" w:cs="宋体"/>
          <w:b/>
          <w:color w:val="FF0000"/>
          <w:kern w:val="0"/>
          <w:sz w:val="28"/>
          <w:szCs w:val="28"/>
          <w:highlight w:val="none"/>
        </w:rPr>
        <w:sectPr>
          <w:pgSz w:w="16840" w:h="11907" w:orient="landscape"/>
          <w:pgMar w:top="1531" w:right="1701" w:bottom="1531" w:left="2127" w:header="851" w:footer="850" w:gutter="0"/>
          <w:pgBorders>
            <w:top w:val="none" w:sz="0" w:space="0"/>
            <w:left w:val="none" w:sz="0" w:space="0"/>
            <w:bottom w:val="none" w:sz="0" w:space="0"/>
            <w:right w:val="none" w:sz="0" w:space="0"/>
          </w:pgBorders>
          <w:cols w:space="720" w:num="1"/>
          <w:docGrid w:linePitch="312"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
        <w:gridCol w:w="8498"/>
      </w:tblGrid>
      <w:tr w14:paraId="0FA6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6" w:type="dxa"/>
            <w:noWrap w:val="0"/>
            <w:vAlign w:val="center"/>
          </w:tcPr>
          <w:p w14:paraId="02322641">
            <w:pPr>
              <w:jc w:val="center"/>
              <w:rPr>
                <w:rFonts w:hint="default" w:ascii="Times New Roman" w:hAnsi="Times New Roman" w:cs="Times New Roman"/>
                <w:color w:val="FF0000"/>
                <w:sz w:val="24"/>
                <w:szCs w:val="22"/>
                <w:highlight w:val="none"/>
              </w:rPr>
            </w:pPr>
          </w:p>
        </w:tc>
        <w:tc>
          <w:tcPr>
            <w:tcW w:w="8498" w:type="dxa"/>
            <w:noWrap w:val="0"/>
            <w:vAlign w:val="center"/>
          </w:tcPr>
          <w:p w14:paraId="5FA42500">
            <w:pPr>
              <w:spacing w:line="30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（2）项目废气排放总量核算</w:t>
            </w:r>
          </w:p>
          <w:p w14:paraId="5166D993">
            <w:pPr>
              <w:spacing w:line="30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项目大气污染物排放量核算见表4-</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~4-</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w:t>
            </w:r>
          </w:p>
          <w:p w14:paraId="638CB047">
            <w:pPr>
              <w:spacing w:line="30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6</w:t>
            </w:r>
            <w:r>
              <w:rPr>
                <w:rFonts w:hint="default" w:ascii="Times New Roman" w:hAnsi="Times New Roman" w:cs="Times New Roman"/>
                <w:b/>
                <w:bCs/>
                <w:color w:val="auto"/>
                <w:szCs w:val="21"/>
                <w:highlight w:val="none"/>
              </w:rPr>
              <w:t xml:space="preserve">  本项目大气污染物有组织排放量核算结果一览表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318"/>
              <w:gridCol w:w="1497"/>
              <w:gridCol w:w="1680"/>
              <w:gridCol w:w="1501"/>
              <w:gridCol w:w="1502"/>
            </w:tblGrid>
            <w:tr w14:paraId="3A5B3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73EA7EF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795" w:type="pct"/>
                  <w:noWrap w:val="0"/>
                  <w:vAlign w:val="center"/>
                </w:tcPr>
                <w:p w14:paraId="1A80283D">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排放口编号</w:t>
                  </w:r>
                </w:p>
              </w:tc>
              <w:tc>
                <w:tcPr>
                  <w:tcW w:w="903" w:type="pct"/>
                  <w:noWrap w:val="0"/>
                  <w:vAlign w:val="center"/>
                </w:tcPr>
                <w:p w14:paraId="2DF49E7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1014" w:type="pct"/>
                  <w:noWrap w:val="0"/>
                  <w:vAlign w:val="center"/>
                </w:tcPr>
                <w:p w14:paraId="1389413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核算排放浓度/（mg/m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906" w:type="pct"/>
                  <w:noWrap w:val="0"/>
                  <w:vAlign w:val="center"/>
                </w:tcPr>
                <w:p w14:paraId="0453602A">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核算排放速率/（kg/h）</w:t>
                  </w:r>
                </w:p>
              </w:tc>
              <w:tc>
                <w:tcPr>
                  <w:tcW w:w="906" w:type="pct"/>
                  <w:noWrap w:val="0"/>
                  <w:vAlign w:val="center"/>
                </w:tcPr>
                <w:p w14:paraId="4F681B8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核算年排放量/（t/a）</w:t>
                  </w:r>
                </w:p>
              </w:tc>
            </w:tr>
            <w:tr w14:paraId="35A7D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4569C2E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一般排放口</w:t>
                  </w:r>
                </w:p>
              </w:tc>
            </w:tr>
            <w:tr w14:paraId="0F9ED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2EEBE13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795" w:type="pct"/>
                  <w:vMerge w:val="restart"/>
                  <w:noWrap w:val="0"/>
                  <w:vAlign w:val="center"/>
                </w:tcPr>
                <w:p w14:paraId="2EC66430">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DA006</w:t>
                  </w:r>
                </w:p>
              </w:tc>
              <w:tc>
                <w:tcPr>
                  <w:tcW w:w="903" w:type="pct"/>
                  <w:noWrap w:val="0"/>
                  <w:vAlign w:val="center"/>
                </w:tcPr>
                <w:p w14:paraId="16097F5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颗粒物</w:t>
                  </w:r>
                </w:p>
              </w:tc>
              <w:tc>
                <w:tcPr>
                  <w:tcW w:w="1014" w:type="pct"/>
                  <w:shd w:val="clear" w:color="auto" w:fill="auto"/>
                  <w:noWrap w:val="0"/>
                  <w:vAlign w:val="center"/>
                </w:tcPr>
                <w:p w14:paraId="74D0D4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0.9533</w:t>
                  </w:r>
                </w:p>
              </w:tc>
              <w:tc>
                <w:tcPr>
                  <w:tcW w:w="906" w:type="pct"/>
                  <w:shd w:val="clear" w:color="auto" w:fill="auto"/>
                  <w:noWrap w:val="0"/>
                  <w:vAlign w:val="center"/>
                </w:tcPr>
                <w:p w14:paraId="1449A7F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095</w:t>
                  </w:r>
                </w:p>
              </w:tc>
              <w:tc>
                <w:tcPr>
                  <w:tcW w:w="906" w:type="pct"/>
                  <w:shd w:val="clear" w:color="auto" w:fill="auto"/>
                  <w:noWrap w:val="0"/>
                  <w:vAlign w:val="center"/>
                </w:tcPr>
                <w:p w14:paraId="080980F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0.0286</w:t>
                  </w:r>
                </w:p>
              </w:tc>
            </w:tr>
            <w:tr w14:paraId="18D52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33397B0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w:t>
                  </w:r>
                </w:p>
              </w:tc>
              <w:tc>
                <w:tcPr>
                  <w:tcW w:w="795" w:type="pct"/>
                  <w:vMerge w:val="continue"/>
                  <w:noWrap w:val="0"/>
                  <w:vAlign w:val="center"/>
                </w:tcPr>
                <w:p w14:paraId="6A84DA81">
                  <w:pPr>
                    <w:jc w:val="center"/>
                    <w:rPr>
                      <w:rFonts w:hint="default" w:ascii="Times New Roman" w:hAnsi="Times New Roman" w:cs="Times New Roman"/>
                      <w:color w:val="auto"/>
                      <w:sz w:val="21"/>
                      <w:szCs w:val="21"/>
                      <w:highlight w:val="none"/>
                    </w:rPr>
                  </w:pPr>
                </w:p>
              </w:tc>
              <w:tc>
                <w:tcPr>
                  <w:tcW w:w="903" w:type="pct"/>
                  <w:noWrap w:val="0"/>
                  <w:vAlign w:val="center"/>
                </w:tcPr>
                <w:p w14:paraId="72BCDF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SO</w:t>
                  </w:r>
                  <w:r>
                    <w:rPr>
                      <w:rFonts w:hint="default" w:ascii="Times New Roman" w:hAnsi="Times New Roman" w:cs="Times New Roman"/>
                      <w:i w:val="0"/>
                      <w:iCs w:val="0"/>
                      <w:color w:val="auto"/>
                      <w:kern w:val="0"/>
                      <w:sz w:val="21"/>
                      <w:szCs w:val="21"/>
                      <w:highlight w:val="none"/>
                      <w:u w:val="none"/>
                      <w:vertAlign w:val="subscript"/>
                      <w:lang w:val="en-US" w:eastAsia="zh-CN" w:bidi="ar"/>
                    </w:rPr>
                    <w:t>2</w:t>
                  </w:r>
                </w:p>
              </w:tc>
              <w:tc>
                <w:tcPr>
                  <w:tcW w:w="1014" w:type="pct"/>
                  <w:shd w:val="clear" w:color="auto" w:fill="auto"/>
                  <w:noWrap w:val="0"/>
                  <w:vAlign w:val="center"/>
                </w:tcPr>
                <w:p w14:paraId="3714DC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1333</w:t>
                  </w:r>
                </w:p>
              </w:tc>
              <w:tc>
                <w:tcPr>
                  <w:tcW w:w="906" w:type="pct"/>
                  <w:shd w:val="clear" w:color="auto" w:fill="auto"/>
                  <w:noWrap w:val="0"/>
                  <w:vAlign w:val="center"/>
                </w:tcPr>
                <w:p w14:paraId="7F0B90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13</w:t>
                  </w:r>
                </w:p>
              </w:tc>
              <w:tc>
                <w:tcPr>
                  <w:tcW w:w="906" w:type="pct"/>
                  <w:shd w:val="clear" w:color="auto" w:fill="auto"/>
                  <w:noWrap w:val="0"/>
                  <w:vAlign w:val="center"/>
                </w:tcPr>
                <w:p w14:paraId="2032CE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w:t>
                  </w:r>
                </w:p>
              </w:tc>
            </w:tr>
            <w:tr w14:paraId="500A6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6BA4E70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w:t>
                  </w:r>
                </w:p>
              </w:tc>
              <w:tc>
                <w:tcPr>
                  <w:tcW w:w="795" w:type="pct"/>
                  <w:vMerge w:val="continue"/>
                  <w:noWrap w:val="0"/>
                  <w:vAlign w:val="center"/>
                </w:tcPr>
                <w:p w14:paraId="4EC2339C">
                  <w:pPr>
                    <w:jc w:val="center"/>
                    <w:rPr>
                      <w:rFonts w:hint="default" w:ascii="Times New Roman" w:hAnsi="Times New Roman" w:cs="Times New Roman"/>
                      <w:color w:val="auto"/>
                      <w:szCs w:val="21"/>
                      <w:highlight w:val="none"/>
                    </w:rPr>
                  </w:pPr>
                </w:p>
              </w:tc>
              <w:tc>
                <w:tcPr>
                  <w:tcW w:w="903" w:type="pct"/>
                  <w:noWrap w:val="0"/>
                  <w:vAlign w:val="center"/>
                </w:tcPr>
                <w:p w14:paraId="52B0026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NOx</w:t>
                  </w:r>
                </w:p>
              </w:tc>
              <w:tc>
                <w:tcPr>
                  <w:tcW w:w="1014" w:type="pct"/>
                  <w:shd w:val="clear" w:color="auto" w:fill="auto"/>
                  <w:noWrap w:val="0"/>
                  <w:vAlign w:val="center"/>
                </w:tcPr>
                <w:p w14:paraId="6E353EC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3.1167</w:t>
                  </w:r>
                </w:p>
              </w:tc>
              <w:tc>
                <w:tcPr>
                  <w:tcW w:w="906" w:type="pct"/>
                  <w:shd w:val="clear" w:color="auto" w:fill="auto"/>
                  <w:noWrap w:val="0"/>
                  <w:vAlign w:val="center"/>
                </w:tcPr>
                <w:p w14:paraId="0F907F3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w:t>
                  </w:r>
                  <w:r>
                    <w:rPr>
                      <w:rFonts w:hint="eastAsia" w:cs="Times New Roman"/>
                      <w:i w:val="0"/>
                      <w:iCs w:val="0"/>
                      <w:color w:val="auto"/>
                      <w:kern w:val="0"/>
                      <w:sz w:val="21"/>
                      <w:szCs w:val="21"/>
                      <w:u w:val="none"/>
                      <w:lang w:val="en-US" w:eastAsia="zh-CN" w:bidi="ar"/>
                    </w:rPr>
                    <w:t>12</w:t>
                  </w:r>
                </w:p>
              </w:tc>
              <w:tc>
                <w:tcPr>
                  <w:tcW w:w="906" w:type="pct"/>
                  <w:shd w:val="clear" w:color="auto" w:fill="auto"/>
                  <w:noWrap w:val="0"/>
                  <w:vAlign w:val="center"/>
                </w:tcPr>
                <w:p w14:paraId="5F9AE18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0.0935</w:t>
                  </w:r>
                </w:p>
              </w:tc>
            </w:tr>
            <w:tr w14:paraId="265BD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7924F112">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w:t>
                  </w:r>
                </w:p>
              </w:tc>
              <w:tc>
                <w:tcPr>
                  <w:tcW w:w="795" w:type="pct"/>
                  <w:vMerge w:val="continue"/>
                  <w:noWrap w:val="0"/>
                  <w:vAlign w:val="center"/>
                </w:tcPr>
                <w:p w14:paraId="57BA8CD4">
                  <w:pPr>
                    <w:jc w:val="center"/>
                    <w:rPr>
                      <w:rFonts w:hint="default" w:ascii="Times New Roman" w:hAnsi="Times New Roman" w:cs="Times New Roman"/>
                      <w:color w:val="auto"/>
                      <w:szCs w:val="21"/>
                      <w:highlight w:val="none"/>
                    </w:rPr>
                  </w:pPr>
                </w:p>
              </w:tc>
              <w:tc>
                <w:tcPr>
                  <w:tcW w:w="903" w:type="pct"/>
                  <w:noWrap w:val="0"/>
                  <w:vAlign w:val="center"/>
                </w:tcPr>
                <w:p w14:paraId="28E76E8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1014" w:type="pct"/>
                  <w:shd w:val="clear" w:color="auto" w:fill="auto"/>
                  <w:noWrap w:val="0"/>
                  <w:vAlign w:val="center"/>
                </w:tcPr>
                <w:p w14:paraId="6CB902EA">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1367</w:t>
                  </w:r>
                </w:p>
              </w:tc>
              <w:tc>
                <w:tcPr>
                  <w:tcW w:w="906" w:type="pct"/>
                  <w:shd w:val="clear" w:color="auto" w:fill="auto"/>
                  <w:noWrap w:val="0"/>
                  <w:vAlign w:val="center"/>
                </w:tcPr>
                <w:p w14:paraId="4DB4981F">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14</w:t>
                  </w:r>
                </w:p>
              </w:tc>
              <w:tc>
                <w:tcPr>
                  <w:tcW w:w="906" w:type="pct"/>
                  <w:shd w:val="clear" w:color="auto" w:fill="auto"/>
                  <w:noWrap w:val="0"/>
                  <w:vAlign w:val="center"/>
                </w:tcPr>
                <w:p w14:paraId="65F64F0E">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0.0041</w:t>
                  </w:r>
                </w:p>
              </w:tc>
            </w:tr>
            <w:tr w14:paraId="7AE90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5241103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有组织排放总计</w:t>
                  </w:r>
                </w:p>
              </w:tc>
            </w:tr>
            <w:tr w14:paraId="2EFB2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gridSpan w:val="2"/>
                  <w:vMerge w:val="restart"/>
                  <w:noWrap w:val="0"/>
                  <w:vAlign w:val="center"/>
                </w:tcPr>
                <w:p w14:paraId="52B36A2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有组织排放总计</w:t>
                  </w:r>
                </w:p>
              </w:tc>
              <w:tc>
                <w:tcPr>
                  <w:tcW w:w="2824" w:type="pct"/>
                  <w:gridSpan w:val="3"/>
                  <w:noWrap w:val="0"/>
                  <w:vAlign w:val="center"/>
                </w:tcPr>
                <w:p w14:paraId="2DF0C6A5">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颗粒物</w:t>
                  </w:r>
                </w:p>
              </w:tc>
              <w:tc>
                <w:tcPr>
                  <w:tcW w:w="906" w:type="pct"/>
                  <w:noWrap w:val="0"/>
                  <w:vAlign w:val="center"/>
                </w:tcPr>
                <w:p w14:paraId="2945C963">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u w:val="none"/>
                      <w:lang w:val="en-US" w:eastAsia="zh-CN" w:bidi="ar"/>
                    </w:rPr>
                    <w:t>0.0286</w:t>
                  </w:r>
                </w:p>
              </w:tc>
            </w:tr>
            <w:tr w14:paraId="14964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gridSpan w:val="2"/>
                  <w:vMerge w:val="continue"/>
                  <w:noWrap w:val="0"/>
                  <w:vAlign w:val="center"/>
                </w:tcPr>
                <w:p w14:paraId="3501CEA8">
                  <w:pPr>
                    <w:jc w:val="center"/>
                    <w:rPr>
                      <w:rFonts w:hint="default" w:ascii="Times New Roman" w:hAnsi="Times New Roman" w:cs="Times New Roman"/>
                      <w:color w:val="auto"/>
                      <w:szCs w:val="21"/>
                      <w:highlight w:val="none"/>
                    </w:rPr>
                  </w:pPr>
                </w:p>
              </w:tc>
              <w:tc>
                <w:tcPr>
                  <w:tcW w:w="2824" w:type="pct"/>
                  <w:gridSpan w:val="3"/>
                  <w:noWrap w:val="0"/>
                  <w:vAlign w:val="center"/>
                </w:tcPr>
                <w:p w14:paraId="109F3E12">
                  <w:pPr>
                    <w:keepNext w:val="0"/>
                    <w:keepLines w:val="0"/>
                    <w:widowControl/>
                    <w:suppressLineNumbers w:val="0"/>
                    <w:jc w:val="center"/>
                    <w:textAlignment w:val="center"/>
                    <w:rPr>
                      <w:rFonts w:hint="eastAsia" w:cs="Times New Roman"/>
                      <w:color w:val="auto"/>
                      <w:szCs w:val="22"/>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SO</w:t>
                  </w:r>
                  <w:r>
                    <w:rPr>
                      <w:rFonts w:hint="default" w:ascii="Times New Roman" w:hAnsi="Times New Roman" w:cs="Times New Roman"/>
                      <w:i w:val="0"/>
                      <w:iCs w:val="0"/>
                      <w:color w:val="auto"/>
                      <w:kern w:val="0"/>
                      <w:sz w:val="21"/>
                      <w:szCs w:val="21"/>
                      <w:highlight w:val="none"/>
                      <w:u w:val="none"/>
                      <w:vertAlign w:val="subscript"/>
                      <w:lang w:val="en-US" w:eastAsia="zh-CN" w:bidi="ar"/>
                    </w:rPr>
                    <w:t>2</w:t>
                  </w:r>
                </w:p>
              </w:tc>
              <w:tc>
                <w:tcPr>
                  <w:tcW w:w="906" w:type="pct"/>
                  <w:noWrap w:val="0"/>
                  <w:vAlign w:val="center"/>
                </w:tcPr>
                <w:p w14:paraId="0A945636">
                  <w:pPr>
                    <w:keepNext w:val="0"/>
                    <w:keepLines w:val="0"/>
                    <w:widowControl/>
                    <w:suppressLineNumbers w:val="0"/>
                    <w:jc w:val="center"/>
                    <w:textAlignment w:val="center"/>
                    <w:rPr>
                      <w:rFonts w:hint="default"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w:t>
                  </w:r>
                </w:p>
              </w:tc>
            </w:tr>
            <w:tr w14:paraId="10D71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gridSpan w:val="2"/>
                  <w:vMerge w:val="continue"/>
                  <w:noWrap w:val="0"/>
                  <w:vAlign w:val="center"/>
                </w:tcPr>
                <w:p w14:paraId="469B4494">
                  <w:pPr>
                    <w:jc w:val="center"/>
                    <w:rPr>
                      <w:rFonts w:hint="default" w:ascii="Times New Roman" w:hAnsi="Times New Roman" w:cs="Times New Roman"/>
                      <w:color w:val="auto"/>
                      <w:szCs w:val="21"/>
                      <w:highlight w:val="none"/>
                    </w:rPr>
                  </w:pPr>
                </w:p>
              </w:tc>
              <w:tc>
                <w:tcPr>
                  <w:tcW w:w="2824" w:type="pct"/>
                  <w:gridSpan w:val="3"/>
                  <w:noWrap w:val="0"/>
                  <w:vAlign w:val="center"/>
                </w:tcPr>
                <w:p w14:paraId="4731C7FA">
                  <w:pPr>
                    <w:keepNext w:val="0"/>
                    <w:keepLines w:val="0"/>
                    <w:widowControl/>
                    <w:suppressLineNumbers w:val="0"/>
                    <w:jc w:val="center"/>
                    <w:textAlignment w:val="center"/>
                    <w:rPr>
                      <w:rFonts w:hint="eastAsia" w:cs="Times New Roman"/>
                      <w:color w:val="auto"/>
                      <w:szCs w:val="22"/>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NOx</w:t>
                  </w:r>
                </w:p>
              </w:tc>
              <w:tc>
                <w:tcPr>
                  <w:tcW w:w="906" w:type="pct"/>
                  <w:noWrap w:val="0"/>
                  <w:vAlign w:val="center"/>
                </w:tcPr>
                <w:p w14:paraId="1D3EE633">
                  <w:pPr>
                    <w:keepNext w:val="0"/>
                    <w:keepLines w:val="0"/>
                    <w:widowControl/>
                    <w:suppressLineNumbers w:val="0"/>
                    <w:jc w:val="center"/>
                    <w:textAlignment w:val="center"/>
                    <w:rPr>
                      <w:rFonts w:hint="eastAsia"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0.0935</w:t>
                  </w:r>
                </w:p>
              </w:tc>
            </w:tr>
            <w:tr w14:paraId="4E81A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gridSpan w:val="2"/>
                  <w:vMerge w:val="continue"/>
                  <w:noWrap w:val="0"/>
                  <w:vAlign w:val="center"/>
                </w:tcPr>
                <w:p w14:paraId="2A983530">
                  <w:pPr>
                    <w:jc w:val="center"/>
                    <w:rPr>
                      <w:rFonts w:hint="default" w:ascii="Times New Roman" w:hAnsi="Times New Roman" w:cs="Times New Roman"/>
                      <w:color w:val="auto"/>
                      <w:szCs w:val="21"/>
                      <w:highlight w:val="none"/>
                    </w:rPr>
                  </w:pPr>
                </w:p>
              </w:tc>
              <w:tc>
                <w:tcPr>
                  <w:tcW w:w="2824" w:type="pct"/>
                  <w:gridSpan w:val="3"/>
                  <w:noWrap w:val="0"/>
                  <w:vAlign w:val="center"/>
                </w:tcPr>
                <w:p w14:paraId="612078FB">
                  <w:pPr>
                    <w:keepNext w:val="0"/>
                    <w:keepLines w:val="0"/>
                    <w:widowControl/>
                    <w:suppressLineNumbers w:val="0"/>
                    <w:jc w:val="center"/>
                    <w:textAlignment w:val="center"/>
                    <w:rPr>
                      <w:rFonts w:hint="default" w:cs="Times New Roman"/>
                      <w:color w:val="auto"/>
                      <w:szCs w:val="22"/>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VOCs</w:t>
                  </w:r>
                </w:p>
              </w:tc>
              <w:tc>
                <w:tcPr>
                  <w:tcW w:w="906" w:type="pct"/>
                  <w:noWrap w:val="0"/>
                  <w:vAlign w:val="center"/>
                </w:tcPr>
                <w:p w14:paraId="72BF281F">
                  <w:pPr>
                    <w:keepNext w:val="0"/>
                    <w:keepLines w:val="0"/>
                    <w:widowControl/>
                    <w:suppressLineNumbers w:val="0"/>
                    <w:jc w:val="center"/>
                    <w:textAlignment w:val="center"/>
                    <w:rPr>
                      <w:rFonts w:hint="default"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0.0041</w:t>
                  </w:r>
                </w:p>
              </w:tc>
            </w:tr>
            <w:tr w14:paraId="01B02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0B0F1D45">
                  <w:pP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注：根据《排污许可证申请与核发技术规范 总则》（HJ942-2018），本项目排放口属于一般排放口。</w:t>
                  </w:r>
                </w:p>
              </w:tc>
            </w:tr>
          </w:tbl>
          <w:p w14:paraId="16146C8D">
            <w:pPr>
              <w:spacing w:line="30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7</w:t>
            </w:r>
            <w:r>
              <w:rPr>
                <w:rFonts w:hint="default" w:ascii="Times New Roman" w:hAnsi="Times New Roman" w:cs="Times New Roman"/>
                <w:b/>
                <w:bCs/>
                <w:color w:val="auto"/>
                <w:szCs w:val="21"/>
                <w:highlight w:val="none"/>
              </w:rPr>
              <w:t xml:space="preserve">  本项目大气污染物无组织排放量核算结果一览表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8"/>
              <w:gridCol w:w="585"/>
              <w:gridCol w:w="1529"/>
              <w:gridCol w:w="719"/>
              <w:gridCol w:w="1122"/>
              <w:gridCol w:w="1882"/>
              <w:gridCol w:w="1024"/>
              <w:gridCol w:w="914"/>
            </w:tblGrid>
            <w:tr w14:paraId="52394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6" w:type="pct"/>
                  <w:vMerge w:val="restart"/>
                  <w:noWrap w:val="0"/>
                  <w:vAlign w:val="center"/>
                </w:tcPr>
                <w:p w14:paraId="44FD1B96">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353" w:type="pct"/>
                  <w:vMerge w:val="restart"/>
                  <w:noWrap w:val="0"/>
                  <w:vAlign w:val="center"/>
                </w:tcPr>
                <w:p w14:paraId="37F31C9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排放口编号</w:t>
                  </w:r>
                </w:p>
              </w:tc>
              <w:tc>
                <w:tcPr>
                  <w:tcW w:w="923" w:type="pct"/>
                  <w:vMerge w:val="restart"/>
                  <w:noWrap w:val="0"/>
                  <w:tcMar>
                    <w:left w:w="0" w:type="dxa"/>
                    <w:right w:w="0" w:type="dxa"/>
                  </w:tcMar>
                  <w:vAlign w:val="center"/>
                </w:tcPr>
                <w:p w14:paraId="17D5D55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产污环节</w:t>
                  </w:r>
                </w:p>
              </w:tc>
              <w:tc>
                <w:tcPr>
                  <w:tcW w:w="434" w:type="pct"/>
                  <w:vMerge w:val="restart"/>
                  <w:noWrap w:val="0"/>
                  <w:tcMar>
                    <w:left w:w="0" w:type="dxa"/>
                    <w:right w:w="0" w:type="dxa"/>
                  </w:tcMar>
                  <w:vAlign w:val="center"/>
                </w:tcPr>
                <w:p w14:paraId="104B771D">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676" w:type="pct"/>
                  <w:vMerge w:val="restart"/>
                  <w:noWrap w:val="0"/>
                  <w:vAlign w:val="center"/>
                </w:tcPr>
                <w:p w14:paraId="00673C06">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主要污染防治措施</w:t>
                  </w:r>
                </w:p>
              </w:tc>
              <w:tc>
                <w:tcPr>
                  <w:tcW w:w="1754" w:type="pct"/>
                  <w:gridSpan w:val="2"/>
                  <w:noWrap w:val="0"/>
                  <w:vAlign w:val="center"/>
                </w:tcPr>
                <w:p w14:paraId="581B4FF3">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国家或地方污染物排放标准</w:t>
                  </w:r>
                </w:p>
              </w:tc>
              <w:tc>
                <w:tcPr>
                  <w:tcW w:w="551" w:type="pct"/>
                  <w:vMerge w:val="restart"/>
                  <w:noWrap w:val="0"/>
                  <w:tcMar>
                    <w:left w:w="0" w:type="dxa"/>
                    <w:right w:w="0" w:type="dxa"/>
                  </w:tcMar>
                  <w:vAlign w:val="center"/>
                </w:tcPr>
                <w:p w14:paraId="07F84164">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年排放量/（t/a）</w:t>
                  </w:r>
                </w:p>
              </w:tc>
            </w:tr>
            <w:tr w14:paraId="4A2CB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6" w:type="pct"/>
                  <w:vMerge w:val="continue"/>
                  <w:noWrap w:val="0"/>
                  <w:vAlign w:val="center"/>
                </w:tcPr>
                <w:p w14:paraId="57B43D0B">
                  <w:pPr>
                    <w:jc w:val="center"/>
                    <w:rPr>
                      <w:rFonts w:hint="default" w:ascii="Times New Roman" w:hAnsi="Times New Roman" w:cs="Times New Roman"/>
                      <w:b/>
                      <w:bCs/>
                      <w:color w:val="auto"/>
                      <w:szCs w:val="21"/>
                      <w:highlight w:val="none"/>
                    </w:rPr>
                  </w:pPr>
                </w:p>
              </w:tc>
              <w:tc>
                <w:tcPr>
                  <w:tcW w:w="353" w:type="pct"/>
                  <w:vMerge w:val="continue"/>
                  <w:noWrap w:val="0"/>
                  <w:vAlign w:val="center"/>
                </w:tcPr>
                <w:p w14:paraId="6ABBCE2F">
                  <w:pPr>
                    <w:jc w:val="center"/>
                    <w:rPr>
                      <w:rFonts w:hint="default" w:ascii="Times New Roman" w:hAnsi="Times New Roman" w:cs="Times New Roman"/>
                      <w:b/>
                      <w:bCs/>
                      <w:color w:val="auto"/>
                      <w:szCs w:val="21"/>
                      <w:highlight w:val="none"/>
                    </w:rPr>
                  </w:pPr>
                </w:p>
              </w:tc>
              <w:tc>
                <w:tcPr>
                  <w:tcW w:w="923" w:type="pct"/>
                  <w:vMerge w:val="continue"/>
                  <w:noWrap w:val="0"/>
                  <w:vAlign w:val="center"/>
                </w:tcPr>
                <w:p w14:paraId="0C9ECA3A">
                  <w:pPr>
                    <w:jc w:val="center"/>
                    <w:rPr>
                      <w:rFonts w:hint="default" w:ascii="Times New Roman" w:hAnsi="Times New Roman" w:cs="Times New Roman"/>
                      <w:b/>
                      <w:bCs/>
                      <w:color w:val="auto"/>
                      <w:szCs w:val="21"/>
                      <w:highlight w:val="none"/>
                    </w:rPr>
                  </w:pPr>
                </w:p>
              </w:tc>
              <w:tc>
                <w:tcPr>
                  <w:tcW w:w="434" w:type="pct"/>
                  <w:vMerge w:val="continue"/>
                  <w:noWrap w:val="0"/>
                  <w:vAlign w:val="center"/>
                </w:tcPr>
                <w:p w14:paraId="057DD38F">
                  <w:pPr>
                    <w:jc w:val="center"/>
                    <w:rPr>
                      <w:rFonts w:hint="default" w:ascii="Times New Roman" w:hAnsi="Times New Roman" w:cs="Times New Roman"/>
                      <w:b/>
                      <w:bCs/>
                      <w:color w:val="auto"/>
                      <w:szCs w:val="21"/>
                      <w:highlight w:val="none"/>
                    </w:rPr>
                  </w:pPr>
                </w:p>
              </w:tc>
              <w:tc>
                <w:tcPr>
                  <w:tcW w:w="676" w:type="pct"/>
                  <w:vMerge w:val="continue"/>
                  <w:noWrap w:val="0"/>
                  <w:vAlign w:val="center"/>
                </w:tcPr>
                <w:p w14:paraId="6AE05413">
                  <w:pPr>
                    <w:jc w:val="center"/>
                    <w:rPr>
                      <w:rFonts w:hint="default" w:ascii="Times New Roman" w:hAnsi="Times New Roman" w:cs="Times New Roman"/>
                      <w:b/>
                      <w:bCs/>
                      <w:color w:val="auto"/>
                      <w:szCs w:val="21"/>
                      <w:highlight w:val="none"/>
                    </w:rPr>
                  </w:pPr>
                </w:p>
              </w:tc>
              <w:tc>
                <w:tcPr>
                  <w:tcW w:w="1136" w:type="pct"/>
                  <w:noWrap w:val="0"/>
                  <w:vAlign w:val="center"/>
                </w:tcPr>
                <w:p w14:paraId="569D5D0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标准名称</w:t>
                  </w:r>
                </w:p>
              </w:tc>
              <w:tc>
                <w:tcPr>
                  <w:tcW w:w="618" w:type="pct"/>
                  <w:noWrap w:val="0"/>
                  <w:tcMar>
                    <w:left w:w="0" w:type="dxa"/>
                    <w:right w:w="0" w:type="dxa"/>
                  </w:tcMar>
                  <w:vAlign w:val="center"/>
                </w:tcPr>
                <w:p w14:paraId="5500325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浓度限值</w:t>
                  </w:r>
                </w:p>
                <w:p w14:paraId="207E0DD1">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（mg/m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551" w:type="pct"/>
                  <w:vMerge w:val="continue"/>
                  <w:noWrap w:val="0"/>
                  <w:vAlign w:val="center"/>
                </w:tcPr>
                <w:p w14:paraId="5A75FBBE">
                  <w:pPr>
                    <w:jc w:val="center"/>
                    <w:rPr>
                      <w:rFonts w:hint="default" w:ascii="Times New Roman" w:hAnsi="Times New Roman" w:cs="Times New Roman"/>
                      <w:b/>
                      <w:bCs/>
                      <w:color w:val="auto"/>
                      <w:szCs w:val="21"/>
                      <w:highlight w:val="none"/>
                    </w:rPr>
                  </w:pPr>
                </w:p>
              </w:tc>
            </w:tr>
            <w:tr w14:paraId="21F54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6" w:type="pct"/>
                  <w:noWrap w:val="0"/>
                  <w:vAlign w:val="center"/>
                </w:tcPr>
                <w:p w14:paraId="672E7EC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53" w:type="pct"/>
                  <w:vMerge w:val="restart"/>
                  <w:noWrap w:val="0"/>
                  <w:vAlign w:val="center"/>
                </w:tcPr>
                <w:p w14:paraId="4D5F88A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厂房</w:t>
                  </w:r>
                </w:p>
              </w:tc>
              <w:tc>
                <w:tcPr>
                  <w:tcW w:w="923" w:type="pct"/>
                  <w:vMerge w:val="restart"/>
                  <w:noWrap w:val="0"/>
                  <w:vAlign w:val="center"/>
                </w:tcPr>
                <w:p w14:paraId="170FFB1F">
                  <w:pPr>
                    <w:jc w:val="center"/>
                    <w:rPr>
                      <w:rFonts w:hint="default" w:ascii="Times New Roman" w:hAnsi="Times New Roman" w:eastAsia="宋体" w:cs="Times New Roman"/>
                      <w:color w:val="auto"/>
                      <w:szCs w:val="21"/>
                      <w:highlight w:val="none"/>
                      <w:lang w:val="en-US" w:eastAsia="zh-CN"/>
                    </w:rPr>
                  </w:pPr>
                  <w:r>
                    <w:rPr>
                      <w:rFonts w:hint="eastAsia"/>
                      <w:color w:val="auto"/>
                      <w:sz w:val="21"/>
                      <w:szCs w:val="21"/>
                      <w:highlight w:val="none"/>
                      <w:lang w:val="en-US" w:eastAsia="zh-CN"/>
                    </w:rPr>
                    <w:t>喷塑、粉末固化</w:t>
                  </w:r>
                </w:p>
              </w:tc>
              <w:tc>
                <w:tcPr>
                  <w:tcW w:w="434" w:type="pct"/>
                  <w:noWrap w:val="0"/>
                  <w:tcMar>
                    <w:left w:w="0" w:type="dxa"/>
                    <w:right w:w="0" w:type="dxa"/>
                  </w:tcMar>
                  <w:vAlign w:val="center"/>
                </w:tcPr>
                <w:p w14:paraId="4D125874">
                  <w:pPr>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sz w:val="21"/>
                      <w:szCs w:val="21"/>
                      <w:highlight w:val="none"/>
                      <w:lang w:val="en-US" w:eastAsia="zh-CN"/>
                    </w:rPr>
                    <w:t>颗粒物</w:t>
                  </w:r>
                </w:p>
              </w:tc>
              <w:tc>
                <w:tcPr>
                  <w:tcW w:w="676" w:type="pct"/>
                  <w:vMerge w:val="restart"/>
                  <w:noWrap w:val="0"/>
                  <w:vAlign w:val="center"/>
                </w:tcPr>
                <w:p w14:paraId="454A571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强化废气收集处理，提高收集效率</w:t>
                  </w:r>
                </w:p>
              </w:tc>
              <w:tc>
                <w:tcPr>
                  <w:tcW w:w="1136" w:type="pct"/>
                  <w:vMerge w:val="restart"/>
                  <w:noWrap w:val="0"/>
                  <w:vAlign w:val="center"/>
                </w:tcPr>
                <w:p w14:paraId="76EB830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《大气污染物综合排放标准》（DB32/4041-2021）</w:t>
                  </w:r>
                </w:p>
              </w:tc>
              <w:tc>
                <w:tcPr>
                  <w:tcW w:w="618" w:type="pct"/>
                  <w:noWrap w:val="0"/>
                  <w:vAlign w:val="center"/>
                </w:tcPr>
                <w:p w14:paraId="78381E7B">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0.5</w:t>
                  </w:r>
                </w:p>
              </w:tc>
              <w:tc>
                <w:tcPr>
                  <w:tcW w:w="551" w:type="pct"/>
                  <w:noWrap w:val="0"/>
                  <w:vAlign w:val="center"/>
                </w:tcPr>
                <w:p w14:paraId="025DE08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0.162</w:t>
                  </w:r>
                </w:p>
              </w:tc>
            </w:tr>
            <w:tr w14:paraId="600A9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6" w:type="pct"/>
                  <w:noWrap w:val="0"/>
                  <w:vAlign w:val="center"/>
                </w:tcPr>
                <w:p w14:paraId="4362D46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353" w:type="pct"/>
                  <w:vMerge w:val="continue"/>
                  <w:noWrap w:val="0"/>
                  <w:vAlign w:val="center"/>
                </w:tcPr>
                <w:p w14:paraId="5CFB6E40">
                  <w:pPr>
                    <w:jc w:val="center"/>
                    <w:rPr>
                      <w:rFonts w:hint="default" w:ascii="Times New Roman" w:hAnsi="Times New Roman" w:cs="Times New Roman"/>
                      <w:color w:val="auto"/>
                      <w:szCs w:val="21"/>
                      <w:highlight w:val="none"/>
                    </w:rPr>
                  </w:pPr>
                </w:p>
              </w:tc>
              <w:tc>
                <w:tcPr>
                  <w:tcW w:w="923" w:type="pct"/>
                  <w:vMerge w:val="continue"/>
                  <w:noWrap w:val="0"/>
                  <w:vAlign w:val="center"/>
                </w:tcPr>
                <w:p w14:paraId="608E5322">
                  <w:pPr>
                    <w:jc w:val="center"/>
                    <w:rPr>
                      <w:rFonts w:hint="default" w:ascii="Times New Roman" w:hAnsi="Times New Roman" w:cs="Times New Roman"/>
                      <w:color w:val="auto"/>
                      <w:szCs w:val="21"/>
                      <w:highlight w:val="none"/>
                    </w:rPr>
                  </w:pPr>
                </w:p>
              </w:tc>
              <w:tc>
                <w:tcPr>
                  <w:tcW w:w="434" w:type="pct"/>
                  <w:noWrap w:val="0"/>
                  <w:tcMar>
                    <w:left w:w="0" w:type="dxa"/>
                    <w:right w:w="0" w:type="dxa"/>
                  </w:tcMar>
                  <w:vAlign w:val="center"/>
                </w:tcPr>
                <w:p w14:paraId="04BCEF4F">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sz w:val="21"/>
                      <w:szCs w:val="21"/>
                      <w:highlight w:val="none"/>
                    </w:rPr>
                    <w:t>非甲烷总烃</w:t>
                  </w:r>
                </w:p>
              </w:tc>
              <w:tc>
                <w:tcPr>
                  <w:tcW w:w="676" w:type="pct"/>
                  <w:vMerge w:val="continue"/>
                  <w:noWrap w:val="0"/>
                  <w:vAlign w:val="center"/>
                </w:tcPr>
                <w:p w14:paraId="509BDBC0">
                  <w:pPr>
                    <w:jc w:val="center"/>
                    <w:rPr>
                      <w:rFonts w:hint="default" w:ascii="Times New Roman" w:hAnsi="Times New Roman" w:cs="Times New Roman"/>
                      <w:color w:val="auto"/>
                      <w:szCs w:val="21"/>
                      <w:highlight w:val="none"/>
                    </w:rPr>
                  </w:pPr>
                </w:p>
              </w:tc>
              <w:tc>
                <w:tcPr>
                  <w:tcW w:w="1136" w:type="pct"/>
                  <w:vMerge w:val="continue"/>
                  <w:noWrap w:val="0"/>
                  <w:vAlign w:val="center"/>
                </w:tcPr>
                <w:p w14:paraId="426F7C0F">
                  <w:pPr>
                    <w:jc w:val="center"/>
                    <w:rPr>
                      <w:rFonts w:hint="default" w:ascii="Times New Roman" w:hAnsi="Times New Roman" w:cs="Times New Roman"/>
                      <w:color w:val="auto"/>
                      <w:szCs w:val="21"/>
                      <w:highlight w:val="none"/>
                    </w:rPr>
                  </w:pPr>
                </w:p>
              </w:tc>
              <w:tc>
                <w:tcPr>
                  <w:tcW w:w="618" w:type="pct"/>
                  <w:noWrap w:val="0"/>
                  <w:vAlign w:val="center"/>
                </w:tcPr>
                <w:p w14:paraId="726489D4">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551" w:type="pct"/>
                  <w:noWrap w:val="0"/>
                  <w:vAlign w:val="center"/>
                </w:tcPr>
                <w:p w14:paraId="65C460E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0.0022</w:t>
                  </w:r>
                </w:p>
              </w:tc>
            </w:tr>
            <w:tr w14:paraId="77288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8"/>
                  <w:noWrap w:val="0"/>
                  <w:vAlign w:val="center"/>
                </w:tcPr>
                <w:p w14:paraId="3500F13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无组织排放总计</w:t>
                  </w:r>
                </w:p>
              </w:tc>
            </w:tr>
            <w:tr w14:paraId="0FCD7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17" w:type="pct"/>
                  <w:gridSpan w:val="4"/>
                  <w:vMerge w:val="restart"/>
                  <w:noWrap w:val="0"/>
                  <w:vAlign w:val="center"/>
                </w:tcPr>
                <w:p w14:paraId="40CAFAD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无组织排放总计</w:t>
                  </w:r>
                </w:p>
              </w:tc>
              <w:tc>
                <w:tcPr>
                  <w:tcW w:w="1812" w:type="pct"/>
                  <w:gridSpan w:val="2"/>
                  <w:noWrap w:val="0"/>
                  <w:vAlign w:val="center"/>
                </w:tcPr>
                <w:p w14:paraId="1685943E">
                  <w:pPr>
                    <w:jc w:val="center"/>
                    <w:rPr>
                      <w:rFonts w:hint="default" w:ascii="Times New Roman" w:hAnsi="Times New Roman" w:eastAsia="宋体" w:cs="Times New Roman"/>
                      <w:b/>
                      <w:bCs/>
                      <w:color w:val="auto"/>
                      <w:szCs w:val="21"/>
                      <w:highlight w:val="none"/>
                      <w:lang w:val="en-US" w:eastAsia="zh-CN"/>
                    </w:rPr>
                  </w:pPr>
                  <w:r>
                    <w:rPr>
                      <w:rFonts w:hint="eastAsia" w:cs="Times New Roman"/>
                      <w:color w:val="auto"/>
                      <w:sz w:val="21"/>
                      <w:szCs w:val="21"/>
                      <w:highlight w:val="none"/>
                      <w:lang w:val="en-US" w:eastAsia="zh-CN"/>
                    </w:rPr>
                    <w:t>颗粒物</w:t>
                  </w:r>
                </w:p>
              </w:tc>
              <w:tc>
                <w:tcPr>
                  <w:tcW w:w="1170" w:type="pct"/>
                  <w:gridSpan w:val="2"/>
                  <w:noWrap w:val="0"/>
                  <w:vAlign w:val="center"/>
                </w:tcPr>
                <w:p w14:paraId="08D556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0.162</w:t>
                  </w:r>
                </w:p>
              </w:tc>
            </w:tr>
            <w:tr w14:paraId="222D2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17" w:type="pct"/>
                  <w:gridSpan w:val="4"/>
                  <w:vMerge w:val="continue"/>
                  <w:noWrap w:val="0"/>
                  <w:vAlign w:val="center"/>
                </w:tcPr>
                <w:p w14:paraId="35AC6E65">
                  <w:pPr>
                    <w:jc w:val="center"/>
                    <w:rPr>
                      <w:rFonts w:hint="default" w:ascii="Times New Roman" w:hAnsi="Times New Roman" w:cs="Times New Roman"/>
                      <w:color w:val="auto"/>
                      <w:szCs w:val="21"/>
                      <w:highlight w:val="none"/>
                    </w:rPr>
                  </w:pPr>
                </w:p>
              </w:tc>
              <w:tc>
                <w:tcPr>
                  <w:tcW w:w="1812" w:type="pct"/>
                  <w:gridSpan w:val="2"/>
                  <w:noWrap w:val="0"/>
                  <w:vAlign w:val="center"/>
                </w:tcPr>
                <w:p w14:paraId="2ACF930D">
                  <w:pPr>
                    <w:jc w:val="center"/>
                    <w:rPr>
                      <w:rFonts w:hint="default"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VOCs</w:t>
                  </w:r>
                </w:p>
              </w:tc>
              <w:tc>
                <w:tcPr>
                  <w:tcW w:w="1170" w:type="pct"/>
                  <w:gridSpan w:val="2"/>
                  <w:noWrap w:val="0"/>
                  <w:vAlign w:val="center"/>
                </w:tcPr>
                <w:p w14:paraId="646F6B9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0.0022</w:t>
                  </w:r>
                </w:p>
              </w:tc>
            </w:tr>
          </w:tbl>
          <w:p w14:paraId="23D88DFC">
            <w:pPr>
              <w:spacing w:line="30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8</w:t>
            </w:r>
            <w:r>
              <w:rPr>
                <w:rFonts w:hint="default" w:ascii="Times New Roman" w:hAnsi="Times New Roman" w:cs="Times New Roman"/>
                <w:b/>
                <w:bCs/>
                <w:color w:val="auto"/>
                <w:szCs w:val="21"/>
                <w:highlight w:val="none"/>
              </w:rPr>
              <w:t xml:space="preserve">  大气污染物年排放量核算表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1"/>
              <w:gridCol w:w="2761"/>
              <w:gridCol w:w="2760"/>
            </w:tblGrid>
            <w:tr w14:paraId="5B893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66" w:type="pct"/>
                  <w:noWrap w:val="0"/>
                  <w:vAlign w:val="center"/>
                </w:tcPr>
                <w:p w14:paraId="590F5726">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666" w:type="pct"/>
                  <w:noWrap w:val="0"/>
                  <w:vAlign w:val="center"/>
                </w:tcPr>
                <w:p w14:paraId="65CFBBB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1666" w:type="pct"/>
                  <w:noWrap w:val="0"/>
                  <w:vAlign w:val="center"/>
                </w:tcPr>
                <w:p w14:paraId="5C79606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年排放量/（t/a）</w:t>
                  </w:r>
                </w:p>
              </w:tc>
            </w:tr>
            <w:tr w14:paraId="3867D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66" w:type="pct"/>
                  <w:noWrap w:val="0"/>
                  <w:vAlign w:val="center"/>
                </w:tcPr>
                <w:p w14:paraId="47B3D58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666" w:type="pct"/>
                  <w:noWrap w:val="0"/>
                  <w:vAlign w:val="center"/>
                </w:tcPr>
                <w:p w14:paraId="000C68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颗粒物</w:t>
                  </w:r>
                </w:p>
              </w:tc>
              <w:tc>
                <w:tcPr>
                  <w:tcW w:w="1666" w:type="pct"/>
                  <w:noWrap w:val="0"/>
                  <w:vAlign w:val="center"/>
                </w:tcPr>
                <w:p w14:paraId="672BDF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0.1906</w:t>
                  </w:r>
                </w:p>
              </w:tc>
            </w:tr>
            <w:tr w14:paraId="342B9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66" w:type="pct"/>
                  <w:noWrap w:val="0"/>
                  <w:vAlign w:val="center"/>
                </w:tcPr>
                <w:p w14:paraId="505FEDF0">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1666" w:type="pct"/>
                  <w:noWrap w:val="0"/>
                  <w:vAlign w:val="center"/>
                </w:tcPr>
                <w:p w14:paraId="5473201C">
                  <w:pPr>
                    <w:keepNext w:val="0"/>
                    <w:keepLines w:val="0"/>
                    <w:widowControl/>
                    <w:suppressLineNumbers w:val="0"/>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SO</w:t>
                  </w:r>
                  <w:r>
                    <w:rPr>
                      <w:rFonts w:hint="default" w:ascii="Times New Roman" w:hAnsi="Times New Roman" w:cs="Times New Roman"/>
                      <w:i w:val="0"/>
                      <w:iCs w:val="0"/>
                      <w:color w:val="auto"/>
                      <w:kern w:val="0"/>
                      <w:sz w:val="21"/>
                      <w:szCs w:val="21"/>
                      <w:highlight w:val="none"/>
                      <w:u w:val="none"/>
                      <w:vertAlign w:val="subscript"/>
                      <w:lang w:val="en-US" w:eastAsia="zh-CN" w:bidi="ar"/>
                    </w:rPr>
                    <w:t>2</w:t>
                  </w:r>
                </w:p>
              </w:tc>
              <w:tc>
                <w:tcPr>
                  <w:tcW w:w="1666" w:type="pct"/>
                  <w:noWrap w:val="0"/>
                  <w:vAlign w:val="center"/>
                </w:tcPr>
                <w:p w14:paraId="4A4FCB6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w:t>
                  </w:r>
                </w:p>
              </w:tc>
            </w:tr>
            <w:tr w14:paraId="16D74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0" w:type="auto"/>
                </w:tcPr>
                <w:p w14:paraId="4F759BA5">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0" w:type="auto"/>
                  <w:vAlign w:val="center"/>
                </w:tcPr>
                <w:p w14:paraId="091433C1">
                  <w:pPr>
                    <w:keepNext w:val="0"/>
                    <w:keepLines w:val="0"/>
                    <w:widowControl/>
                    <w:suppressLineNumbers w:val="0"/>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NOx</w:t>
                  </w:r>
                </w:p>
              </w:tc>
              <w:tc>
                <w:tcPr>
                  <w:tcW w:w="0" w:type="auto"/>
                  <w:vAlign w:val="center"/>
                </w:tcPr>
                <w:p w14:paraId="0A2C774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0.0935</w:t>
                  </w:r>
                </w:p>
              </w:tc>
            </w:tr>
            <w:tr w14:paraId="4671F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0" w:type="auto"/>
                </w:tcPr>
                <w:p w14:paraId="454AC71D">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0" w:type="auto"/>
                  <w:vAlign w:val="center"/>
                </w:tcPr>
                <w:p w14:paraId="279A2107">
                  <w:pPr>
                    <w:keepNext w:val="0"/>
                    <w:keepLines w:val="0"/>
                    <w:widowControl/>
                    <w:suppressLineNumbers w:val="0"/>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VOCs</w:t>
                  </w:r>
                </w:p>
              </w:tc>
              <w:tc>
                <w:tcPr>
                  <w:tcW w:w="0" w:type="auto"/>
                  <w:vAlign w:val="center"/>
                </w:tcPr>
                <w:p w14:paraId="55F42A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63</w:t>
                  </w:r>
                </w:p>
              </w:tc>
            </w:tr>
          </w:tbl>
          <w:p w14:paraId="4027839F">
            <w:pPr>
              <w:spacing w:before="120" w:beforeLines="50" w:line="360" w:lineRule="auto"/>
              <w:ind w:firstLine="422" w:firstLineChars="20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1.2 废气污染防治措施可行性分析</w:t>
            </w:r>
          </w:p>
          <w:p w14:paraId="6EA1CA4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（1）废气收集及处理方式</w:t>
            </w:r>
          </w:p>
          <w:p w14:paraId="731FE3FF">
            <w:pPr>
              <w:spacing w:line="360" w:lineRule="auto"/>
              <w:jc w:val="center"/>
              <w:rPr>
                <w:rFonts w:hint="eastAsia" w:ascii="Times New Roman" w:hAnsi="Times New Roman" w:eastAsia="宋体" w:cs="Times New Roman"/>
                <w:b/>
                <w:bCs/>
                <w:color w:val="FF0000"/>
                <w:szCs w:val="21"/>
                <w:highlight w:val="none"/>
                <w:lang w:eastAsia="zh-CN"/>
              </w:rPr>
            </w:pPr>
            <w:r>
              <w:rPr>
                <w:rFonts w:hint="eastAsia" w:ascii="Times New Roman" w:hAnsi="Times New Roman" w:eastAsia="宋体" w:cs="Times New Roman"/>
                <w:b/>
                <w:bCs/>
                <w:color w:val="FF0000"/>
                <w:szCs w:val="21"/>
                <w:highlight w:val="none"/>
                <w:lang w:eastAsia="zh-CN"/>
              </w:rPr>
              <w:drawing>
                <wp:inline distT="0" distB="0" distL="114300" distR="114300">
                  <wp:extent cx="5253990" cy="1431290"/>
                  <wp:effectExtent l="0" t="0" r="3810" b="16510"/>
                  <wp:docPr id="9" name="图片 9" descr="工艺流程-废气处理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艺流程-废气处理工艺"/>
                          <pic:cNvPicPr>
                            <a:picLocks noChangeAspect="1"/>
                          </pic:cNvPicPr>
                        </pic:nvPicPr>
                        <pic:blipFill>
                          <a:blip r:embed="rId16"/>
                          <a:stretch>
                            <a:fillRect/>
                          </a:stretch>
                        </pic:blipFill>
                        <pic:spPr>
                          <a:xfrm>
                            <a:off x="0" y="0"/>
                            <a:ext cx="5253990" cy="1431290"/>
                          </a:xfrm>
                          <a:prstGeom prst="rect">
                            <a:avLst/>
                          </a:prstGeom>
                        </pic:spPr>
                      </pic:pic>
                    </a:graphicData>
                  </a:graphic>
                </wp:inline>
              </w:drawing>
            </w:r>
          </w:p>
          <w:p w14:paraId="19285C2E">
            <w:pPr>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图4-1 本项目废气收集及处置示意图</w:t>
            </w:r>
          </w:p>
          <w:p w14:paraId="660DDCAB">
            <w:pPr>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（2）排气筒设置的合理性分析</w:t>
            </w:r>
          </w:p>
          <w:p w14:paraId="14BB65E5">
            <w:pPr>
              <w:pStyle w:val="10"/>
              <w:spacing w:before="0" w:after="0" w:line="360" w:lineRule="auto"/>
              <w:ind w:right="0" w:firstLine="420" w:firstLineChars="200"/>
              <w:rPr>
                <w:rFonts w:hint="default" w:ascii="Times New Roman" w:hAnsi="Times New Roman" w:cs="Times New Roman"/>
                <w:color w:val="auto"/>
                <w:sz w:val="21"/>
                <w:szCs w:val="22"/>
                <w:highlight w:val="none"/>
                <w:lang w:val="en-US" w:eastAsia="zh-CN"/>
              </w:rPr>
            </w:pPr>
            <w:r>
              <w:rPr>
                <w:rFonts w:hint="default" w:ascii="Times New Roman" w:hAnsi="Times New Roman" w:cs="Times New Roman"/>
                <w:color w:val="auto"/>
                <w:sz w:val="21"/>
                <w:szCs w:val="22"/>
                <w:highlight w:val="none"/>
                <w:lang w:val="en-US" w:eastAsia="zh-CN"/>
              </w:rPr>
              <w:t>排气筒高度分析：根据</w:t>
            </w:r>
            <w:r>
              <w:rPr>
                <w:rFonts w:hint="default" w:ascii="Times New Roman" w:hAnsi="Times New Roman" w:eastAsia="宋体" w:cs="Times New Roman"/>
                <w:color w:val="auto"/>
                <w:sz w:val="21"/>
                <w:szCs w:val="16"/>
                <w:highlight w:val="none"/>
                <w:lang w:val="en-US" w:eastAsia="zh-CN"/>
              </w:rPr>
              <w:t>《工业炉窑大气污染物排放标准》</w:t>
            </w:r>
            <w:r>
              <w:rPr>
                <w:rFonts w:hint="default" w:ascii="Times New Roman" w:hAnsi="Times New Roman" w:eastAsia="宋体" w:cs="Times New Roman"/>
                <w:color w:val="auto"/>
                <w:sz w:val="21"/>
                <w:szCs w:val="16"/>
                <w:highlight w:val="none"/>
              </w:rPr>
              <w:t>（DB32/</w:t>
            </w:r>
            <w:r>
              <w:rPr>
                <w:rFonts w:hint="default" w:ascii="Times New Roman" w:hAnsi="Times New Roman" w:eastAsia="宋体" w:cs="Times New Roman"/>
                <w:color w:val="auto"/>
                <w:sz w:val="21"/>
                <w:szCs w:val="16"/>
                <w:highlight w:val="none"/>
                <w:lang w:val="en-US" w:eastAsia="zh-CN"/>
              </w:rPr>
              <w:t>3728</w:t>
            </w:r>
            <w:r>
              <w:rPr>
                <w:rFonts w:hint="default" w:ascii="Times New Roman" w:hAnsi="Times New Roman" w:eastAsia="宋体" w:cs="Times New Roman"/>
                <w:color w:val="auto"/>
                <w:sz w:val="21"/>
                <w:szCs w:val="16"/>
                <w:highlight w:val="none"/>
              </w:rPr>
              <w:t>-20</w:t>
            </w:r>
            <w:r>
              <w:rPr>
                <w:rFonts w:hint="default" w:ascii="Times New Roman" w:hAnsi="Times New Roman" w:eastAsia="宋体" w:cs="Times New Roman"/>
                <w:color w:val="auto"/>
                <w:sz w:val="21"/>
                <w:szCs w:val="16"/>
                <w:highlight w:val="none"/>
                <w:lang w:val="en-US" w:eastAsia="zh-CN"/>
              </w:rPr>
              <w:t>20</w:t>
            </w:r>
            <w:r>
              <w:rPr>
                <w:rFonts w:hint="default" w:ascii="Times New Roman" w:hAnsi="Times New Roman" w:eastAsia="宋体" w:cs="Times New Roman"/>
                <w:color w:val="auto"/>
                <w:sz w:val="21"/>
                <w:szCs w:val="16"/>
                <w:highlight w:val="none"/>
              </w:rPr>
              <w:t>）</w:t>
            </w:r>
            <w:r>
              <w:rPr>
                <w:rFonts w:hint="eastAsia" w:cs="Times New Roman"/>
                <w:color w:val="auto"/>
                <w:sz w:val="21"/>
                <w:szCs w:val="16"/>
                <w:highlight w:val="none"/>
                <w:lang w:eastAsia="zh-CN"/>
              </w:rPr>
              <w:t>“</w:t>
            </w:r>
            <w:r>
              <w:rPr>
                <w:rFonts w:hint="eastAsia" w:cs="Times New Roman"/>
                <w:color w:val="auto"/>
                <w:sz w:val="21"/>
                <w:szCs w:val="16"/>
                <w:highlight w:val="none"/>
                <w:lang w:val="en-US" w:eastAsia="zh-CN"/>
              </w:rPr>
              <w:t>4.3.1工业炉窑排气简高度应不低于15m；4.3.2当排气筒周围半径200m距离内有建筑物时，除应执行4.3.1规定外，排气简还应高出最高建筑物3m以上；4.3.3如果排气筒高度达不到4.3.1、4.3.2的任何一项规定时，其大气污染物最高允许排放浓度应按排放标准值的50%执行。</w:t>
            </w:r>
            <w:r>
              <w:rPr>
                <w:rFonts w:hint="eastAsia" w:cs="Times New Roman"/>
                <w:color w:val="auto"/>
                <w:sz w:val="21"/>
                <w:szCs w:val="16"/>
                <w:highlight w:val="none"/>
                <w:lang w:eastAsia="zh-CN"/>
              </w:rPr>
              <w:t>”</w:t>
            </w:r>
            <w:r>
              <w:rPr>
                <w:rFonts w:hint="default" w:ascii="Times New Roman" w:hAnsi="Times New Roman" w:cs="Times New Roman"/>
                <w:color w:val="auto"/>
                <w:sz w:val="21"/>
                <w:szCs w:val="22"/>
                <w:highlight w:val="none"/>
                <w:lang w:val="en-US" w:eastAsia="zh-CN"/>
              </w:rPr>
              <w:t>本项目的排气筒高度为</w:t>
            </w:r>
            <w:r>
              <w:rPr>
                <w:rFonts w:hint="eastAsia" w:cs="Times New Roman"/>
                <w:color w:val="auto"/>
                <w:sz w:val="21"/>
                <w:szCs w:val="22"/>
                <w:highlight w:val="none"/>
                <w:lang w:val="en-US" w:eastAsia="zh-CN"/>
              </w:rPr>
              <w:t>15</w:t>
            </w:r>
            <w:r>
              <w:rPr>
                <w:rFonts w:hint="default" w:ascii="Times New Roman" w:hAnsi="Times New Roman" w:cs="Times New Roman"/>
                <w:color w:val="auto"/>
                <w:sz w:val="21"/>
                <w:szCs w:val="22"/>
                <w:highlight w:val="none"/>
                <w:lang w:val="en-US" w:eastAsia="zh-CN"/>
              </w:rPr>
              <w:t>m</w:t>
            </w:r>
            <w:r>
              <w:rPr>
                <w:rFonts w:hint="eastAsia" w:cs="Times New Roman"/>
                <w:color w:val="auto"/>
                <w:sz w:val="21"/>
                <w:szCs w:val="22"/>
                <w:highlight w:val="none"/>
                <w:lang w:val="en-US" w:eastAsia="zh-CN"/>
              </w:rPr>
              <w:t>，</w:t>
            </w:r>
            <w:r>
              <w:rPr>
                <w:rFonts w:hint="default" w:ascii="Times New Roman" w:hAnsi="Times New Roman" w:cs="Times New Roman"/>
                <w:color w:val="auto"/>
                <w:sz w:val="21"/>
                <w:szCs w:val="22"/>
                <w:highlight w:val="none"/>
                <w:lang w:val="en-US" w:eastAsia="zh-CN"/>
              </w:rPr>
              <w:t>本项目排气筒周边200m范围内</w:t>
            </w:r>
            <w:r>
              <w:rPr>
                <w:rFonts w:hint="eastAsia" w:cs="Times New Roman"/>
                <w:color w:val="auto"/>
                <w:sz w:val="21"/>
                <w:szCs w:val="22"/>
                <w:highlight w:val="none"/>
                <w:lang w:val="en-US" w:eastAsia="zh-CN"/>
              </w:rPr>
              <w:t>最高建筑物为18m</w:t>
            </w:r>
            <w:r>
              <w:rPr>
                <w:rFonts w:hint="default" w:ascii="Times New Roman" w:hAnsi="Times New Roman" w:cs="Times New Roman"/>
                <w:color w:val="auto"/>
                <w:sz w:val="21"/>
                <w:szCs w:val="22"/>
                <w:highlight w:val="none"/>
                <w:lang w:val="en-US" w:eastAsia="zh-CN"/>
              </w:rPr>
              <w:t>，</w:t>
            </w:r>
            <w:r>
              <w:rPr>
                <w:rFonts w:hint="eastAsia" w:cs="Times New Roman"/>
                <w:color w:val="auto"/>
                <w:sz w:val="21"/>
                <w:szCs w:val="21"/>
                <w:highlight w:val="none"/>
                <w:lang w:val="en-US" w:eastAsia="zh-CN"/>
              </w:rPr>
              <w:t>未满</w:t>
            </w:r>
            <w:r>
              <w:rPr>
                <w:rFonts w:hint="default" w:ascii="Times New Roman" w:hAnsi="Times New Roman" w:cs="Times New Roman"/>
                <w:color w:val="auto"/>
                <w:sz w:val="21"/>
                <w:szCs w:val="21"/>
                <w:highlight w:val="none"/>
                <w:lang w:val="en-US" w:eastAsia="zh-CN"/>
              </w:rPr>
              <w:t>足</w:t>
            </w:r>
            <w:r>
              <w:rPr>
                <w:rFonts w:hint="default" w:ascii="Times New Roman" w:hAnsi="Times New Roman" w:cs="Times New Roman"/>
                <w:color w:val="auto"/>
                <w:sz w:val="21"/>
                <w:szCs w:val="22"/>
                <w:highlight w:val="none"/>
                <w:lang w:val="en-US" w:eastAsia="zh-CN"/>
              </w:rPr>
              <w:t>高出周围200m半径范围的建筑</w:t>
            </w:r>
            <w:r>
              <w:rPr>
                <w:rFonts w:hint="eastAsia" w:cs="Times New Roman"/>
                <w:color w:val="auto"/>
                <w:sz w:val="21"/>
                <w:szCs w:val="22"/>
                <w:highlight w:val="none"/>
                <w:lang w:val="en-US" w:eastAsia="zh-CN"/>
              </w:rPr>
              <w:t>3</w:t>
            </w:r>
            <w:r>
              <w:rPr>
                <w:rFonts w:hint="default" w:ascii="Times New Roman" w:hAnsi="Times New Roman" w:cs="Times New Roman"/>
                <w:color w:val="auto"/>
                <w:sz w:val="21"/>
                <w:szCs w:val="22"/>
                <w:highlight w:val="none"/>
                <w:lang w:val="en-US" w:eastAsia="zh-CN"/>
              </w:rPr>
              <w:t>m以上</w:t>
            </w:r>
            <w:r>
              <w:rPr>
                <w:rFonts w:hint="eastAsia" w:cs="Times New Roman"/>
                <w:color w:val="auto"/>
                <w:sz w:val="21"/>
                <w:szCs w:val="22"/>
                <w:highlight w:val="none"/>
                <w:lang w:val="en-US" w:eastAsia="zh-CN"/>
              </w:rPr>
              <w:t>要求，故颗粒物、SO</w:t>
            </w:r>
            <w:r>
              <w:rPr>
                <w:rFonts w:hint="eastAsia" w:cs="Times New Roman"/>
                <w:color w:val="auto"/>
                <w:sz w:val="21"/>
                <w:szCs w:val="22"/>
                <w:highlight w:val="none"/>
                <w:vertAlign w:val="subscript"/>
                <w:lang w:val="en-US" w:eastAsia="zh-CN"/>
              </w:rPr>
              <w:t>2</w:t>
            </w:r>
            <w:r>
              <w:rPr>
                <w:rFonts w:hint="eastAsia" w:cs="Times New Roman"/>
                <w:color w:val="auto"/>
                <w:sz w:val="21"/>
                <w:szCs w:val="22"/>
                <w:highlight w:val="none"/>
                <w:lang w:val="en-US" w:eastAsia="zh-CN"/>
              </w:rPr>
              <w:t>、NOx</w:t>
            </w:r>
            <w:r>
              <w:rPr>
                <w:rFonts w:hint="eastAsia" w:cs="Times New Roman"/>
                <w:color w:val="auto"/>
                <w:sz w:val="21"/>
                <w:szCs w:val="16"/>
                <w:highlight w:val="none"/>
                <w:lang w:val="en-US" w:eastAsia="zh-CN"/>
              </w:rPr>
              <w:t>最高允许排放</w:t>
            </w:r>
            <w:r>
              <w:rPr>
                <w:rFonts w:hint="eastAsia" w:cs="Times New Roman"/>
                <w:color w:val="auto"/>
                <w:sz w:val="21"/>
                <w:szCs w:val="22"/>
                <w:highlight w:val="none"/>
                <w:lang w:val="en-US" w:eastAsia="zh-CN"/>
              </w:rPr>
              <w:t>浓度按</w:t>
            </w:r>
            <w:r>
              <w:rPr>
                <w:rFonts w:hint="eastAsia" w:cs="Times New Roman"/>
                <w:color w:val="auto"/>
                <w:sz w:val="21"/>
                <w:szCs w:val="16"/>
                <w:highlight w:val="none"/>
                <w:lang w:val="en-US" w:eastAsia="zh-CN"/>
              </w:rPr>
              <w:t>排放标准值的50%执行即表3-6括号内标准值执行</w:t>
            </w:r>
            <w:r>
              <w:rPr>
                <w:rFonts w:hint="default" w:ascii="Times New Roman" w:hAnsi="Times New Roman" w:cs="Times New Roman"/>
                <w:color w:val="auto"/>
                <w:sz w:val="21"/>
                <w:szCs w:val="22"/>
                <w:highlight w:val="none"/>
                <w:lang w:val="en-US" w:eastAsia="zh-CN"/>
              </w:rPr>
              <w:t>。</w:t>
            </w:r>
          </w:p>
          <w:p w14:paraId="69DE11F0">
            <w:pPr>
              <w:pStyle w:val="10"/>
              <w:spacing w:before="0" w:after="0" w:line="360" w:lineRule="auto"/>
              <w:ind w:right="0" w:firstLine="420" w:firstLineChars="200"/>
              <w:rPr>
                <w:rFonts w:hint="default" w:ascii="Times New Roman" w:hAnsi="Times New Roman" w:cs="Times New Roman"/>
                <w:color w:val="auto"/>
                <w:sz w:val="21"/>
                <w:szCs w:val="22"/>
                <w:highlight w:val="none"/>
                <w:lang w:val="en-US" w:eastAsia="zh-CN"/>
              </w:rPr>
            </w:pPr>
            <w:r>
              <w:rPr>
                <w:rFonts w:hint="default" w:ascii="Times New Roman" w:hAnsi="Times New Roman" w:cs="Times New Roman"/>
                <w:color w:val="auto"/>
                <w:sz w:val="21"/>
                <w:szCs w:val="22"/>
                <w:highlight w:val="none"/>
                <w:lang w:val="en-US" w:eastAsia="zh-CN"/>
              </w:rPr>
              <w:t>排气筒内径分析：根据《大气污染治理工程技术导则》HJ2000-2010之5.3污染气体的排放之5.3.5“排气筒的出口直径应根据出口流速确定，流速宜取15m/s左右。本项目排气筒</w:t>
            </w:r>
            <w:r>
              <w:rPr>
                <w:rFonts w:hint="eastAsia" w:cs="Times New Roman"/>
                <w:color w:val="auto"/>
                <w:sz w:val="21"/>
                <w:szCs w:val="22"/>
                <w:highlight w:val="none"/>
                <w:lang w:val="en-US" w:eastAsia="zh-CN"/>
              </w:rPr>
              <w:t>DA006</w:t>
            </w:r>
            <w:r>
              <w:rPr>
                <w:rFonts w:hint="default" w:ascii="Times New Roman" w:hAnsi="Times New Roman" w:cs="Times New Roman"/>
                <w:color w:val="auto"/>
                <w:sz w:val="21"/>
                <w:szCs w:val="22"/>
                <w:highlight w:val="none"/>
                <w:lang w:val="en-US" w:eastAsia="zh-CN"/>
              </w:rPr>
              <w:t>流速见表4-</w:t>
            </w:r>
            <w:r>
              <w:rPr>
                <w:rFonts w:hint="eastAsia" w:cs="Times New Roman"/>
                <w:color w:val="auto"/>
                <w:sz w:val="21"/>
                <w:szCs w:val="22"/>
                <w:highlight w:val="none"/>
                <w:lang w:val="en-US" w:eastAsia="zh-CN"/>
              </w:rPr>
              <w:t>4</w:t>
            </w:r>
            <w:r>
              <w:rPr>
                <w:rFonts w:hint="default" w:ascii="Times New Roman" w:hAnsi="Times New Roman" w:cs="Times New Roman"/>
                <w:color w:val="auto"/>
                <w:sz w:val="21"/>
                <w:szCs w:val="22"/>
                <w:highlight w:val="none"/>
                <w:lang w:val="en-US" w:eastAsia="zh-CN"/>
              </w:rPr>
              <w:t>，流速</w:t>
            </w:r>
            <w:r>
              <w:rPr>
                <w:rFonts w:hint="eastAsia" w:cs="Times New Roman"/>
                <w:color w:val="auto"/>
                <w:sz w:val="21"/>
                <w:szCs w:val="22"/>
                <w:highlight w:val="none"/>
                <w:lang w:val="en-US" w:eastAsia="zh-CN"/>
              </w:rPr>
              <w:t>18.29</w:t>
            </w:r>
            <w:r>
              <w:rPr>
                <w:rFonts w:hint="default" w:ascii="Times New Roman" w:hAnsi="Times New Roman" w:cs="Times New Roman"/>
                <w:color w:val="auto"/>
                <w:sz w:val="21"/>
                <w:szCs w:val="22"/>
                <w:highlight w:val="none"/>
                <w:lang w:val="en-US" w:eastAsia="zh-CN"/>
              </w:rPr>
              <w:t>m/s左右，可满足标准要求。</w:t>
            </w:r>
          </w:p>
          <w:p w14:paraId="4E1BBE65">
            <w:pPr>
              <w:snapToGrid w:val="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（3）收集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处理设施可行性分析</w:t>
            </w:r>
          </w:p>
          <w:p w14:paraId="08BD880D">
            <w:pPr>
              <w:spacing w:line="360" w:lineRule="auto"/>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highlight w:val="none"/>
                <w:lang w:val="en-US" w:eastAsia="zh-CN"/>
              </w:rPr>
              <w:t>A、收集措施可行性分析</w:t>
            </w:r>
          </w:p>
          <w:p w14:paraId="28361A94">
            <w:pPr>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粉末固化废气</w:t>
            </w:r>
            <w:r>
              <w:rPr>
                <w:rFonts w:hint="default" w:ascii="Times New Roman" w:hAnsi="Times New Roman" w:eastAsia="宋体" w:cs="Times New Roman"/>
                <w:color w:val="auto"/>
                <w:highlight w:val="none"/>
              </w:rPr>
              <w:t>采用密闭收集，</w:t>
            </w:r>
            <w:r>
              <w:rPr>
                <w:rFonts w:hint="eastAsia" w:ascii="Times New Roman" w:hAnsi="Times New Roman" w:eastAsia="宋体" w:cs="Times New Roman"/>
                <w:color w:val="auto"/>
                <w:highlight w:val="none"/>
                <w:lang w:val="en-US" w:eastAsia="zh-CN"/>
              </w:rPr>
              <w:t>项目设置烘干设备内部空间总体积为294m</w:t>
            </w:r>
            <w:r>
              <w:rPr>
                <w:rFonts w:hint="eastAsia"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为确保收集效率换气次数为每小时不低于30次，则烘干所需风量不低于8820m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/h，故风机风量设置10000m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/h可行。</w:t>
            </w:r>
            <w:r>
              <w:rPr>
                <w:rFonts w:hint="default" w:ascii="Times New Roman" w:hAnsi="Times New Roman" w:cs="Times New Roman"/>
                <w:color w:val="auto"/>
                <w:highlight w:val="none"/>
              </w:rPr>
              <w:t>参照《关于指导大气污染治理项目入库工作的通知》（粤环办﹝2021﹞92号）表4.5-1废气收集集气效率参考值</w:t>
            </w:r>
            <w:r>
              <w:rPr>
                <w:rFonts w:hint="default" w:ascii="Times New Roman" w:hAnsi="Times New Roman" w:cs="Times New Roman"/>
                <w:color w:val="auto"/>
                <w:szCs w:val="21"/>
                <w:highlight w:val="none"/>
              </w:rPr>
              <w:t>，单层密闭负压收集时，</w:t>
            </w:r>
            <w:r>
              <w:rPr>
                <w:rFonts w:hint="default" w:ascii="Times New Roman" w:hAnsi="Times New Roman" w:cs="Times New Roman"/>
                <w:color w:val="auto"/>
                <w:highlight w:val="none"/>
              </w:rPr>
              <w:t>废气收集效率可以达到95%，故本项目废气密闭负压收集效率95%措施可行。</w:t>
            </w:r>
          </w:p>
          <w:p w14:paraId="501BE5E8">
            <w:pPr>
              <w:snapToGrid w:val="0"/>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B、处理措施可行性分析</w:t>
            </w:r>
          </w:p>
          <w:p w14:paraId="724F494A">
            <w:pPr>
              <w:keepNext w:val="0"/>
              <w:keepLines w:val="0"/>
              <w:suppressLineNumbers w:val="0"/>
              <w:snapToGrid w:val="0"/>
              <w:spacing w:before="0" w:beforeAutospacing="0" w:after="0" w:afterAutospacing="0" w:line="360" w:lineRule="auto"/>
              <w:ind w:left="0" w:right="0" w:firstLine="420" w:firstLineChars="200"/>
              <w:rPr>
                <w:rFonts w:hint="eastAsia"/>
                <w:color w:val="auto"/>
                <w:szCs w:val="21"/>
                <w:highlight w:val="none"/>
                <w:lang w:val="en-US" w:eastAsia="zh-CN"/>
              </w:rPr>
            </w:pPr>
            <w:r>
              <w:rPr>
                <w:rFonts w:hint="eastAsia"/>
                <w:color w:val="auto"/>
                <w:szCs w:val="21"/>
                <w:highlight w:val="none"/>
                <w:lang w:val="en-US" w:eastAsia="zh-CN"/>
              </w:rPr>
              <w:t>①旋风除尘器+布袋除尘器</w:t>
            </w:r>
          </w:p>
          <w:p w14:paraId="290949B1">
            <w:pPr>
              <w:keepNext w:val="0"/>
              <w:keepLines w:val="0"/>
              <w:suppressLineNumbers w:val="0"/>
              <w:snapToGrid w:val="0"/>
              <w:spacing w:before="0" w:beforeAutospacing="0" w:after="0" w:afterAutospacing="0" w:line="360" w:lineRule="auto"/>
              <w:ind w:left="0" w:right="0" w:firstLine="420" w:firstLineChars="200"/>
              <w:rPr>
                <w:rFonts w:hint="eastAsia"/>
                <w:color w:val="auto"/>
                <w:szCs w:val="21"/>
                <w:highlight w:val="none"/>
                <w:lang w:val="en-US" w:eastAsia="zh-CN"/>
              </w:rPr>
            </w:pPr>
            <w:r>
              <w:rPr>
                <w:rFonts w:hint="eastAsia"/>
                <w:color w:val="auto"/>
                <w:szCs w:val="21"/>
                <w:highlight w:val="none"/>
                <w:lang w:val="en-US" w:eastAsia="zh-CN"/>
              </w:rPr>
              <w:t>旋风除尘器的工作是使含尘气流作高速旋转运动，助离心力的作用将颗粒物从气流中分离并收集下来的除尘装置。进入旋风除尘器的含尘气流沿简体内壁边旋转边下降，同时有少量气体沿径向运动到中心区域中，当旋转气流的大部分到达锥体底部附近时，则开始转为向上运动。中心区域边旋转边上升，最后由出口管排出，同时也存在着离心的径向运动。通常将旋转向下的外圈气流称为外旋涡，而把锥体底部的区域称为回流区或者混流区。旋风除尘器烟气中所含颗粒物在旋转运动过程中，在离心力的作用下逐步沉降到除尘器的内壁上，并在外旋涡的推动和重力作用下，大部分颗粒物逐渐沿锥体内壁降落到灰斗中。此外，进口气流中的少部分气流沿简体内壁旋转向上，到达上顶端盖后又继续沿出口管外壁旋转下降，最后到达出口管下端附近被上升的气流带走。通常把这部分气流称为上旋涡。随着上旋涡，将有少量细颗粒物被内旋涡向上带走。同样，在混流区内也有少部分细颗粒物被内旋涡向上带起，并被部分带走，带走的粉尘经配套的布袋除尘器装置进行回收。</w:t>
            </w:r>
          </w:p>
          <w:p w14:paraId="2FC488BB">
            <w:pPr>
              <w:keepNext w:val="0"/>
              <w:keepLines w:val="0"/>
              <w:suppressLineNumbers w:val="0"/>
              <w:snapToGrid w:val="0"/>
              <w:spacing w:before="0" w:beforeAutospacing="0" w:after="0" w:afterAutospacing="0" w:line="360" w:lineRule="auto"/>
              <w:ind w:left="0" w:right="0" w:firstLine="420" w:firstLineChars="200"/>
              <w:rPr>
                <w:rFonts w:hint="eastAsia"/>
                <w:color w:val="auto"/>
                <w:szCs w:val="21"/>
                <w:highlight w:val="none"/>
                <w:lang w:val="en-US" w:eastAsia="zh-CN"/>
              </w:rPr>
            </w:pPr>
            <w:r>
              <w:rPr>
                <w:rFonts w:hint="eastAsia"/>
                <w:color w:val="auto"/>
                <w:szCs w:val="21"/>
                <w:highlight w:val="none"/>
                <w:lang w:val="en-US" w:eastAsia="zh-CN"/>
              </w:rPr>
              <w:t>布袋除尘器装置的工作机理是含尘废气通过过滤材料，尘粒被过滤下来，过滤材料捕集粗粒颗粒物主要靠惯性碰撞作用，捕集细粒颗粒物主要靠扩散和筛分作用。滤料的颗粒物层也有一定的过滤作用。布袋除尘效果的优劣与多种因素有关，但主要取决于滤料。布袋除尘器的滤料就是合成纤维、天然纤维或玻璃纤维织成的布或毡。根据需要再把布或毡缝成圆筒或扁平形滤袋。根据烟气性质，选择出适合于应用条件的滤料。布袋除尘器运行中控制废气通过滤料的速度（称为过滤速度）颇为重要。一般取过滤速度为0.5-2m/min，对于大于0.1µm的微粒效率可达99.5%以上，设备阻力损失约为980-1470Pa。除此之外，袋式除尘器除了能高效的去除颗粒物外，还能有效捕集电除尘器很难捕集的对人体危害最大的5μm以下的超细颗粒，具有除尘效率高、运行稳定、不受颗粒物和烟气特征的影响，维护简单等优点。</w:t>
            </w:r>
          </w:p>
          <w:p w14:paraId="37179501">
            <w:pPr>
              <w:keepNext w:val="0"/>
              <w:keepLines w:val="0"/>
              <w:suppressLineNumbers w:val="0"/>
              <w:snapToGrid w:val="0"/>
              <w:spacing w:before="0" w:beforeAutospacing="0" w:after="0" w:afterAutospacing="0" w:line="360" w:lineRule="auto"/>
              <w:ind w:left="0" w:right="0" w:firstLine="420" w:firstLineChars="200"/>
              <w:rPr>
                <w:rFonts w:hint="eastAsia"/>
                <w:color w:val="auto"/>
                <w:szCs w:val="21"/>
                <w:highlight w:val="none"/>
                <w:lang w:val="en-US" w:eastAsia="zh-CN"/>
              </w:rPr>
            </w:pPr>
            <w:r>
              <w:rPr>
                <w:rFonts w:hint="eastAsia"/>
                <w:color w:val="auto"/>
                <w:szCs w:val="21"/>
                <w:highlight w:val="none"/>
                <w:lang w:val="en-US" w:eastAsia="zh-CN"/>
              </w:rPr>
              <w:t>根据《排放源统计调查产排污核算方法和系数手册》（公告2021年第24号）中“33-37，431-434机械行业系数手册”“14涂装工序产排污系数表—喷塑粉尘末端治理技术—单筒旋风的处理效率为60%”。</w:t>
            </w:r>
          </w:p>
          <w:p w14:paraId="73DEE985">
            <w:pPr>
              <w:keepNext w:val="0"/>
              <w:keepLines w:val="0"/>
              <w:suppressLineNumbers w:val="0"/>
              <w:snapToGrid w:val="0"/>
              <w:spacing w:before="0" w:beforeAutospacing="0" w:after="0" w:afterAutospacing="0" w:line="360" w:lineRule="auto"/>
              <w:ind w:left="0" w:right="0" w:firstLine="420" w:firstLineChars="200"/>
              <w:rPr>
                <w:rFonts w:hint="eastAsia"/>
                <w:color w:val="auto"/>
                <w:szCs w:val="21"/>
                <w:highlight w:val="none"/>
              </w:rPr>
            </w:pPr>
            <w:r>
              <w:rPr>
                <w:rFonts w:hint="eastAsia"/>
                <w:color w:val="auto"/>
                <w:szCs w:val="21"/>
                <w:highlight w:val="none"/>
                <w:lang w:val="en-US" w:eastAsia="zh-CN"/>
              </w:rPr>
              <w:t>根据《废气处理工程技术手册》（2013年版）“第五章颗粒污染物的控制技术与装置”中的“第四节过滤除尘器”中的“二、袋式除尘器”中“袋式除尘器特点：袋式除尘器对净化含微米或亚微米数量级的粉尘粒子的气体效率较高，一般可到99%，甚至可达99.99%，本项目旋风除尘器+布袋除尘装置颗粒物去除效率99%可行。本项目建成后，企业应及时更换布袋，以确保除尘装置能够满足处理要求。</w:t>
            </w:r>
          </w:p>
          <w:p w14:paraId="75540D35">
            <w:pPr>
              <w:keepNext w:val="0"/>
              <w:keepLines w:val="0"/>
              <w:suppressLineNumbers w:val="0"/>
              <w:snapToGrid w:val="0"/>
              <w:spacing w:before="0" w:beforeAutospacing="0" w:after="0" w:afterAutospacing="0" w:line="360" w:lineRule="auto"/>
              <w:ind w:left="0" w:right="0" w:firstLine="420" w:firstLineChars="200"/>
              <w:rPr>
                <w:rFonts w:hint="eastAsia" w:cs="Times New Roman"/>
                <w:color w:val="auto"/>
                <w:highlight w:val="none"/>
                <w:lang w:val="en-US" w:eastAsia="zh-CN"/>
              </w:rPr>
            </w:pPr>
            <w:r>
              <w:rPr>
                <w:rFonts w:hint="default" w:ascii="Times New Roman" w:hAnsi="Times New Roman" w:cs="Times New Roman"/>
                <w:color w:val="auto"/>
                <w:highlight w:val="none"/>
              </w:rPr>
              <w:t>②</w:t>
            </w:r>
            <w:r>
              <w:rPr>
                <w:rFonts w:hint="eastAsia" w:cs="Times New Roman"/>
                <w:color w:val="auto"/>
                <w:highlight w:val="none"/>
                <w:lang w:val="en-US" w:eastAsia="zh-CN"/>
              </w:rPr>
              <w:t>二级活性炭吸附装置</w:t>
            </w:r>
          </w:p>
          <w:p w14:paraId="141929C2">
            <w:pPr>
              <w:keepNext w:val="0"/>
              <w:keepLines w:val="0"/>
              <w:suppressLineNumbers w:val="0"/>
              <w:snapToGrid w:val="0"/>
              <w:spacing w:before="0" w:beforeAutospacing="0" w:after="0" w:afterAutospacing="0" w:line="360" w:lineRule="auto"/>
              <w:ind w:left="0" w:right="0"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活性炭是一种具有非极性表面、疏水性、亲有机物的吸附剂。所以活性炭常常被用来吸附回收空气中的有机溶剂和恶臭物质，它可以根据需要制成不同性状和粒度，如粉末活性炭、颗粒活性炭及柱状活性炭。活性炭是由各种含碳物质（如木材、泥煤、果核、椰壳等原料）在高温下炭化后，再用水蒸气或化学药品（如氯化锌、氯化锰、氯化钙和磷酸等）进行活化处理，然后制成的孔隙十分丰富的吸附剂，其孔径平均为（10~40）×10</w:t>
            </w:r>
            <w:r>
              <w:rPr>
                <w:rFonts w:hint="default" w:ascii="Times New Roman" w:hAnsi="Times New Roman" w:cs="Times New Roman"/>
                <w:color w:val="auto"/>
                <w:highlight w:val="none"/>
                <w:vertAlign w:val="superscript"/>
                <w:lang w:val="en-US" w:eastAsia="zh-CN"/>
              </w:rPr>
              <w:t>-8</w:t>
            </w:r>
            <w:r>
              <w:rPr>
                <w:rFonts w:hint="default" w:ascii="Times New Roman" w:hAnsi="Times New Roman" w:cs="Times New Roman"/>
                <w:color w:val="auto"/>
                <w:highlight w:val="none"/>
                <w:lang w:val="en-US" w:eastAsia="zh-CN"/>
              </w:rPr>
              <w:t>cm，比表面积一般在600~1500m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g范围内，具有优良的吸附能力。工业上应用活性炭还要求机械强度大、耐磨性能好，它的结构力求稳定，吸附所需能量小，以有利于再生。活性炭用于油脂、饮料、食品、饮用水的脱色、脱味，气体分离、溶剂回收和空气调节，用作催化剂载体和防毒面具的吸附剂。随着时间的延长，活性炭细孔中吸附质浓度的不断增大，吸附速度会不断减慢，直到活性炭达到饱和状态。此时，吸附速度和解吸速度达到动态平衡，气、固相之间的传递相等。</w:t>
            </w:r>
          </w:p>
          <w:p w14:paraId="1BFACCD9">
            <w:pPr>
              <w:keepNext w:val="0"/>
              <w:keepLines w:val="0"/>
              <w:suppressLineNumbers w:val="0"/>
              <w:snapToGrid w:val="0"/>
              <w:spacing w:before="0" w:beforeAutospacing="0" w:after="0" w:afterAutospacing="0" w:line="360" w:lineRule="auto"/>
              <w:ind w:left="0" w:right="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根据相关论文：活性炭吸附治理多组分有机废气的研究，谢裕坛，浙江大学硕士学位论文，2002.3，活性炭吸附是处理有机废气的成熟工艺，两级活性炭吸附处理设施在活性炭更换充分的情况下，处理效果良好，活性炭吸附处理装置对烃类物质废气的去除效率在90%以上。</w:t>
            </w:r>
            <w:r>
              <w:rPr>
                <w:rFonts w:hint="eastAsia" w:cs="Times New Roman"/>
                <w:color w:val="auto"/>
                <w:highlight w:val="none"/>
                <w:lang w:val="en-US" w:eastAsia="zh-CN"/>
              </w:rPr>
              <w:t>所以</w:t>
            </w:r>
            <w:r>
              <w:rPr>
                <w:rFonts w:hint="default" w:ascii="Times New Roman" w:hAnsi="Times New Roman" w:cs="Times New Roman"/>
                <w:color w:val="auto"/>
                <w:highlight w:val="none"/>
              </w:rPr>
              <w:t>本项目采用二级活性炭</w:t>
            </w:r>
            <w:r>
              <w:rPr>
                <w:rFonts w:hint="eastAsia" w:cs="Times New Roman"/>
                <w:color w:val="auto"/>
                <w:highlight w:val="none"/>
                <w:lang w:val="en-US" w:eastAsia="zh-CN"/>
              </w:rPr>
              <w:t>吸附</w:t>
            </w:r>
            <w:r>
              <w:rPr>
                <w:rFonts w:hint="default" w:ascii="Times New Roman" w:hAnsi="Times New Roman" w:cs="Times New Roman"/>
                <w:color w:val="auto"/>
                <w:highlight w:val="none"/>
              </w:rPr>
              <w:t>工艺处理处理</w:t>
            </w:r>
            <w:r>
              <w:rPr>
                <w:rFonts w:hint="eastAsia" w:cs="Times New Roman"/>
                <w:color w:val="auto"/>
                <w:highlight w:val="none"/>
                <w:lang w:val="en-US" w:eastAsia="zh-CN"/>
              </w:rPr>
              <w:t>固化废气可行</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rPr>
              <w:t>处理效率</w:t>
            </w:r>
            <w:r>
              <w:rPr>
                <w:rFonts w:hint="eastAsia" w:cs="Times New Roman"/>
                <w:color w:val="auto"/>
                <w:highlight w:val="none"/>
                <w:lang w:val="en-US" w:eastAsia="zh-CN"/>
              </w:rPr>
              <w:t>取值</w:t>
            </w:r>
            <w:r>
              <w:rPr>
                <w:rFonts w:hint="default" w:ascii="Times New Roman" w:hAnsi="Times New Roman" w:eastAsia="宋体" w:cs="Times New Roman"/>
                <w:color w:val="auto"/>
                <w:highlight w:val="none"/>
              </w:rPr>
              <w:t>90%</w:t>
            </w:r>
            <w:r>
              <w:rPr>
                <w:rFonts w:hint="eastAsia" w:cs="Times New Roman"/>
                <w:color w:val="auto"/>
                <w:highlight w:val="none"/>
                <w:lang w:val="en-US" w:eastAsia="zh-CN"/>
              </w:rPr>
              <w:t>是合理的</w:t>
            </w:r>
            <w:r>
              <w:rPr>
                <w:rFonts w:hint="default" w:ascii="Times New Roman" w:hAnsi="Times New Roman" w:cs="Times New Roman"/>
                <w:color w:val="auto"/>
                <w:highlight w:val="none"/>
              </w:rPr>
              <w:t>。</w:t>
            </w:r>
          </w:p>
          <w:p w14:paraId="70E7565E">
            <w:pPr>
              <w:keepNext w:val="0"/>
              <w:keepLines w:val="0"/>
              <w:suppressLineNumbers w:val="0"/>
              <w:snapToGrid w:val="0"/>
              <w:spacing w:before="0" w:beforeAutospacing="0" w:after="0" w:afterAutospacing="0" w:line="360" w:lineRule="auto"/>
              <w:ind w:left="0" w:right="0" w:firstLine="420" w:firstLineChars="200"/>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企业要按照《吸附法工业有机废气治理工程技术规范》（HJ 2026-2013）、《关于深入开展涉VOCs治理重点工作核查的通知》（苏环办〔2022〕218号）等文件中的相关要求，规范运行活性炭吸附装置，确保活性炭吸附装置的去除效率。</w:t>
            </w:r>
          </w:p>
          <w:p w14:paraId="75230D6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（4）无组织废气污染防治措施</w:t>
            </w:r>
          </w:p>
          <w:p w14:paraId="7ED6F3E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建设单位拟采取以下措施，以减少生产区的无组织废气排放量：</w:t>
            </w:r>
          </w:p>
          <w:p w14:paraId="74C6FAD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①能密闭负压收集的采用密闭负压收集</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同时要求规范化作业，防止生产过程中的跑、冒、漏。</w:t>
            </w:r>
          </w:p>
          <w:p w14:paraId="41D4224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②设排气扇等通风装置，加强车间内通风。</w:t>
            </w:r>
          </w:p>
          <w:p w14:paraId="213354E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③规范操作流程，加强环境管理，尽量降低无组织废气的产生量。</w:t>
            </w:r>
          </w:p>
          <w:p w14:paraId="1644FA85">
            <w:pPr>
              <w:spacing w:line="360" w:lineRule="auto"/>
              <w:ind w:firstLine="422" w:firstLineChars="200"/>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1.3</w:t>
            </w:r>
            <w:r>
              <w:rPr>
                <w:rFonts w:hint="eastAsia" w:cs="Times New Roman"/>
                <w:b/>
                <w:bCs/>
                <w:color w:val="auto"/>
                <w:szCs w:val="21"/>
                <w:highlight w:val="none"/>
                <w:lang w:val="en-US" w:eastAsia="zh-CN"/>
              </w:rPr>
              <w:t xml:space="preserve"> </w:t>
            </w:r>
            <w:r>
              <w:rPr>
                <w:rFonts w:hint="default" w:ascii="Times New Roman" w:hAnsi="Times New Roman" w:cs="Times New Roman"/>
                <w:b/>
                <w:bCs/>
                <w:color w:val="auto"/>
                <w:szCs w:val="21"/>
                <w:highlight w:val="none"/>
              </w:rPr>
              <w:t>废气污染物排放达标分析</w:t>
            </w:r>
          </w:p>
          <w:p w14:paraId="16AC2DD9">
            <w:pPr>
              <w:spacing w:line="30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本项目有组织排放达标分析情况见表4-</w:t>
            </w:r>
            <w:r>
              <w:rPr>
                <w:rFonts w:hint="eastAsia" w:cs="Times New Roman"/>
                <w:color w:val="auto"/>
                <w:szCs w:val="21"/>
                <w:highlight w:val="none"/>
                <w:lang w:val="en-US" w:eastAsia="zh-CN"/>
              </w:rPr>
              <w:t>9</w:t>
            </w:r>
            <w:r>
              <w:rPr>
                <w:rFonts w:hint="default" w:ascii="Times New Roman" w:hAnsi="Times New Roman" w:cs="Times New Roman"/>
                <w:color w:val="auto"/>
                <w:szCs w:val="21"/>
                <w:highlight w:val="none"/>
              </w:rPr>
              <w:t>。</w:t>
            </w:r>
          </w:p>
          <w:p w14:paraId="485F88A3">
            <w:pPr>
              <w:spacing w:line="30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9</w:t>
            </w:r>
            <w:r>
              <w:rPr>
                <w:rFonts w:hint="default" w:ascii="Times New Roman" w:hAnsi="Times New Roman" w:cs="Times New Roman"/>
                <w:b/>
                <w:bCs/>
                <w:color w:val="auto"/>
                <w:szCs w:val="21"/>
                <w:highlight w:val="none"/>
              </w:rPr>
              <w:t xml:space="preserve">  本项目有组织废气排放达标分析情况表</w:t>
            </w:r>
          </w:p>
          <w:tbl>
            <w:tblPr>
              <w:tblStyle w:val="30"/>
              <w:tblW w:w="50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4"/>
              <w:gridCol w:w="712"/>
              <w:gridCol w:w="720"/>
              <w:gridCol w:w="951"/>
              <w:gridCol w:w="780"/>
              <w:gridCol w:w="900"/>
              <w:gridCol w:w="795"/>
              <w:gridCol w:w="690"/>
              <w:gridCol w:w="450"/>
              <w:gridCol w:w="1715"/>
            </w:tblGrid>
            <w:tr w14:paraId="23913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2" w:type="pct"/>
                  <w:vMerge w:val="restart"/>
                  <w:noWrap w:val="0"/>
                  <w:tcMar>
                    <w:left w:w="0" w:type="dxa"/>
                    <w:right w:w="0" w:type="dxa"/>
                  </w:tcMar>
                  <w:vAlign w:val="center"/>
                </w:tcPr>
                <w:p w14:paraId="137E5883">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产物工段</w:t>
                  </w:r>
                </w:p>
              </w:tc>
              <w:tc>
                <w:tcPr>
                  <w:tcW w:w="423" w:type="pct"/>
                  <w:vMerge w:val="restart"/>
                  <w:noWrap w:val="0"/>
                  <w:tcMar>
                    <w:left w:w="0" w:type="dxa"/>
                    <w:right w:w="0" w:type="dxa"/>
                  </w:tcMar>
                  <w:vAlign w:val="center"/>
                </w:tcPr>
                <w:p w14:paraId="04DF3925">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排气筒编号</w:t>
                  </w:r>
                </w:p>
              </w:tc>
              <w:tc>
                <w:tcPr>
                  <w:tcW w:w="428" w:type="pct"/>
                  <w:vMerge w:val="restart"/>
                  <w:noWrap w:val="0"/>
                  <w:tcMar>
                    <w:left w:w="0" w:type="dxa"/>
                    <w:right w:w="0" w:type="dxa"/>
                  </w:tcMar>
                  <w:vAlign w:val="center"/>
                </w:tcPr>
                <w:p w14:paraId="7F50E594">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污染物名称</w:t>
                  </w:r>
                </w:p>
              </w:tc>
              <w:tc>
                <w:tcPr>
                  <w:tcW w:w="1029" w:type="pct"/>
                  <w:gridSpan w:val="2"/>
                  <w:noWrap w:val="0"/>
                  <w:vAlign w:val="center"/>
                </w:tcPr>
                <w:p w14:paraId="1320B0AB">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执行标准</w:t>
                  </w:r>
                </w:p>
              </w:tc>
              <w:tc>
                <w:tcPr>
                  <w:tcW w:w="1418" w:type="pct"/>
                  <w:gridSpan w:val="3"/>
                  <w:noWrap w:val="0"/>
                  <w:vAlign w:val="center"/>
                </w:tcPr>
                <w:p w14:paraId="4A95A7EE">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污染物排放</w:t>
                  </w:r>
                </w:p>
              </w:tc>
              <w:tc>
                <w:tcPr>
                  <w:tcW w:w="267" w:type="pct"/>
                  <w:vMerge w:val="restart"/>
                  <w:noWrap w:val="0"/>
                  <w:tcMar>
                    <w:left w:w="0" w:type="dxa"/>
                    <w:right w:w="0" w:type="dxa"/>
                  </w:tcMar>
                  <w:vAlign w:val="center"/>
                </w:tcPr>
                <w:p w14:paraId="11D081D0">
                  <w:pPr>
                    <w:jc w:val="center"/>
                    <w:rPr>
                      <w:rFonts w:hint="default" w:ascii="Times New Roman" w:hAnsi="Times New Roman" w:cs="Times New Roman"/>
                      <w:color w:val="auto"/>
                      <w:spacing w:val="-6"/>
                      <w:szCs w:val="21"/>
                      <w:highlight w:val="none"/>
                    </w:rPr>
                  </w:pPr>
                  <w:r>
                    <w:rPr>
                      <w:rFonts w:hint="default" w:ascii="Times New Roman" w:hAnsi="Times New Roman" w:cs="Times New Roman"/>
                      <w:b/>
                      <w:bCs/>
                      <w:color w:val="auto"/>
                      <w:spacing w:val="-6"/>
                      <w:szCs w:val="21"/>
                      <w:highlight w:val="none"/>
                    </w:rPr>
                    <w:t>达标判定</w:t>
                  </w:r>
                </w:p>
              </w:tc>
              <w:tc>
                <w:tcPr>
                  <w:tcW w:w="1019" w:type="pct"/>
                  <w:vMerge w:val="restart"/>
                  <w:noWrap w:val="0"/>
                  <w:vAlign w:val="center"/>
                </w:tcPr>
                <w:p w14:paraId="14CB0314">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标准来源</w:t>
                  </w:r>
                </w:p>
              </w:tc>
            </w:tr>
            <w:tr w14:paraId="043EE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2" w:type="pct"/>
                  <w:vMerge w:val="continue"/>
                  <w:noWrap w:val="0"/>
                  <w:vAlign w:val="center"/>
                </w:tcPr>
                <w:p w14:paraId="3505D646">
                  <w:pPr>
                    <w:jc w:val="center"/>
                    <w:rPr>
                      <w:rFonts w:hint="default" w:ascii="Times New Roman" w:hAnsi="Times New Roman" w:cs="Times New Roman"/>
                      <w:color w:val="auto"/>
                      <w:szCs w:val="21"/>
                      <w:highlight w:val="none"/>
                    </w:rPr>
                  </w:pPr>
                </w:p>
              </w:tc>
              <w:tc>
                <w:tcPr>
                  <w:tcW w:w="423" w:type="pct"/>
                  <w:vMerge w:val="continue"/>
                  <w:noWrap w:val="0"/>
                  <w:vAlign w:val="center"/>
                </w:tcPr>
                <w:p w14:paraId="558821DB">
                  <w:pPr>
                    <w:jc w:val="center"/>
                    <w:rPr>
                      <w:rFonts w:hint="default" w:ascii="Times New Roman" w:hAnsi="Times New Roman" w:cs="Times New Roman"/>
                      <w:color w:val="auto"/>
                      <w:szCs w:val="21"/>
                      <w:highlight w:val="none"/>
                    </w:rPr>
                  </w:pPr>
                </w:p>
              </w:tc>
              <w:tc>
                <w:tcPr>
                  <w:tcW w:w="428" w:type="pct"/>
                  <w:vMerge w:val="continue"/>
                  <w:noWrap w:val="0"/>
                  <w:vAlign w:val="center"/>
                </w:tcPr>
                <w:p w14:paraId="56DC04C2">
                  <w:pPr>
                    <w:jc w:val="center"/>
                    <w:rPr>
                      <w:rFonts w:hint="default" w:ascii="Times New Roman" w:hAnsi="Times New Roman" w:cs="Times New Roman"/>
                      <w:color w:val="auto"/>
                      <w:szCs w:val="21"/>
                      <w:highlight w:val="none"/>
                    </w:rPr>
                  </w:pPr>
                </w:p>
              </w:tc>
              <w:tc>
                <w:tcPr>
                  <w:tcW w:w="565" w:type="pct"/>
                  <w:noWrap w:val="0"/>
                  <w:tcMar>
                    <w:left w:w="0" w:type="dxa"/>
                    <w:right w:w="0" w:type="dxa"/>
                  </w:tcMar>
                  <w:vAlign w:val="center"/>
                </w:tcPr>
                <w:p w14:paraId="1BACE4FA">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浓度（mg/m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463" w:type="pct"/>
                  <w:noWrap w:val="0"/>
                  <w:tcMar>
                    <w:left w:w="0" w:type="dxa"/>
                    <w:right w:w="0" w:type="dxa"/>
                  </w:tcMar>
                  <w:vAlign w:val="center"/>
                </w:tcPr>
                <w:p w14:paraId="17D9B6C7">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速率（kg/h）</w:t>
                  </w:r>
                </w:p>
              </w:tc>
              <w:tc>
                <w:tcPr>
                  <w:tcW w:w="535" w:type="pct"/>
                  <w:noWrap w:val="0"/>
                  <w:tcMar>
                    <w:left w:w="0" w:type="dxa"/>
                    <w:right w:w="0" w:type="dxa"/>
                  </w:tcMar>
                  <w:vAlign w:val="center"/>
                </w:tcPr>
                <w:p w14:paraId="1538EFED">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浓度</w:t>
                  </w:r>
                  <w:r>
                    <w:rPr>
                      <w:rFonts w:hint="default" w:ascii="Times New Roman" w:hAnsi="Times New Roman" w:cs="Times New Roman"/>
                      <w:b/>
                      <w:bCs/>
                      <w:color w:val="auto"/>
                      <w:spacing w:val="-6"/>
                      <w:szCs w:val="21"/>
                      <w:highlight w:val="none"/>
                    </w:rPr>
                    <w:t>（mg/m</w:t>
                  </w:r>
                  <w:r>
                    <w:rPr>
                      <w:rFonts w:hint="default" w:ascii="Times New Roman" w:hAnsi="Times New Roman" w:cs="Times New Roman"/>
                      <w:b/>
                      <w:bCs/>
                      <w:color w:val="auto"/>
                      <w:spacing w:val="-6"/>
                      <w:szCs w:val="21"/>
                      <w:highlight w:val="none"/>
                      <w:vertAlign w:val="superscript"/>
                    </w:rPr>
                    <w:t>3</w:t>
                  </w:r>
                  <w:r>
                    <w:rPr>
                      <w:rFonts w:hint="default" w:ascii="Times New Roman" w:hAnsi="Times New Roman" w:cs="Times New Roman"/>
                      <w:b/>
                      <w:bCs/>
                      <w:color w:val="auto"/>
                      <w:spacing w:val="-6"/>
                      <w:szCs w:val="21"/>
                      <w:highlight w:val="none"/>
                    </w:rPr>
                    <w:t>）</w:t>
                  </w:r>
                </w:p>
              </w:tc>
              <w:tc>
                <w:tcPr>
                  <w:tcW w:w="472" w:type="pct"/>
                  <w:noWrap w:val="0"/>
                  <w:tcMar>
                    <w:left w:w="0" w:type="dxa"/>
                    <w:right w:w="0" w:type="dxa"/>
                  </w:tcMar>
                  <w:vAlign w:val="center"/>
                </w:tcPr>
                <w:p w14:paraId="4922E3A9">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pacing w:val="-6"/>
                      <w:szCs w:val="21"/>
                      <w:highlight w:val="none"/>
                    </w:rPr>
                    <w:t>速率</w:t>
                  </w:r>
                  <w:r>
                    <w:rPr>
                      <w:rFonts w:hint="default" w:ascii="Times New Roman" w:hAnsi="Times New Roman" w:cs="Times New Roman"/>
                      <w:b/>
                      <w:bCs/>
                      <w:color w:val="auto"/>
                      <w:szCs w:val="21"/>
                      <w:highlight w:val="none"/>
                    </w:rPr>
                    <w:t>（kg/h）</w:t>
                  </w:r>
                </w:p>
              </w:tc>
              <w:tc>
                <w:tcPr>
                  <w:tcW w:w="410" w:type="pct"/>
                  <w:noWrap w:val="0"/>
                  <w:tcMar>
                    <w:left w:w="0" w:type="dxa"/>
                    <w:right w:w="0" w:type="dxa"/>
                  </w:tcMar>
                  <w:vAlign w:val="center"/>
                </w:tcPr>
                <w:p w14:paraId="0B0232EE">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排放量（t/a）</w:t>
                  </w:r>
                </w:p>
              </w:tc>
              <w:tc>
                <w:tcPr>
                  <w:tcW w:w="267" w:type="pct"/>
                  <w:vMerge w:val="continue"/>
                  <w:noWrap w:val="0"/>
                  <w:vAlign w:val="center"/>
                </w:tcPr>
                <w:p w14:paraId="580D674A">
                  <w:pPr>
                    <w:jc w:val="center"/>
                    <w:rPr>
                      <w:rFonts w:hint="default" w:ascii="Times New Roman" w:hAnsi="Times New Roman" w:cs="Times New Roman"/>
                      <w:color w:val="auto"/>
                      <w:szCs w:val="21"/>
                      <w:highlight w:val="none"/>
                    </w:rPr>
                  </w:pPr>
                </w:p>
              </w:tc>
              <w:tc>
                <w:tcPr>
                  <w:tcW w:w="1019" w:type="pct"/>
                  <w:vMerge w:val="continue"/>
                  <w:noWrap w:val="0"/>
                  <w:vAlign w:val="center"/>
                </w:tcPr>
                <w:p w14:paraId="27BAFB79">
                  <w:pPr>
                    <w:jc w:val="center"/>
                    <w:rPr>
                      <w:rFonts w:hint="default" w:ascii="Times New Roman" w:hAnsi="Times New Roman" w:cs="Times New Roman"/>
                      <w:color w:val="auto"/>
                      <w:szCs w:val="21"/>
                      <w:highlight w:val="none"/>
                    </w:rPr>
                  </w:pPr>
                </w:p>
              </w:tc>
            </w:tr>
            <w:tr w14:paraId="3ACB8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2" w:type="pct"/>
                  <w:vMerge w:val="restart"/>
                  <w:noWrap w:val="0"/>
                  <w:vAlign w:val="center"/>
                </w:tcPr>
                <w:p w14:paraId="7A1A52E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天燃气烘干炉、粉末固化</w:t>
                  </w:r>
                </w:p>
              </w:tc>
              <w:tc>
                <w:tcPr>
                  <w:tcW w:w="423" w:type="pct"/>
                  <w:vMerge w:val="restart"/>
                  <w:noWrap w:val="0"/>
                  <w:vAlign w:val="center"/>
                </w:tcPr>
                <w:p w14:paraId="48A0AC5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DA00</w:t>
                  </w:r>
                  <w:r>
                    <w:rPr>
                      <w:rFonts w:hint="eastAsia" w:cs="Times New Roman"/>
                      <w:color w:val="auto"/>
                      <w:sz w:val="21"/>
                      <w:szCs w:val="21"/>
                      <w:highlight w:val="none"/>
                      <w:lang w:val="en-US" w:eastAsia="zh-CN"/>
                    </w:rPr>
                    <w:t>6</w:t>
                  </w:r>
                </w:p>
              </w:tc>
              <w:tc>
                <w:tcPr>
                  <w:tcW w:w="428" w:type="pct"/>
                  <w:shd w:val="clear" w:color="auto" w:fill="auto"/>
                  <w:noWrap w:val="0"/>
                  <w:vAlign w:val="center"/>
                </w:tcPr>
                <w:p w14:paraId="17BD5E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颗粒物</w:t>
                  </w:r>
                </w:p>
              </w:tc>
              <w:tc>
                <w:tcPr>
                  <w:tcW w:w="565" w:type="pct"/>
                  <w:shd w:val="clear" w:color="auto" w:fill="auto"/>
                  <w:noWrap w:val="0"/>
                  <w:vAlign w:val="center"/>
                </w:tcPr>
                <w:p w14:paraId="71CC2D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463" w:type="pct"/>
                  <w:shd w:val="clear" w:color="auto" w:fill="auto"/>
                  <w:noWrap w:val="0"/>
                  <w:vAlign w:val="center"/>
                </w:tcPr>
                <w:p w14:paraId="2D800DE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535" w:type="pct"/>
                  <w:shd w:val="clear" w:color="auto" w:fill="auto"/>
                  <w:noWrap w:val="0"/>
                  <w:vAlign w:val="center"/>
                </w:tcPr>
                <w:p w14:paraId="2666B9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0.9533</w:t>
                  </w:r>
                </w:p>
              </w:tc>
              <w:tc>
                <w:tcPr>
                  <w:tcW w:w="472" w:type="pct"/>
                  <w:shd w:val="clear" w:color="auto" w:fill="auto"/>
                  <w:noWrap w:val="0"/>
                  <w:vAlign w:val="center"/>
                </w:tcPr>
                <w:p w14:paraId="45F9976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095</w:t>
                  </w:r>
                </w:p>
              </w:tc>
              <w:tc>
                <w:tcPr>
                  <w:tcW w:w="410" w:type="pct"/>
                  <w:shd w:val="clear" w:color="auto" w:fill="auto"/>
                  <w:noWrap w:val="0"/>
                  <w:vAlign w:val="center"/>
                </w:tcPr>
                <w:p w14:paraId="1148F91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267" w:type="pct"/>
                  <w:shd w:val="clear" w:color="auto" w:fill="auto"/>
                  <w:noWrap w:val="0"/>
                  <w:tcMar>
                    <w:left w:w="0" w:type="dxa"/>
                    <w:right w:w="0" w:type="dxa"/>
                  </w:tcMar>
                  <w:vAlign w:val="center"/>
                </w:tcPr>
                <w:p w14:paraId="13A9309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达标</w:t>
                  </w:r>
                </w:p>
              </w:tc>
              <w:tc>
                <w:tcPr>
                  <w:tcW w:w="1019" w:type="pct"/>
                  <w:vMerge w:val="restart"/>
                  <w:noWrap w:val="0"/>
                  <w:tcMar>
                    <w:left w:w="0" w:type="dxa"/>
                    <w:right w:w="0" w:type="dxa"/>
                  </w:tcMar>
                  <w:vAlign w:val="center"/>
                </w:tcPr>
                <w:p w14:paraId="4CB6882B">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 w:val="21"/>
                      <w:szCs w:val="16"/>
                      <w:highlight w:val="none"/>
                      <w:lang w:val="en-US" w:eastAsia="zh-CN"/>
                    </w:rPr>
                    <w:t>《工业炉窑大气污染物排放标准》</w:t>
                  </w:r>
                  <w:r>
                    <w:rPr>
                      <w:rFonts w:hint="default" w:ascii="Times New Roman" w:hAnsi="Times New Roman" w:eastAsia="宋体" w:cs="Times New Roman"/>
                      <w:color w:val="auto"/>
                      <w:sz w:val="21"/>
                      <w:szCs w:val="16"/>
                      <w:highlight w:val="none"/>
                    </w:rPr>
                    <w:t>（DB32/</w:t>
                  </w:r>
                  <w:r>
                    <w:rPr>
                      <w:rFonts w:hint="default" w:ascii="Times New Roman" w:hAnsi="Times New Roman" w:eastAsia="宋体" w:cs="Times New Roman"/>
                      <w:color w:val="auto"/>
                      <w:sz w:val="21"/>
                      <w:szCs w:val="16"/>
                      <w:highlight w:val="none"/>
                      <w:lang w:val="en-US" w:eastAsia="zh-CN"/>
                    </w:rPr>
                    <w:t>3728</w:t>
                  </w:r>
                  <w:r>
                    <w:rPr>
                      <w:rFonts w:hint="default" w:ascii="Times New Roman" w:hAnsi="Times New Roman" w:eastAsia="宋体" w:cs="Times New Roman"/>
                      <w:color w:val="auto"/>
                      <w:sz w:val="21"/>
                      <w:szCs w:val="16"/>
                      <w:highlight w:val="none"/>
                    </w:rPr>
                    <w:t>-20</w:t>
                  </w:r>
                  <w:r>
                    <w:rPr>
                      <w:rFonts w:hint="default" w:ascii="Times New Roman" w:hAnsi="Times New Roman" w:eastAsia="宋体" w:cs="Times New Roman"/>
                      <w:color w:val="auto"/>
                      <w:sz w:val="21"/>
                      <w:szCs w:val="16"/>
                      <w:highlight w:val="none"/>
                      <w:lang w:val="en-US" w:eastAsia="zh-CN"/>
                    </w:rPr>
                    <w:t>20</w:t>
                  </w:r>
                  <w:r>
                    <w:rPr>
                      <w:rFonts w:hint="default" w:ascii="Times New Roman" w:hAnsi="Times New Roman" w:eastAsia="宋体" w:cs="Times New Roman"/>
                      <w:color w:val="auto"/>
                      <w:sz w:val="21"/>
                      <w:szCs w:val="16"/>
                      <w:highlight w:val="none"/>
                    </w:rPr>
                    <w:t>）</w:t>
                  </w:r>
                </w:p>
              </w:tc>
            </w:tr>
            <w:tr w14:paraId="004FD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2" w:type="pct"/>
                  <w:vMerge w:val="continue"/>
                  <w:noWrap w:val="0"/>
                  <w:vAlign w:val="center"/>
                </w:tcPr>
                <w:p w14:paraId="35FEAFE1">
                  <w:pPr>
                    <w:jc w:val="center"/>
                    <w:rPr>
                      <w:rFonts w:hint="eastAsia"/>
                      <w:color w:val="auto"/>
                      <w:sz w:val="21"/>
                      <w:szCs w:val="21"/>
                      <w:highlight w:val="none"/>
                      <w:lang w:val="en-US" w:eastAsia="zh-CN"/>
                    </w:rPr>
                  </w:pPr>
                </w:p>
              </w:tc>
              <w:tc>
                <w:tcPr>
                  <w:tcW w:w="423" w:type="pct"/>
                  <w:vMerge w:val="continue"/>
                  <w:noWrap w:val="0"/>
                  <w:vAlign w:val="center"/>
                </w:tcPr>
                <w:p w14:paraId="50F15725">
                  <w:pPr>
                    <w:jc w:val="center"/>
                    <w:rPr>
                      <w:rFonts w:hint="default" w:ascii="Times New Roman" w:hAnsi="Times New Roman" w:cs="Times New Roman"/>
                      <w:color w:val="auto"/>
                      <w:sz w:val="21"/>
                      <w:szCs w:val="21"/>
                      <w:highlight w:val="none"/>
                    </w:rPr>
                  </w:pPr>
                </w:p>
              </w:tc>
              <w:tc>
                <w:tcPr>
                  <w:tcW w:w="428" w:type="pct"/>
                  <w:shd w:val="clear" w:color="auto" w:fill="auto"/>
                  <w:noWrap w:val="0"/>
                  <w:vAlign w:val="center"/>
                </w:tcPr>
                <w:p w14:paraId="494E5A81">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SO</w:t>
                  </w:r>
                  <w:r>
                    <w:rPr>
                      <w:rFonts w:hint="default" w:ascii="Times New Roman" w:hAnsi="Times New Roman" w:cs="Times New Roman"/>
                      <w:i w:val="0"/>
                      <w:iCs w:val="0"/>
                      <w:color w:val="auto"/>
                      <w:kern w:val="0"/>
                      <w:sz w:val="21"/>
                      <w:szCs w:val="21"/>
                      <w:highlight w:val="none"/>
                      <w:u w:val="none"/>
                      <w:vertAlign w:val="subscript"/>
                      <w:lang w:val="en-US" w:eastAsia="zh-CN" w:bidi="ar"/>
                    </w:rPr>
                    <w:t>2</w:t>
                  </w:r>
                </w:p>
              </w:tc>
              <w:tc>
                <w:tcPr>
                  <w:tcW w:w="565" w:type="pct"/>
                  <w:shd w:val="clear" w:color="auto" w:fill="auto"/>
                  <w:noWrap w:val="0"/>
                  <w:vAlign w:val="center"/>
                </w:tcPr>
                <w:p w14:paraId="4B7C891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40</w:t>
                  </w:r>
                </w:p>
              </w:tc>
              <w:tc>
                <w:tcPr>
                  <w:tcW w:w="463" w:type="pct"/>
                  <w:shd w:val="clear" w:color="auto" w:fill="auto"/>
                  <w:noWrap w:val="0"/>
                  <w:vAlign w:val="center"/>
                </w:tcPr>
                <w:p w14:paraId="1E56A4F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535" w:type="pct"/>
                  <w:shd w:val="clear" w:color="auto" w:fill="auto"/>
                  <w:noWrap w:val="0"/>
                  <w:vAlign w:val="center"/>
                </w:tcPr>
                <w:p w14:paraId="067CA0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1333</w:t>
                  </w:r>
                </w:p>
              </w:tc>
              <w:tc>
                <w:tcPr>
                  <w:tcW w:w="472" w:type="pct"/>
                  <w:shd w:val="clear" w:color="auto" w:fill="auto"/>
                  <w:noWrap w:val="0"/>
                  <w:vAlign w:val="center"/>
                </w:tcPr>
                <w:p w14:paraId="3C091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13</w:t>
                  </w:r>
                </w:p>
              </w:tc>
              <w:tc>
                <w:tcPr>
                  <w:tcW w:w="410" w:type="pct"/>
                  <w:shd w:val="clear" w:color="auto" w:fill="auto"/>
                  <w:noWrap w:val="0"/>
                  <w:vAlign w:val="center"/>
                </w:tcPr>
                <w:p w14:paraId="124028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w:t>
                  </w:r>
                </w:p>
              </w:tc>
              <w:tc>
                <w:tcPr>
                  <w:tcW w:w="267" w:type="pct"/>
                  <w:shd w:val="clear" w:color="auto" w:fill="auto"/>
                  <w:noWrap w:val="0"/>
                  <w:tcMar>
                    <w:left w:w="0" w:type="dxa"/>
                    <w:right w:w="0" w:type="dxa"/>
                  </w:tcMar>
                  <w:vAlign w:val="center"/>
                </w:tcPr>
                <w:p w14:paraId="05DA6F0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达标</w:t>
                  </w:r>
                </w:p>
              </w:tc>
              <w:tc>
                <w:tcPr>
                  <w:tcW w:w="1019" w:type="pct"/>
                  <w:vMerge w:val="continue"/>
                  <w:noWrap w:val="0"/>
                  <w:tcMar>
                    <w:left w:w="0" w:type="dxa"/>
                    <w:right w:w="0" w:type="dxa"/>
                  </w:tcMar>
                  <w:vAlign w:val="center"/>
                </w:tcPr>
                <w:p w14:paraId="1F630A46">
                  <w:pPr>
                    <w:jc w:val="center"/>
                    <w:rPr>
                      <w:rFonts w:hint="default" w:ascii="Times New Roman" w:hAnsi="Times New Roman" w:eastAsia="宋体" w:cs="Times New Roman"/>
                      <w:color w:val="auto"/>
                      <w:sz w:val="21"/>
                      <w:szCs w:val="16"/>
                      <w:highlight w:val="none"/>
                    </w:rPr>
                  </w:pPr>
                </w:p>
              </w:tc>
            </w:tr>
            <w:tr w14:paraId="5D5DE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2" w:type="pct"/>
                  <w:vMerge w:val="continue"/>
                  <w:noWrap w:val="0"/>
                  <w:vAlign w:val="center"/>
                </w:tcPr>
                <w:p w14:paraId="5F500E4C">
                  <w:pPr>
                    <w:jc w:val="center"/>
                    <w:rPr>
                      <w:rFonts w:hint="eastAsia"/>
                      <w:color w:val="auto"/>
                      <w:sz w:val="21"/>
                      <w:szCs w:val="21"/>
                      <w:highlight w:val="none"/>
                    </w:rPr>
                  </w:pPr>
                </w:p>
              </w:tc>
              <w:tc>
                <w:tcPr>
                  <w:tcW w:w="423" w:type="pct"/>
                  <w:vMerge w:val="continue"/>
                  <w:noWrap w:val="0"/>
                  <w:vAlign w:val="center"/>
                </w:tcPr>
                <w:p w14:paraId="184C52CE">
                  <w:pPr>
                    <w:jc w:val="center"/>
                    <w:rPr>
                      <w:rFonts w:hint="default" w:ascii="Times New Roman" w:hAnsi="Times New Roman" w:cs="Times New Roman"/>
                      <w:color w:val="auto"/>
                      <w:sz w:val="21"/>
                      <w:szCs w:val="21"/>
                      <w:highlight w:val="none"/>
                    </w:rPr>
                  </w:pPr>
                </w:p>
              </w:tc>
              <w:tc>
                <w:tcPr>
                  <w:tcW w:w="428" w:type="pct"/>
                  <w:noWrap w:val="0"/>
                  <w:vAlign w:val="center"/>
                </w:tcPr>
                <w:p w14:paraId="2EE1B8E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NOx</w:t>
                  </w:r>
                </w:p>
              </w:tc>
              <w:tc>
                <w:tcPr>
                  <w:tcW w:w="565" w:type="pct"/>
                  <w:noWrap w:val="0"/>
                  <w:vAlign w:val="center"/>
                </w:tcPr>
                <w:p w14:paraId="54D143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90</w:t>
                  </w:r>
                </w:p>
              </w:tc>
              <w:tc>
                <w:tcPr>
                  <w:tcW w:w="463" w:type="pct"/>
                  <w:noWrap w:val="0"/>
                  <w:vAlign w:val="center"/>
                </w:tcPr>
                <w:p w14:paraId="0E5954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535" w:type="pct"/>
                  <w:shd w:val="clear" w:color="auto" w:fill="auto"/>
                  <w:noWrap w:val="0"/>
                  <w:vAlign w:val="center"/>
                </w:tcPr>
                <w:p w14:paraId="1011B40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3.1167</w:t>
                  </w:r>
                </w:p>
              </w:tc>
              <w:tc>
                <w:tcPr>
                  <w:tcW w:w="472" w:type="pct"/>
                  <w:shd w:val="clear" w:color="auto" w:fill="auto"/>
                  <w:noWrap w:val="0"/>
                  <w:vAlign w:val="center"/>
                </w:tcPr>
                <w:p w14:paraId="4F30BE8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w:t>
                  </w:r>
                  <w:r>
                    <w:rPr>
                      <w:rFonts w:hint="eastAsia" w:cs="Times New Roman"/>
                      <w:i w:val="0"/>
                      <w:iCs w:val="0"/>
                      <w:color w:val="auto"/>
                      <w:kern w:val="0"/>
                      <w:sz w:val="21"/>
                      <w:szCs w:val="21"/>
                      <w:u w:val="none"/>
                      <w:lang w:val="en-US" w:eastAsia="zh-CN" w:bidi="ar"/>
                    </w:rPr>
                    <w:t>12</w:t>
                  </w:r>
                </w:p>
              </w:tc>
              <w:tc>
                <w:tcPr>
                  <w:tcW w:w="410" w:type="pct"/>
                  <w:shd w:val="clear" w:color="auto" w:fill="auto"/>
                  <w:noWrap w:val="0"/>
                  <w:vAlign w:val="center"/>
                </w:tcPr>
                <w:p w14:paraId="7F887FE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0.0935</w:t>
                  </w:r>
                </w:p>
              </w:tc>
              <w:tc>
                <w:tcPr>
                  <w:tcW w:w="267" w:type="pct"/>
                  <w:noWrap w:val="0"/>
                  <w:tcMar>
                    <w:left w:w="0" w:type="dxa"/>
                    <w:right w:w="0" w:type="dxa"/>
                  </w:tcMar>
                  <w:vAlign w:val="center"/>
                </w:tcPr>
                <w:p w14:paraId="5D12FCF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达标</w:t>
                  </w:r>
                </w:p>
              </w:tc>
              <w:tc>
                <w:tcPr>
                  <w:tcW w:w="1019" w:type="pct"/>
                  <w:vMerge w:val="continue"/>
                  <w:noWrap w:val="0"/>
                  <w:tcMar>
                    <w:left w:w="0" w:type="dxa"/>
                    <w:right w:w="0" w:type="dxa"/>
                  </w:tcMar>
                  <w:vAlign w:val="center"/>
                </w:tcPr>
                <w:p w14:paraId="3CA1BB54">
                  <w:pPr>
                    <w:jc w:val="center"/>
                    <w:rPr>
                      <w:rFonts w:hint="default" w:ascii="Times New Roman" w:hAnsi="Times New Roman" w:cs="Times New Roman"/>
                      <w:color w:val="auto"/>
                      <w:szCs w:val="21"/>
                      <w:highlight w:val="none"/>
                    </w:rPr>
                  </w:pPr>
                </w:p>
              </w:tc>
            </w:tr>
            <w:tr w14:paraId="38F80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2" w:type="pct"/>
                  <w:vMerge w:val="continue"/>
                  <w:noWrap w:val="0"/>
                  <w:vAlign w:val="center"/>
                </w:tcPr>
                <w:p w14:paraId="72379E9E">
                  <w:pPr>
                    <w:jc w:val="center"/>
                    <w:rPr>
                      <w:rFonts w:hint="default" w:ascii="Times New Roman" w:hAnsi="Times New Roman" w:eastAsia="宋体" w:cs="Times New Roman"/>
                      <w:color w:val="auto"/>
                      <w:kern w:val="2"/>
                      <w:sz w:val="21"/>
                      <w:szCs w:val="21"/>
                      <w:highlight w:val="none"/>
                      <w:lang w:val="en-US" w:eastAsia="zh-CN" w:bidi="ar-SA"/>
                    </w:rPr>
                  </w:pPr>
                </w:p>
              </w:tc>
              <w:tc>
                <w:tcPr>
                  <w:tcW w:w="423" w:type="pct"/>
                  <w:vMerge w:val="continue"/>
                  <w:noWrap w:val="0"/>
                  <w:vAlign w:val="center"/>
                </w:tcPr>
                <w:p w14:paraId="7F359700">
                  <w:pPr>
                    <w:jc w:val="center"/>
                    <w:rPr>
                      <w:rFonts w:hint="default" w:ascii="Times New Roman" w:hAnsi="Times New Roman" w:eastAsia="宋体" w:cs="Times New Roman"/>
                      <w:color w:val="auto"/>
                      <w:kern w:val="2"/>
                      <w:sz w:val="21"/>
                      <w:szCs w:val="21"/>
                      <w:highlight w:val="none"/>
                      <w:lang w:val="en-US" w:eastAsia="zh-CN" w:bidi="ar-SA"/>
                    </w:rPr>
                  </w:pPr>
                </w:p>
              </w:tc>
              <w:tc>
                <w:tcPr>
                  <w:tcW w:w="428" w:type="pct"/>
                  <w:shd w:val="clear" w:color="auto" w:fill="auto"/>
                  <w:noWrap w:val="0"/>
                  <w:vAlign w:val="center"/>
                </w:tcPr>
                <w:p w14:paraId="71619D0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565" w:type="pct"/>
                  <w:shd w:val="clear" w:color="auto" w:fill="auto"/>
                  <w:noWrap w:val="0"/>
                  <w:vAlign w:val="center"/>
                </w:tcPr>
                <w:p w14:paraId="2E517C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50</w:t>
                  </w:r>
                </w:p>
              </w:tc>
              <w:tc>
                <w:tcPr>
                  <w:tcW w:w="463" w:type="pct"/>
                  <w:shd w:val="clear" w:color="auto" w:fill="auto"/>
                  <w:noWrap w:val="0"/>
                  <w:vAlign w:val="center"/>
                </w:tcPr>
                <w:p w14:paraId="0591693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2.0</w:t>
                  </w:r>
                </w:p>
              </w:tc>
              <w:tc>
                <w:tcPr>
                  <w:tcW w:w="535" w:type="pct"/>
                  <w:shd w:val="clear" w:color="auto" w:fill="auto"/>
                  <w:noWrap w:val="0"/>
                  <w:vAlign w:val="center"/>
                </w:tcPr>
                <w:p w14:paraId="5EEE2051">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1367</w:t>
                  </w:r>
                </w:p>
              </w:tc>
              <w:tc>
                <w:tcPr>
                  <w:tcW w:w="472" w:type="pct"/>
                  <w:shd w:val="clear" w:color="auto" w:fill="auto"/>
                  <w:noWrap w:val="0"/>
                  <w:vAlign w:val="center"/>
                </w:tcPr>
                <w:p w14:paraId="7CF8B7C1">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14</w:t>
                  </w:r>
                </w:p>
              </w:tc>
              <w:tc>
                <w:tcPr>
                  <w:tcW w:w="410" w:type="pct"/>
                  <w:shd w:val="clear" w:color="auto" w:fill="auto"/>
                  <w:noWrap w:val="0"/>
                  <w:vAlign w:val="center"/>
                </w:tcPr>
                <w:p w14:paraId="25F26166">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0.0041</w:t>
                  </w:r>
                </w:p>
              </w:tc>
              <w:tc>
                <w:tcPr>
                  <w:tcW w:w="267" w:type="pct"/>
                  <w:shd w:val="clear" w:color="auto" w:fill="auto"/>
                  <w:noWrap w:val="0"/>
                  <w:tcMar>
                    <w:left w:w="0" w:type="dxa"/>
                    <w:right w:w="0" w:type="dxa"/>
                  </w:tcMar>
                  <w:vAlign w:val="center"/>
                </w:tcPr>
                <w:p w14:paraId="58B3E41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达标</w:t>
                  </w:r>
                </w:p>
              </w:tc>
              <w:tc>
                <w:tcPr>
                  <w:tcW w:w="1019" w:type="pct"/>
                  <w:noWrap w:val="0"/>
                  <w:tcMar>
                    <w:left w:w="0" w:type="dxa"/>
                    <w:right w:w="0" w:type="dxa"/>
                  </w:tcMar>
                  <w:vAlign w:val="center"/>
                </w:tcPr>
                <w:p w14:paraId="72CDA027">
                  <w:pPr>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16"/>
                      <w:highlight w:val="none"/>
                    </w:rPr>
                    <w:t>《</w:t>
                  </w:r>
                  <w:r>
                    <w:rPr>
                      <w:rFonts w:hint="default" w:ascii="Times New Roman" w:hAnsi="Times New Roman" w:eastAsia="宋体" w:cs="Times New Roman"/>
                      <w:color w:val="auto"/>
                      <w:sz w:val="21"/>
                      <w:szCs w:val="16"/>
                      <w:highlight w:val="none"/>
                      <w:lang w:val="en-US" w:eastAsia="zh-CN"/>
                    </w:rPr>
                    <w:t>工业涂装工序</w:t>
                  </w:r>
                  <w:r>
                    <w:rPr>
                      <w:rFonts w:hint="default" w:ascii="Times New Roman" w:hAnsi="Times New Roman" w:eastAsia="宋体" w:cs="Times New Roman"/>
                      <w:color w:val="auto"/>
                      <w:sz w:val="21"/>
                      <w:szCs w:val="16"/>
                      <w:highlight w:val="none"/>
                    </w:rPr>
                    <w:t>大气污染物排放标准》（DB32/4</w:t>
                  </w:r>
                  <w:r>
                    <w:rPr>
                      <w:rFonts w:hint="default" w:ascii="Times New Roman" w:hAnsi="Times New Roman" w:eastAsia="宋体" w:cs="Times New Roman"/>
                      <w:color w:val="auto"/>
                      <w:sz w:val="21"/>
                      <w:szCs w:val="16"/>
                      <w:highlight w:val="none"/>
                      <w:lang w:val="en-US" w:eastAsia="zh-CN"/>
                    </w:rPr>
                    <w:t>439</w:t>
                  </w:r>
                  <w:r>
                    <w:rPr>
                      <w:rFonts w:hint="default" w:ascii="Times New Roman" w:hAnsi="Times New Roman" w:eastAsia="宋体" w:cs="Times New Roman"/>
                      <w:color w:val="auto"/>
                      <w:sz w:val="21"/>
                      <w:szCs w:val="16"/>
                      <w:highlight w:val="none"/>
                    </w:rPr>
                    <w:t>-202</w:t>
                  </w:r>
                  <w:r>
                    <w:rPr>
                      <w:rFonts w:hint="default" w:ascii="Times New Roman" w:hAnsi="Times New Roman" w:eastAsia="宋体" w:cs="Times New Roman"/>
                      <w:color w:val="auto"/>
                      <w:sz w:val="21"/>
                      <w:szCs w:val="16"/>
                      <w:highlight w:val="none"/>
                      <w:lang w:val="en-US" w:eastAsia="zh-CN"/>
                    </w:rPr>
                    <w:t>2</w:t>
                  </w:r>
                  <w:r>
                    <w:rPr>
                      <w:rFonts w:hint="default" w:ascii="Times New Roman" w:hAnsi="Times New Roman" w:eastAsia="宋体" w:cs="Times New Roman"/>
                      <w:color w:val="auto"/>
                      <w:sz w:val="21"/>
                      <w:szCs w:val="16"/>
                      <w:highlight w:val="none"/>
                    </w:rPr>
                    <w:t>）</w:t>
                  </w:r>
                </w:p>
              </w:tc>
            </w:tr>
          </w:tbl>
          <w:p w14:paraId="23B9BE0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本项目主要产生的废气污染物为</w:t>
            </w:r>
            <w:r>
              <w:rPr>
                <w:rStyle w:val="39"/>
                <w:rFonts w:hint="eastAsia"/>
                <w:color w:val="auto"/>
                <w:kern w:val="0"/>
                <w:szCs w:val="20"/>
                <w:highlight w:val="none"/>
                <w:lang w:val="en-US" w:eastAsia="zh-CN"/>
              </w:rPr>
              <w:t>颗粒物、SO</w:t>
            </w:r>
            <w:r>
              <w:rPr>
                <w:rStyle w:val="39"/>
                <w:rFonts w:hint="eastAsia"/>
                <w:color w:val="auto"/>
                <w:kern w:val="0"/>
                <w:szCs w:val="20"/>
                <w:highlight w:val="none"/>
                <w:vertAlign w:val="subscript"/>
                <w:lang w:val="en-US" w:eastAsia="zh-CN"/>
              </w:rPr>
              <w:t>2</w:t>
            </w:r>
            <w:r>
              <w:rPr>
                <w:rStyle w:val="39"/>
                <w:rFonts w:hint="eastAsia"/>
                <w:color w:val="auto"/>
                <w:kern w:val="0"/>
                <w:szCs w:val="20"/>
                <w:highlight w:val="none"/>
                <w:lang w:val="en-US" w:eastAsia="zh-CN"/>
              </w:rPr>
              <w:t>、NOx、</w:t>
            </w:r>
            <w:r>
              <w:rPr>
                <w:rFonts w:hint="eastAsia"/>
                <w:color w:val="auto"/>
                <w:szCs w:val="21"/>
                <w:highlight w:val="none"/>
              </w:rPr>
              <w:t>非甲烷总烃</w:t>
            </w:r>
            <w:r>
              <w:rPr>
                <w:rFonts w:hint="default" w:ascii="Times New Roman" w:hAnsi="Times New Roman" w:cs="Times New Roman"/>
                <w:color w:val="auto"/>
                <w:szCs w:val="21"/>
                <w:highlight w:val="none"/>
              </w:rPr>
              <w:t>。经采取相应的污染防治措施后，本项目</w:t>
            </w:r>
            <w:r>
              <w:rPr>
                <w:rFonts w:hint="eastAsia" w:cs="Times New Roman"/>
                <w:color w:val="auto"/>
                <w:szCs w:val="21"/>
                <w:highlight w:val="none"/>
                <w:lang w:val="en-US" w:eastAsia="zh-CN"/>
              </w:rPr>
              <w:t>DA006排气筒有组织</w:t>
            </w:r>
            <w:r>
              <w:rPr>
                <w:rFonts w:hint="default" w:ascii="Times New Roman" w:hAnsi="Times New Roman" w:cs="Times New Roman"/>
                <w:color w:val="auto"/>
                <w:szCs w:val="21"/>
                <w:highlight w:val="none"/>
              </w:rPr>
              <w:t>排放的</w:t>
            </w:r>
            <w:r>
              <w:rPr>
                <w:rFonts w:hint="eastAsia"/>
                <w:color w:val="auto"/>
                <w:szCs w:val="21"/>
                <w:highlight w:val="none"/>
              </w:rPr>
              <w:t>非甲烷总烃</w:t>
            </w:r>
            <w:r>
              <w:rPr>
                <w:rFonts w:hint="eastAsia"/>
                <w:color w:val="auto"/>
                <w:szCs w:val="21"/>
                <w:highlight w:val="none"/>
                <w:lang w:val="en-US" w:eastAsia="zh-CN"/>
              </w:rPr>
              <w:t>可达到</w:t>
            </w:r>
            <w:r>
              <w:rPr>
                <w:rFonts w:hint="default" w:ascii="Times New Roman" w:hAnsi="Times New Roman" w:eastAsia="宋体" w:cs="Times New Roman"/>
                <w:color w:val="auto"/>
                <w:sz w:val="21"/>
                <w:szCs w:val="16"/>
                <w:highlight w:val="none"/>
              </w:rPr>
              <w:t>《</w:t>
            </w:r>
            <w:r>
              <w:rPr>
                <w:rFonts w:hint="default" w:ascii="Times New Roman" w:hAnsi="Times New Roman" w:eastAsia="宋体" w:cs="Times New Roman"/>
                <w:color w:val="auto"/>
                <w:sz w:val="21"/>
                <w:szCs w:val="16"/>
                <w:highlight w:val="none"/>
                <w:lang w:val="en-US" w:eastAsia="zh-CN"/>
              </w:rPr>
              <w:t>工业涂装工序</w:t>
            </w:r>
            <w:r>
              <w:rPr>
                <w:rFonts w:hint="default" w:ascii="Times New Roman" w:hAnsi="Times New Roman" w:eastAsia="宋体" w:cs="Times New Roman"/>
                <w:color w:val="auto"/>
                <w:sz w:val="21"/>
                <w:szCs w:val="16"/>
                <w:highlight w:val="none"/>
              </w:rPr>
              <w:t>大气污染物排放标准》（DB32/4</w:t>
            </w:r>
            <w:r>
              <w:rPr>
                <w:rFonts w:hint="default" w:ascii="Times New Roman" w:hAnsi="Times New Roman" w:eastAsia="宋体" w:cs="Times New Roman"/>
                <w:color w:val="auto"/>
                <w:sz w:val="21"/>
                <w:szCs w:val="16"/>
                <w:highlight w:val="none"/>
                <w:lang w:val="en-US" w:eastAsia="zh-CN"/>
              </w:rPr>
              <w:t>439</w:t>
            </w:r>
            <w:r>
              <w:rPr>
                <w:rFonts w:hint="default" w:ascii="Times New Roman" w:hAnsi="Times New Roman" w:eastAsia="宋体" w:cs="Times New Roman"/>
                <w:color w:val="auto"/>
                <w:sz w:val="21"/>
                <w:szCs w:val="16"/>
                <w:highlight w:val="none"/>
              </w:rPr>
              <w:t>-202</w:t>
            </w:r>
            <w:r>
              <w:rPr>
                <w:rFonts w:hint="default" w:ascii="Times New Roman" w:hAnsi="Times New Roman" w:eastAsia="宋体" w:cs="Times New Roman"/>
                <w:color w:val="auto"/>
                <w:sz w:val="21"/>
                <w:szCs w:val="16"/>
                <w:highlight w:val="none"/>
                <w:lang w:val="en-US" w:eastAsia="zh-CN"/>
              </w:rPr>
              <w:t>2</w:t>
            </w:r>
            <w:r>
              <w:rPr>
                <w:rFonts w:hint="default" w:ascii="Times New Roman" w:hAnsi="Times New Roman" w:eastAsia="宋体" w:cs="Times New Roman"/>
                <w:color w:val="auto"/>
                <w:sz w:val="21"/>
                <w:szCs w:val="16"/>
                <w:highlight w:val="none"/>
              </w:rPr>
              <w:t>）</w:t>
            </w:r>
            <w:r>
              <w:rPr>
                <w:rFonts w:hint="eastAsia" w:cs="Times New Roman"/>
                <w:color w:val="auto"/>
                <w:szCs w:val="21"/>
                <w:highlight w:val="none"/>
                <w:lang w:val="en-US" w:eastAsia="zh-CN"/>
              </w:rPr>
              <w:t>、DA006排气筒有组织</w:t>
            </w:r>
            <w:r>
              <w:rPr>
                <w:rFonts w:hint="default" w:ascii="Times New Roman" w:hAnsi="Times New Roman" w:cs="Times New Roman"/>
                <w:color w:val="auto"/>
                <w:szCs w:val="21"/>
                <w:highlight w:val="none"/>
              </w:rPr>
              <w:t>排放的</w:t>
            </w: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default" w:ascii="Times New Roman" w:hAnsi="Times New Roman" w:cs="Times New Roman"/>
                <w:color w:val="auto"/>
                <w:szCs w:val="21"/>
                <w:highlight w:val="none"/>
              </w:rPr>
              <w:t>可达到</w:t>
            </w:r>
            <w:r>
              <w:rPr>
                <w:rFonts w:hint="default" w:ascii="Times New Roman" w:hAnsi="Times New Roman" w:eastAsia="宋体" w:cs="Times New Roman"/>
                <w:color w:val="auto"/>
                <w:sz w:val="21"/>
                <w:szCs w:val="16"/>
                <w:highlight w:val="none"/>
                <w:lang w:val="en-US" w:eastAsia="zh-CN"/>
              </w:rPr>
              <w:t>《工业炉窑大气污染物排放标准》</w:t>
            </w:r>
            <w:r>
              <w:rPr>
                <w:rFonts w:hint="default" w:ascii="Times New Roman" w:hAnsi="Times New Roman" w:eastAsia="宋体" w:cs="Times New Roman"/>
                <w:color w:val="auto"/>
                <w:sz w:val="21"/>
                <w:szCs w:val="16"/>
                <w:highlight w:val="none"/>
              </w:rPr>
              <w:t>（DB32/</w:t>
            </w:r>
            <w:r>
              <w:rPr>
                <w:rFonts w:hint="default" w:ascii="Times New Roman" w:hAnsi="Times New Roman" w:eastAsia="宋体" w:cs="Times New Roman"/>
                <w:color w:val="auto"/>
                <w:sz w:val="21"/>
                <w:szCs w:val="16"/>
                <w:highlight w:val="none"/>
                <w:lang w:val="en-US" w:eastAsia="zh-CN"/>
              </w:rPr>
              <w:t>3728</w:t>
            </w:r>
            <w:r>
              <w:rPr>
                <w:rFonts w:hint="default" w:ascii="Times New Roman" w:hAnsi="Times New Roman" w:eastAsia="宋体" w:cs="Times New Roman"/>
                <w:color w:val="auto"/>
                <w:sz w:val="21"/>
                <w:szCs w:val="16"/>
                <w:highlight w:val="none"/>
              </w:rPr>
              <w:t>-20</w:t>
            </w:r>
            <w:r>
              <w:rPr>
                <w:rFonts w:hint="default" w:ascii="Times New Roman" w:hAnsi="Times New Roman" w:eastAsia="宋体" w:cs="Times New Roman"/>
                <w:color w:val="auto"/>
                <w:sz w:val="21"/>
                <w:szCs w:val="16"/>
                <w:highlight w:val="none"/>
                <w:lang w:val="en-US" w:eastAsia="zh-CN"/>
              </w:rPr>
              <w:t>20</w:t>
            </w:r>
            <w:r>
              <w:rPr>
                <w:rFonts w:hint="default" w:ascii="Times New Roman" w:hAnsi="Times New Roman" w:eastAsia="宋体" w:cs="Times New Roman"/>
                <w:color w:val="auto"/>
                <w:sz w:val="21"/>
                <w:szCs w:val="16"/>
                <w:highlight w:val="none"/>
              </w:rPr>
              <w:t>）</w:t>
            </w:r>
            <w:r>
              <w:rPr>
                <w:rFonts w:hint="default" w:ascii="Times New Roman" w:hAnsi="Times New Roman" w:cs="Times New Roman"/>
                <w:color w:val="auto"/>
                <w:szCs w:val="21"/>
                <w:highlight w:val="none"/>
              </w:rPr>
              <w:t>。</w:t>
            </w:r>
          </w:p>
          <w:p w14:paraId="6BB33B8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2" w:firstLineChars="200"/>
              <w:textAlignment w:val="auto"/>
              <w:rPr>
                <w:rFonts w:hint="default"/>
                <w:color w:val="000000"/>
                <w:sz w:val="21"/>
                <w:szCs w:val="21"/>
                <w:lang w:val="en-US" w:eastAsia="zh-CN"/>
              </w:rPr>
            </w:pPr>
            <w:r>
              <w:rPr>
                <w:rFonts w:hint="eastAsia"/>
                <w:b/>
                <w:bCs/>
                <w:color w:val="0000FF"/>
                <w:sz w:val="21"/>
                <w:szCs w:val="21"/>
                <w:lang w:val="en-US" w:eastAsia="zh-CN"/>
              </w:rPr>
              <w:t>1.4 卫生防护距离计算</w:t>
            </w:r>
          </w:p>
          <w:p w14:paraId="5D72B6CE">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根据《大气有害物质无组织排放卫生防护距离推导技术导则》（GB/T39499-2020）的有关要求计算本项目卫生防护距离。</w:t>
            </w:r>
          </w:p>
          <w:p w14:paraId="67E9264E">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（1）行业主要特征大气有害物质</w:t>
            </w:r>
          </w:p>
          <w:p w14:paraId="6061043C">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在选取特征大气有害物质时，应首先考虑其对人体健康损害毒性特点，并根据目标行业企业的产品产量及其原辅材料、工艺特征、中间产物、产排污特点等具体情况，确定单个大气有害物质的无组织排放量及等标排放量（</w:t>
            </w:r>
            <w:r>
              <w:rPr>
                <w:rFonts w:hint="eastAsia" w:ascii="Times New Roman" w:hAnsi="Times New Roman"/>
                <w:i/>
                <w:iCs/>
                <w:color w:val="auto"/>
                <w:szCs w:val="21"/>
              </w:rPr>
              <w:t>Q</w:t>
            </w:r>
            <w:r>
              <w:rPr>
                <w:rFonts w:hint="eastAsia" w:ascii="Times New Roman" w:hAnsi="Times New Roman"/>
                <w:i/>
                <w:iCs/>
                <w:color w:val="auto"/>
                <w:szCs w:val="21"/>
                <w:vertAlign w:val="subscript"/>
              </w:rPr>
              <w:t>c</w:t>
            </w:r>
            <w:r>
              <w:rPr>
                <w:rFonts w:ascii="Times New Roman" w:hAnsi="Times New Roman"/>
                <w:color w:val="auto"/>
                <w:szCs w:val="21"/>
              </w:rPr>
              <w:t>/</w:t>
            </w:r>
            <w:r>
              <w:rPr>
                <w:rFonts w:hint="eastAsia" w:ascii="Times New Roman" w:hAnsi="Times New Roman"/>
                <w:i/>
                <w:iCs/>
                <w:color w:val="auto"/>
                <w:szCs w:val="21"/>
              </w:rPr>
              <w:t>C</w:t>
            </w:r>
            <w:r>
              <w:rPr>
                <w:rFonts w:ascii="Times New Roman" w:hAnsi="Times New Roman"/>
                <w:i/>
                <w:iCs/>
                <w:color w:val="auto"/>
                <w:szCs w:val="21"/>
                <w:vertAlign w:val="subscript"/>
              </w:rPr>
              <w:t>m</w:t>
            </w:r>
            <w:r>
              <w:rPr>
                <w:rFonts w:hint="eastAsia" w:ascii="Times New Roman" w:hAnsi="Times New Roman"/>
                <w:color w:val="auto"/>
                <w:szCs w:val="21"/>
              </w:rPr>
              <w:t>），最终确定卫生防护距离相关的主要特征大气有害物质1种~2种。</w:t>
            </w:r>
          </w:p>
          <w:p w14:paraId="5AA19661">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p>
          <w:p w14:paraId="401BB0EF">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（2）卫生防护距离初值</w:t>
            </w:r>
          </w:p>
          <w:p w14:paraId="7E8A988C">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卫生防护距离初值计算公式如下：</w:t>
            </w:r>
          </w:p>
          <w:p w14:paraId="5E20CF08">
            <w:pPr>
              <w:pageBreakBefore w:val="0"/>
              <w:widowControl/>
              <w:kinsoku/>
              <w:wordWrap/>
              <w:overflowPunct/>
              <w:topLinePunct w:val="0"/>
              <w:bidi w:val="0"/>
              <w:snapToGrid w:val="0"/>
              <w:spacing w:line="360" w:lineRule="auto"/>
              <w:jc w:val="center"/>
              <w:rPr>
                <w:rFonts w:ascii="Times New Roman" w:hAnsi="Times New Roman"/>
                <w:color w:val="auto"/>
                <w:szCs w:val="21"/>
              </w:rPr>
            </w:pPr>
            <w:r>
              <w:rPr>
                <w:rFonts w:ascii="Times New Roman" w:hAnsi="Times New Roman"/>
                <w:color w:val="auto"/>
                <w:position w:val="-30"/>
                <w:szCs w:val="21"/>
              </w:rPr>
              <w:object>
                <v:shape id="_x0000_i1025" o:spt="75" type="#_x0000_t75" style="height:36.6pt;width:147.2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p w14:paraId="73A13A7F">
            <w:pPr>
              <w:pageBreakBefore w:val="0"/>
              <w:widowControl/>
              <w:kinsoku/>
              <w:wordWrap/>
              <w:overflowPunct/>
              <w:topLinePunct w:val="0"/>
              <w:bidi w:val="0"/>
              <w:snapToGrid w:val="0"/>
              <w:spacing w:line="360" w:lineRule="auto"/>
              <w:ind w:firstLine="420" w:firstLineChars="200"/>
              <w:rPr>
                <w:rFonts w:hint="eastAsia" w:ascii="Times New Roman" w:hAnsi="Times New Roman"/>
                <w:color w:val="auto"/>
                <w:szCs w:val="21"/>
              </w:rPr>
            </w:pPr>
            <w:r>
              <w:rPr>
                <w:rFonts w:ascii="Times New Roman" w:hAnsi="Times New Roman"/>
                <w:color w:val="auto"/>
                <w:kern w:val="0"/>
                <w:szCs w:val="21"/>
                <w:lang w:bidi="ar"/>
              </w:rPr>
              <w:t>式中：C</w:t>
            </w:r>
            <w:r>
              <w:rPr>
                <w:rFonts w:ascii="Times New Roman" w:hAnsi="Times New Roman"/>
                <w:color w:val="auto"/>
                <w:kern w:val="0"/>
                <w:szCs w:val="21"/>
                <w:vertAlign w:val="subscript"/>
                <w:lang w:bidi="ar"/>
              </w:rPr>
              <w:t>m</w:t>
            </w:r>
            <w:r>
              <w:rPr>
                <w:rFonts w:hint="eastAsia" w:ascii="Times New Roman" w:hAnsi="Times New Roman"/>
                <w:color w:val="auto"/>
                <w:szCs w:val="21"/>
              </w:rPr>
              <w:t>——大气有害物质环境空气质量的标准限值，单位为毫克每立方米（mg/m</w:t>
            </w:r>
            <w:r>
              <w:rPr>
                <w:rFonts w:hint="eastAsia" w:ascii="Times New Roman" w:hAnsi="Times New Roman"/>
                <w:color w:val="auto"/>
                <w:szCs w:val="21"/>
                <w:vertAlign w:val="superscript"/>
              </w:rPr>
              <w:t>3</w:t>
            </w:r>
            <w:r>
              <w:rPr>
                <w:rFonts w:hint="eastAsia" w:ascii="Times New Roman" w:hAnsi="Times New Roman"/>
                <w:color w:val="auto"/>
                <w:szCs w:val="21"/>
              </w:rPr>
              <w:t>）；</w:t>
            </w:r>
          </w:p>
          <w:p w14:paraId="0C7B0957">
            <w:pPr>
              <w:pageBreakBefore w:val="0"/>
              <w:widowControl/>
              <w:kinsoku/>
              <w:wordWrap/>
              <w:overflowPunct/>
              <w:topLinePunct w:val="0"/>
              <w:bidi w:val="0"/>
              <w:snapToGrid w:val="0"/>
              <w:spacing w:line="360" w:lineRule="auto"/>
              <w:ind w:firstLine="1050" w:firstLineChars="500"/>
              <w:rPr>
                <w:rFonts w:ascii="Times New Roman" w:hAnsi="Times New Roman"/>
                <w:color w:val="auto"/>
                <w:szCs w:val="21"/>
              </w:rPr>
            </w:pPr>
            <w:r>
              <w:rPr>
                <w:rFonts w:ascii="Times New Roman" w:hAnsi="Times New Roman"/>
                <w:color w:val="auto"/>
                <w:kern w:val="0"/>
                <w:szCs w:val="21"/>
                <w:lang w:bidi="ar"/>
              </w:rPr>
              <w:t>r</w:t>
            </w:r>
            <w:r>
              <w:rPr>
                <w:rFonts w:hint="eastAsia" w:ascii="Times New Roman" w:hAnsi="Times New Roman"/>
                <w:color w:val="auto"/>
                <w:szCs w:val="21"/>
              </w:rPr>
              <w:t>——大气有害物质无组织排放源所在生产单元的等效半径，单位为米（m）；</w:t>
            </w:r>
          </w:p>
          <w:p w14:paraId="7CBFCE0B">
            <w:pPr>
              <w:pageBreakBefore w:val="0"/>
              <w:widowControl/>
              <w:kinsoku/>
              <w:wordWrap/>
              <w:overflowPunct/>
              <w:topLinePunct w:val="0"/>
              <w:bidi w:val="0"/>
              <w:snapToGrid w:val="0"/>
              <w:spacing w:line="360" w:lineRule="auto"/>
              <w:ind w:firstLine="1050" w:firstLineChars="500"/>
              <w:rPr>
                <w:rFonts w:ascii="Times New Roman" w:hAnsi="Times New Roman"/>
                <w:color w:val="auto"/>
                <w:szCs w:val="21"/>
              </w:rPr>
            </w:pPr>
            <w:r>
              <w:rPr>
                <w:rFonts w:ascii="Times New Roman" w:hAnsi="Times New Roman"/>
                <w:color w:val="auto"/>
                <w:kern w:val="0"/>
                <w:szCs w:val="21"/>
                <w:lang w:bidi="ar"/>
              </w:rPr>
              <w:t>L</w:t>
            </w:r>
            <w:r>
              <w:rPr>
                <w:rFonts w:hint="eastAsia" w:ascii="Times New Roman" w:hAnsi="Times New Roman"/>
                <w:color w:val="auto"/>
                <w:szCs w:val="21"/>
              </w:rPr>
              <w:t>——大气有害物质卫生防护距离初值，单位为米（m）；</w:t>
            </w:r>
          </w:p>
          <w:p w14:paraId="21227B31">
            <w:pPr>
              <w:pageBreakBefore w:val="0"/>
              <w:widowControl/>
              <w:kinsoku/>
              <w:wordWrap/>
              <w:overflowPunct/>
              <w:topLinePunct w:val="0"/>
              <w:bidi w:val="0"/>
              <w:snapToGrid w:val="0"/>
              <w:spacing w:line="360" w:lineRule="auto"/>
              <w:ind w:firstLine="1050" w:firstLineChars="500"/>
              <w:rPr>
                <w:rFonts w:ascii="Times New Roman" w:hAnsi="Times New Roman"/>
                <w:color w:val="auto"/>
                <w:szCs w:val="21"/>
              </w:rPr>
            </w:pPr>
            <w:r>
              <w:rPr>
                <w:rFonts w:ascii="Times New Roman" w:hAnsi="Times New Roman"/>
                <w:color w:val="auto"/>
                <w:kern w:val="0"/>
                <w:szCs w:val="21"/>
                <w:lang w:bidi="ar"/>
              </w:rPr>
              <w:t>Q</w:t>
            </w:r>
            <w:r>
              <w:rPr>
                <w:rFonts w:ascii="Times New Roman" w:hAnsi="Times New Roman"/>
                <w:color w:val="auto"/>
                <w:kern w:val="0"/>
                <w:szCs w:val="21"/>
                <w:vertAlign w:val="subscript"/>
                <w:lang w:bidi="ar"/>
              </w:rPr>
              <w:t>C</w:t>
            </w:r>
            <w:r>
              <w:rPr>
                <w:rFonts w:hint="eastAsia" w:ascii="Times New Roman" w:hAnsi="Times New Roman"/>
                <w:color w:val="auto"/>
                <w:szCs w:val="21"/>
              </w:rPr>
              <w:t>——大气有害物质的无组织排放量，单位为千克每小时（kg/h）</w:t>
            </w:r>
            <w:r>
              <w:rPr>
                <w:rFonts w:ascii="Times New Roman" w:hAnsi="Times New Roman"/>
                <w:color w:val="auto"/>
                <w:kern w:val="0"/>
                <w:szCs w:val="21"/>
                <w:lang w:bidi="ar"/>
              </w:rPr>
              <w:t>；</w:t>
            </w:r>
          </w:p>
          <w:p w14:paraId="7864570F">
            <w:pPr>
              <w:pageBreakBefore w:val="0"/>
              <w:widowControl/>
              <w:kinsoku/>
              <w:wordWrap/>
              <w:overflowPunct/>
              <w:topLinePunct w:val="0"/>
              <w:bidi w:val="0"/>
              <w:snapToGrid w:val="0"/>
              <w:spacing w:line="360" w:lineRule="auto"/>
              <w:ind w:firstLine="1050" w:firstLineChars="500"/>
              <w:rPr>
                <w:rFonts w:ascii="Times New Roman" w:hAnsi="Times New Roman"/>
                <w:b/>
                <w:bCs/>
                <w:color w:val="auto"/>
                <w:kern w:val="0"/>
                <w:szCs w:val="21"/>
                <w:lang w:bidi="ar"/>
              </w:rPr>
            </w:pPr>
            <w:r>
              <w:rPr>
                <w:rFonts w:ascii="Times New Roman" w:hAnsi="Times New Roman"/>
                <w:color w:val="auto"/>
                <w:kern w:val="0"/>
                <w:szCs w:val="21"/>
                <w:lang w:bidi="ar"/>
              </w:rPr>
              <w:t>A、B、C、D</w:t>
            </w:r>
            <w:r>
              <w:rPr>
                <w:rFonts w:hint="eastAsia" w:ascii="Times New Roman" w:hAnsi="Times New Roman"/>
                <w:color w:val="auto"/>
                <w:szCs w:val="21"/>
              </w:rPr>
              <w:t>——</w:t>
            </w:r>
            <w:r>
              <w:rPr>
                <w:rFonts w:ascii="Times New Roman" w:hAnsi="Times New Roman"/>
                <w:color w:val="auto"/>
                <w:szCs w:val="21"/>
              </w:rPr>
              <w:t>卫生防护距离计算系数，无因次，根据工业企业所在地近5年平均风速及大气污染源构成类别从</w:t>
            </w:r>
            <w:r>
              <w:rPr>
                <w:rFonts w:hint="eastAsia" w:ascii="Times New Roman" w:hAnsi="Times New Roman"/>
                <w:color w:val="auto"/>
                <w:szCs w:val="21"/>
              </w:rPr>
              <w:t>下</w:t>
            </w:r>
            <w:r>
              <w:rPr>
                <w:rFonts w:ascii="Times New Roman" w:hAnsi="Times New Roman"/>
                <w:color w:val="auto"/>
                <w:szCs w:val="21"/>
              </w:rPr>
              <w:t>表查取；</w:t>
            </w:r>
          </w:p>
          <w:p w14:paraId="1AE74107">
            <w:pPr>
              <w:pageBreakBefore w:val="0"/>
              <w:widowControl/>
              <w:kinsoku/>
              <w:wordWrap/>
              <w:overflowPunct/>
              <w:topLinePunct w:val="0"/>
              <w:bidi w:val="0"/>
              <w:snapToGrid w:val="0"/>
              <w:spacing w:before="120" w:beforeLines="50"/>
              <w:jc w:val="center"/>
              <w:rPr>
                <w:rFonts w:ascii="Times New Roman" w:hAnsi="Times New Roman"/>
                <w:b/>
                <w:bCs/>
                <w:color w:val="auto"/>
                <w:kern w:val="0"/>
                <w:szCs w:val="21"/>
              </w:rPr>
            </w:pPr>
            <w:r>
              <w:rPr>
                <w:rFonts w:ascii="Times New Roman" w:hAnsi="Times New Roman"/>
                <w:b/>
                <w:bCs/>
                <w:color w:val="auto"/>
                <w:kern w:val="0"/>
                <w:szCs w:val="21"/>
                <w:lang w:bidi="ar"/>
              </w:rPr>
              <w:t>表4-</w:t>
            </w:r>
            <w:r>
              <w:rPr>
                <w:rFonts w:hint="eastAsia"/>
                <w:b/>
                <w:bCs/>
                <w:color w:val="auto"/>
                <w:kern w:val="0"/>
                <w:szCs w:val="21"/>
                <w:lang w:val="en-US" w:eastAsia="zh-CN" w:bidi="ar"/>
              </w:rPr>
              <w:t>10</w:t>
            </w:r>
            <w:r>
              <w:rPr>
                <w:rFonts w:hint="eastAsia" w:ascii="Times New Roman" w:hAnsi="Times New Roman"/>
                <w:b/>
                <w:bCs/>
                <w:color w:val="auto"/>
                <w:kern w:val="0"/>
                <w:szCs w:val="21"/>
                <w:lang w:bidi="ar"/>
              </w:rPr>
              <w:t xml:space="preserve"> </w:t>
            </w:r>
            <w:r>
              <w:rPr>
                <w:rFonts w:ascii="Times New Roman" w:hAnsi="Times New Roman"/>
                <w:b/>
                <w:bCs/>
                <w:color w:val="auto"/>
                <w:kern w:val="0"/>
                <w:szCs w:val="21"/>
                <w:lang w:bidi="ar"/>
              </w:rPr>
              <w:t>卫生防护距离计算系数表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925"/>
              <w:gridCol w:w="787"/>
              <w:gridCol w:w="589"/>
              <w:gridCol w:w="592"/>
              <w:gridCol w:w="787"/>
              <w:gridCol w:w="787"/>
              <w:gridCol w:w="794"/>
              <w:gridCol w:w="787"/>
              <w:gridCol w:w="787"/>
              <w:gridCol w:w="799"/>
            </w:tblGrid>
            <w:tr w14:paraId="74A306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restart"/>
                  <w:noWrap w:val="0"/>
                  <w:vAlign w:val="center"/>
                </w:tcPr>
                <w:p w14:paraId="0BC0B3D7">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计算系数</w:t>
                  </w:r>
                </w:p>
              </w:tc>
              <w:tc>
                <w:tcPr>
                  <w:tcW w:w="903" w:type="dxa"/>
                  <w:vMerge w:val="restart"/>
                  <w:noWrap w:val="0"/>
                  <w:vAlign w:val="center"/>
                </w:tcPr>
                <w:p w14:paraId="4EAC92E3">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5年平均风速m/s</w:t>
                  </w:r>
                </w:p>
              </w:tc>
              <w:tc>
                <w:tcPr>
                  <w:tcW w:w="6546" w:type="dxa"/>
                  <w:gridSpan w:val="9"/>
                  <w:noWrap w:val="0"/>
                  <w:vAlign w:val="center"/>
                </w:tcPr>
                <w:p w14:paraId="6412CD71">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卫生防护距离 L，m</w:t>
                  </w:r>
                </w:p>
              </w:tc>
            </w:tr>
            <w:tr w14:paraId="41BE43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continue"/>
                  <w:noWrap w:val="0"/>
                  <w:vAlign w:val="center"/>
                </w:tcPr>
                <w:p w14:paraId="26AE082D">
                  <w:pPr>
                    <w:pageBreakBefore w:val="0"/>
                    <w:kinsoku/>
                    <w:wordWrap/>
                    <w:overflowPunct/>
                    <w:topLinePunct w:val="0"/>
                    <w:bidi w:val="0"/>
                    <w:snapToGrid w:val="0"/>
                    <w:jc w:val="center"/>
                    <w:rPr>
                      <w:rFonts w:ascii="Times New Roman" w:hAnsi="Times New Roman"/>
                      <w:b/>
                      <w:bCs/>
                      <w:color w:val="auto"/>
                      <w:szCs w:val="21"/>
                    </w:rPr>
                  </w:pPr>
                </w:p>
              </w:tc>
              <w:tc>
                <w:tcPr>
                  <w:tcW w:w="903" w:type="dxa"/>
                  <w:vMerge w:val="continue"/>
                  <w:noWrap w:val="0"/>
                  <w:vAlign w:val="center"/>
                </w:tcPr>
                <w:p w14:paraId="01C65B95">
                  <w:pPr>
                    <w:pageBreakBefore w:val="0"/>
                    <w:kinsoku/>
                    <w:wordWrap/>
                    <w:overflowPunct/>
                    <w:topLinePunct w:val="0"/>
                    <w:bidi w:val="0"/>
                    <w:snapToGrid w:val="0"/>
                    <w:jc w:val="center"/>
                    <w:rPr>
                      <w:rFonts w:ascii="Times New Roman" w:hAnsi="Times New Roman"/>
                      <w:b/>
                      <w:bCs/>
                      <w:color w:val="auto"/>
                      <w:szCs w:val="21"/>
                    </w:rPr>
                  </w:pPr>
                </w:p>
              </w:tc>
              <w:tc>
                <w:tcPr>
                  <w:tcW w:w="1920" w:type="dxa"/>
                  <w:gridSpan w:val="3"/>
                  <w:noWrap w:val="0"/>
                  <w:vAlign w:val="center"/>
                </w:tcPr>
                <w:p w14:paraId="3A6937DC">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L≤1000</w:t>
                  </w:r>
                </w:p>
              </w:tc>
              <w:tc>
                <w:tcPr>
                  <w:tcW w:w="2309" w:type="dxa"/>
                  <w:gridSpan w:val="3"/>
                  <w:noWrap w:val="0"/>
                  <w:vAlign w:val="center"/>
                </w:tcPr>
                <w:p w14:paraId="75225609">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1000＜L≤2000</w:t>
                  </w:r>
                </w:p>
              </w:tc>
              <w:tc>
                <w:tcPr>
                  <w:tcW w:w="2317" w:type="dxa"/>
                  <w:gridSpan w:val="3"/>
                  <w:noWrap w:val="0"/>
                  <w:vAlign w:val="center"/>
                </w:tcPr>
                <w:p w14:paraId="20132670">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L＞2000</w:t>
                  </w:r>
                </w:p>
              </w:tc>
            </w:tr>
            <w:tr w14:paraId="76D1EE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continue"/>
                  <w:noWrap w:val="0"/>
                  <w:vAlign w:val="center"/>
                </w:tcPr>
                <w:p w14:paraId="6FAD3B99">
                  <w:pPr>
                    <w:pageBreakBefore w:val="0"/>
                    <w:kinsoku/>
                    <w:wordWrap/>
                    <w:overflowPunct/>
                    <w:topLinePunct w:val="0"/>
                    <w:bidi w:val="0"/>
                    <w:snapToGrid w:val="0"/>
                    <w:jc w:val="center"/>
                    <w:rPr>
                      <w:rFonts w:ascii="Times New Roman" w:hAnsi="Times New Roman"/>
                      <w:b/>
                      <w:bCs/>
                      <w:color w:val="auto"/>
                      <w:szCs w:val="21"/>
                    </w:rPr>
                  </w:pPr>
                </w:p>
              </w:tc>
              <w:tc>
                <w:tcPr>
                  <w:tcW w:w="903" w:type="dxa"/>
                  <w:vMerge w:val="continue"/>
                  <w:noWrap w:val="0"/>
                  <w:vAlign w:val="center"/>
                </w:tcPr>
                <w:p w14:paraId="4717B420">
                  <w:pPr>
                    <w:pageBreakBefore w:val="0"/>
                    <w:kinsoku/>
                    <w:wordWrap/>
                    <w:overflowPunct/>
                    <w:topLinePunct w:val="0"/>
                    <w:bidi w:val="0"/>
                    <w:snapToGrid w:val="0"/>
                    <w:jc w:val="center"/>
                    <w:rPr>
                      <w:rFonts w:ascii="Times New Roman" w:hAnsi="Times New Roman"/>
                      <w:b/>
                      <w:bCs/>
                      <w:color w:val="auto"/>
                      <w:szCs w:val="21"/>
                    </w:rPr>
                  </w:pPr>
                </w:p>
              </w:tc>
              <w:tc>
                <w:tcPr>
                  <w:tcW w:w="6546" w:type="dxa"/>
                  <w:gridSpan w:val="9"/>
                  <w:noWrap w:val="0"/>
                  <w:vAlign w:val="center"/>
                </w:tcPr>
                <w:p w14:paraId="74FA6ADD">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工业大气污染源构成类别</w:t>
                  </w:r>
                </w:p>
              </w:tc>
            </w:tr>
            <w:tr w14:paraId="5D9B97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continue"/>
                  <w:noWrap w:val="0"/>
                  <w:vAlign w:val="center"/>
                </w:tcPr>
                <w:p w14:paraId="47B2FB9C">
                  <w:pPr>
                    <w:pageBreakBefore w:val="0"/>
                    <w:kinsoku/>
                    <w:wordWrap/>
                    <w:overflowPunct/>
                    <w:topLinePunct w:val="0"/>
                    <w:bidi w:val="0"/>
                    <w:snapToGrid w:val="0"/>
                    <w:jc w:val="center"/>
                    <w:rPr>
                      <w:rFonts w:ascii="Times New Roman" w:hAnsi="Times New Roman"/>
                      <w:b/>
                      <w:bCs/>
                      <w:color w:val="auto"/>
                      <w:szCs w:val="21"/>
                    </w:rPr>
                  </w:pPr>
                </w:p>
              </w:tc>
              <w:tc>
                <w:tcPr>
                  <w:tcW w:w="903" w:type="dxa"/>
                  <w:vMerge w:val="continue"/>
                  <w:noWrap w:val="0"/>
                  <w:vAlign w:val="center"/>
                </w:tcPr>
                <w:p w14:paraId="5AE6DDAA">
                  <w:pPr>
                    <w:pageBreakBefore w:val="0"/>
                    <w:kinsoku/>
                    <w:wordWrap/>
                    <w:overflowPunct/>
                    <w:topLinePunct w:val="0"/>
                    <w:bidi w:val="0"/>
                    <w:snapToGrid w:val="0"/>
                    <w:jc w:val="center"/>
                    <w:rPr>
                      <w:rFonts w:ascii="Times New Roman" w:hAnsi="Times New Roman"/>
                      <w:b/>
                      <w:bCs/>
                      <w:color w:val="auto"/>
                      <w:szCs w:val="21"/>
                    </w:rPr>
                  </w:pPr>
                </w:p>
              </w:tc>
              <w:tc>
                <w:tcPr>
                  <w:tcW w:w="768" w:type="dxa"/>
                  <w:noWrap w:val="0"/>
                  <w:vAlign w:val="center"/>
                </w:tcPr>
                <w:p w14:paraId="0B2F8B66">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Ⅰ</w:t>
                  </w:r>
                </w:p>
              </w:tc>
              <w:tc>
                <w:tcPr>
                  <w:tcW w:w="575" w:type="dxa"/>
                  <w:noWrap w:val="0"/>
                  <w:vAlign w:val="center"/>
                </w:tcPr>
                <w:p w14:paraId="1B012455">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Ⅱ</w:t>
                  </w:r>
                </w:p>
              </w:tc>
              <w:tc>
                <w:tcPr>
                  <w:tcW w:w="577" w:type="dxa"/>
                  <w:noWrap w:val="0"/>
                  <w:vAlign w:val="center"/>
                </w:tcPr>
                <w:p w14:paraId="1E3E66D1">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Ⅲ</w:t>
                  </w:r>
                </w:p>
              </w:tc>
              <w:tc>
                <w:tcPr>
                  <w:tcW w:w="768" w:type="dxa"/>
                  <w:noWrap w:val="0"/>
                  <w:vAlign w:val="center"/>
                </w:tcPr>
                <w:p w14:paraId="777785F7">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Ⅰ</w:t>
                  </w:r>
                </w:p>
              </w:tc>
              <w:tc>
                <w:tcPr>
                  <w:tcW w:w="768" w:type="dxa"/>
                  <w:noWrap w:val="0"/>
                  <w:vAlign w:val="center"/>
                </w:tcPr>
                <w:p w14:paraId="338B1ECB">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Ⅱ</w:t>
                  </w:r>
                </w:p>
              </w:tc>
              <w:tc>
                <w:tcPr>
                  <w:tcW w:w="773" w:type="dxa"/>
                  <w:noWrap w:val="0"/>
                  <w:vAlign w:val="center"/>
                </w:tcPr>
                <w:p w14:paraId="21C07031">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Ⅲ</w:t>
                  </w:r>
                </w:p>
              </w:tc>
              <w:tc>
                <w:tcPr>
                  <w:tcW w:w="768" w:type="dxa"/>
                  <w:noWrap w:val="0"/>
                  <w:vAlign w:val="center"/>
                </w:tcPr>
                <w:p w14:paraId="2FB2F837">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Ⅰ</w:t>
                  </w:r>
                </w:p>
              </w:tc>
              <w:tc>
                <w:tcPr>
                  <w:tcW w:w="769" w:type="dxa"/>
                  <w:noWrap w:val="0"/>
                  <w:vAlign w:val="center"/>
                </w:tcPr>
                <w:p w14:paraId="67BCFC43">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Ⅱ</w:t>
                  </w:r>
                </w:p>
              </w:tc>
              <w:tc>
                <w:tcPr>
                  <w:tcW w:w="780" w:type="dxa"/>
                  <w:noWrap w:val="0"/>
                  <w:vAlign w:val="center"/>
                </w:tcPr>
                <w:p w14:paraId="6F23B63F">
                  <w:pPr>
                    <w:pageBreakBefore w:val="0"/>
                    <w:widowControl/>
                    <w:kinsoku/>
                    <w:wordWrap/>
                    <w:overflowPunct/>
                    <w:topLinePunct w:val="0"/>
                    <w:bidi w:val="0"/>
                    <w:snapToGrid w:val="0"/>
                    <w:jc w:val="center"/>
                    <w:textAlignment w:val="center"/>
                    <w:rPr>
                      <w:rFonts w:ascii="Times New Roman" w:hAnsi="Times New Roman"/>
                      <w:b/>
                      <w:bCs/>
                      <w:color w:val="auto"/>
                      <w:szCs w:val="21"/>
                    </w:rPr>
                  </w:pPr>
                  <w:r>
                    <w:rPr>
                      <w:rFonts w:ascii="Times New Roman" w:hAnsi="Times New Roman"/>
                      <w:b/>
                      <w:bCs/>
                      <w:color w:val="auto"/>
                      <w:szCs w:val="21"/>
                    </w:rPr>
                    <w:t>Ⅲ</w:t>
                  </w:r>
                </w:p>
              </w:tc>
            </w:tr>
            <w:tr w14:paraId="677C6C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restart"/>
                  <w:noWrap w:val="0"/>
                  <w:vAlign w:val="center"/>
                </w:tcPr>
                <w:p w14:paraId="19972CBE">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A</w:t>
                  </w:r>
                </w:p>
              </w:tc>
              <w:tc>
                <w:tcPr>
                  <w:tcW w:w="903" w:type="dxa"/>
                  <w:noWrap w:val="0"/>
                  <w:vAlign w:val="center"/>
                </w:tcPr>
                <w:p w14:paraId="444B550B">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&lt;2</w:t>
                  </w:r>
                </w:p>
              </w:tc>
              <w:tc>
                <w:tcPr>
                  <w:tcW w:w="768" w:type="dxa"/>
                  <w:noWrap w:val="0"/>
                  <w:vAlign w:val="center"/>
                </w:tcPr>
                <w:p w14:paraId="5BB6C4CF">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400</w:t>
                  </w:r>
                </w:p>
              </w:tc>
              <w:tc>
                <w:tcPr>
                  <w:tcW w:w="575" w:type="dxa"/>
                  <w:noWrap w:val="0"/>
                  <w:vAlign w:val="center"/>
                </w:tcPr>
                <w:p w14:paraId="1707C566">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400</w:t>
                  </w:r>
                </w:p>
              </w:tc>
              <w:tc>
                <w:tcPr>
                  <w:tcW w:w="577" w:type="dxa"/>
                  <w:noWrap w:val="0"/>
                  <w:vAlign w:val="center"/>
                </w:tcPr>
                <w:p w14:paraId="14F3D173">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400</w:t>
                  </w:r>
                </w:p>
              </w:tc>
              <w:tc>
                <w:tcPr>
                  <w:tcW w:w="768" w:type="dxa"/>
                  <w:noWrap w:val="0"/>
                  <w:vAlign w:val="center"/>
                </w:tcPr>
                <w:p w14:paraId="65C13DFC">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400</w:t>
                  </w:r>
                </w:p>
              </w:tc>
              <w:tc>
                <w:tcPr>
                  <w:tcW w:w="768" w:type="dxa"/>
                  <w:noWrap w:val="0"/>
                  <w:vAlign w:val="center"/>
                </w:tcPr>
                <w:p w14:paraId="3B01521C">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400</w:t>
                  </w:r>
                </w:p>
              </w:tc>
              <w:tc>
                <w:tcPr>
                  <w:tcW w:w="773" w:type="dxa"/>
                  <w:noWrap w:val="0"/>
                  <w:vAlign w:val="center"/>
                </w:tcPr>
                <w:p w14:paraId="6CC98A67">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400</w:t>
                  </w:r>
                </w:p>
              </w:tc>
              <w:tc>
                <w:tcPr>
                  <w:tcW w:w="768" w:type="dxa"/>
                  <w:noWrap w:val="0"/>
                  <w:vAlign w:val="center"/>
                </w:tcPr>
                <w:p w14:paraId="01D086D4">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80</w:t>
                  </w:r>
                </w:p>
              </w:tc>
              <w:tc>
                <w:tcPr>
                  <w:tcW w:w="769" w:type="dxa"/>
                  <w:noWrap w:val="0"/>
                  <w:vAlign w:val="center"/>
                </w:tcPr>
                <w:p w14:paraId="2F78C565">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80</w:t>
                  </w:r>
                </w:p>
              </w:tc>
              <w:tc>
                <w:tcPr>
                  <w:tcW w:w="780" w:type="dxa"/>
                  <w:noWrap w:val="0"/>
                  <w:vAlign w:val="center"/>
                </w:tcPr>
                <w:p w14:paraId="2E7B7EC3">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80</w:t>
                  </w:r>
                </w:p>
              </w:tc>
            </w:tr>
            <w:tr w14:paraId="7FE02D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continue"/>
                  <w:noWrap w:val="0"/>
                  <w:vAlign w:val="center"/>
                </w:tcPr>
                <w:p w14:paraId="4258B1A0">
                  <w:pPr>
                    <w:pageBreakBefore w:val="0"/>
                    <w:kinsoku/>
                    <w:wordWrap/>
                    <w:overflowPunct/>
                    <w:topLinePunct w:val="0"/>
                    <w:bidi w:val="0"/>
                    <w:snapToGrid w:val="0"/>
                    <w:jc w:val="center"/>
                    <w:rPr>
                      <w:rFonts w:ascii="Times New Roman" w:hAnsi="Times New Roman"/>
                      <w:color w:val="auto"/>
                      <w:szCs w:val="21"/>
                    </w:rPr>
                  </w:pPr>
                </w:p>
              </w:tc>
              <w:tc>
                <w:tcPr>
                  <w:tcW w:w="903" w:type="dxa"/>
                  <w:noWrap w:val="0"/>
                  <w:vAlign w:val="center"/>
                </w:tcPr>
                <w:p w14:paraId="3BFF9375">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2~4</w:t>
                  </w:r>
                </w:p>
              </w:tc>
              <w:tc>
                <w:tcPr>
                  <w:tcW w:w="768" w:type="dxa"/>
                  <w:noWrap w:val="0"/>
                  <w:vAlign w:val="center"/>
                </w:tcPr>
                <w:p w14:paraId="07EDBF24">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700</w:t>
                  </w:r>
                </w:p>
              </w:tc>
              <w:tc>
                <w:tcPr>
                  <w:tcW w:w="575" w:type="dxa"/>
                  <w:noWrap w:val="0"/>
                  <w:vAlign w:val="center"/>
                </w:tcPr>
                <w:p w14:paraId="56DC8555">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470</w:t>
                  </w:r>
                </w:p>
              </w:tc>
              <w:tc>
                <w:tcPr>
                  <w:tcW w:w="577" w:type="dxa"/>
                  <w:noWrap w:val="0"/>
                  <w:vAlign w:val="center"/>
                </w:tcPr>
                <w:p w14:paraId="16BEDA73">
                  <w:pPr>
                    <w:pageBreakBefore w:val="0"/>
                    <w:kinsoku/>
                    <w:wordWrap/>
                    <w:overflowPunct/>
                    <w:topLinePunct w:val="0"/>
                    <w:bidi w:val="0"/>
                    <w:snapToGrid w:val="0"/>
                    <w:jc w:val="center"/>
                    <w:rPr>
                      <w:rFonts w:ascii="Times New Roman" w:hAnsi="Times New Roman"/>
                      <w:color w:val="auto"/>
                      <w:szCs w:val="21"/>
                    </w:rPr>
                  </w:pPr>
                  <w:r>
                    <w:rPr>
                      <w:rFonts w:hint="eastAsia" w:ascii="Times New Roman" w:hAnsi="Times New Roman"/>
                      <w:color w:val="auto"/>
                      <w:szCs w:val="21"/>
                    </w:rPr>
                    <w:t>350</w:t>
                  </w:r>
                </w:p>
              </w:tc>
              <w:tc>
                <w:tcPr>
                  <w:tcW w:w="768" w:type="dxa"/>
                  <w:noWrap w:val="0"/>
                  <w:vAlign w:val="center"/>
                </w:tcPr>
                <w:p w14:paraId="114858EB">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700</w:t>
                  </w:r>
                </w:p>
              </w:tc>
              <w:tc>
                <w:tcPr>
                  <w:tcW w:w="768" w:type="dxa"/>
                  <w:noWrap w:val="0"/>
                  <w:vAlign w:val="center"/>
                </w:tcPr>
                <w:p w14:paraId="43334EED">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470</w:t>
                  </w:r>
                </w:p>
              </w:tc>
              <w:tc>
                <w:tcPr>
                  <w:tcW w:w="773" w:type="dxa"/>
                  <w:noWrap w:val="0"/>
                  <w:vAlign w:val="center"/>
                </w:tcPr>
                <w:p w14:paraId="33DCF2F9">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350</w:t>
                  </w:r>
                </w:p>
              </w:tc>
              <w:tc>
                <w:tcPr>
                  <w:tcW w:w="768" w:type="dxa"/>
                  <w:noWrap w:val="0"/>
                  <w:vAlign w:val="center"/>
                </w:tcPr>
                <w:p w14:paraId="4C52740E">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380</w:t>
                  </w:r>
                </w:p>
              </w:tc>
              <w:tc>
                <w:tcPr>
                  <w:tcW w:w="769" w:type="dxa"/>
                  <w:noWrap w:val="0"/>
                  <w:vAlign w:val="center"/>
                </w:tcPr>
                <w:p w14:paraId="0CA5812A">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250</w:t>
                  </w:r>
                </w:p>
              </w:tc>
              <w:tc>
                <w:tcPr>
                  <w:tcW w:w="780" w:type="dxa"/>
                  <w:noWrap w:val="0"/>
                  <w:vAlign w:val="center"/>
                </w:tcPr>
                <w:p w14:paraId="6DC5B0B6">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190</w:t>
                  </w:r>
                </w:p>
              </w:tc>
            </w:tr>
            <w:tr w14:paraId="349429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continue"/>
                  <w:noWrap w:val="0"/>
                  <w:vAlign w:val="center"/>
                </w:tcPr>
                <w:p w14:paraId="670AEF3D">
                  <w:pPr>
                    <w:pageBreakBefore w:val="0"/>
                    <w:kinsoku/>
                    <w:wordWrap/>
                    <w:overflowPunct/>
                    <w:topLinePunct w:val="0"/>
                    <w:bidi w:val="0"/>
                    <w:snapToGrid w:val="0"/>
                    <w:jc w:val="center"/>
                    <w:rPr>
                      <w:rFonts w:ascii="Times New Roman" w:hAnsi="Times New Roman"/>
                      <w:color w:val="auto"/>
                      <w:szCs w:val="21"/>
                    </w:rPr>
                  </w:pPr>
                </w:p>
              </w:tc>
              <w:tc>
                <w:tcPr>
                  <w:tcW w:w="903" w:type="dxa"/>
                  <w:noWrap w:val="0"/>
                  <w:vAlign w:val="center"/>
                </w:tcPr>
                <w:p w14:paraId="0D4E558F">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&lt;4</w:t>
                  </w:r>
                </w:p>
              </w:tc>
              <w:tc>
                <w:tcPr>
                  <w:tcW w:w="768" w:type="dxa"/>
                  <w:noWrap w:val="0"/>
                  <w:vAlign w:val="center"/>
                </w:tcPr>
                <w:p w14:paraId="2A832645">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530</w:t>
                  </w:r>
                </w:p>
              </w:tc>
              <w:tc>
                <w:tcPr>
                  <w:tcW w:w="575" w:type="dxa"/>
                  <w:noWrap w:val="0"/>
                  <w:vAlign w:val="center"/>
                </w:tcPr>
                <w:p w14:paraId="62834E1B">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350</w:t>
                  </w:r>
                </w:p>
              </w:tc>
              <w:tc>
                <w:tcPr>
                  <w:tcW w:w="577" w:type="dxa"/>
                  <w:noWrap w:val="0"/>
                  <w:vAlign w:val="center"/>
                </w:tcPr>
                <w:p w14:paraId="6DEFE591">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260</w:t>
                  </w:r>
                </w:p>
              </w:tc>
              <w:tc>
                <w:tcPr>
                  <w:tcW w:w="768" w:type="dxa"/>
                  <w:noWrap w:val="0"/>
                  <w:vAlign w:val="center"/>
                </w:tcPr>
                <w:p w14:paraId="3EB02081">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530</w:t>
                  </w:r>
                </w:p>
              </w:tc>
              <w:tc>
                <w:tcPr>
                  <w:tcW w:w="768" w:type="dxa"/>
                  <w:noWrap w:val="0"/>
                  <w:vAlign w:val="center"/>
                </w:tcPr>
                <w:p w14:paraId="5B269686">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350</w:t>
                  </w:r>
                </w:p>
              </w:tc>
              <w:tc>
                <w:tcPr>
                  <w:tcW w:w="773" w:type="dxa"/>
                  <w:noWrap w:val="0"/>
                  <w:vAlign w:val="center"/>
                </w:tcPr>
                <w:p w14:paraId="5A4CCCEF">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260</w:t>
                  </w:r>
                </w:p>
              </w:tc>
              <w:tc>
                <w:tcPr>
                  <w:tcW w:w="768" w:type="dxa"/>
                  <w:noWrap w:val="0"/>
                  <w:vAlign w:val="center"/>
                </w:tcPr>
                <w:p w14:paraId="29FE973F">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290</w:t>
                  </w:r>
                </w:p>
              </w:tc>
              <w:tc>
                <w:tcPr>
                  <w:tcW w:w="769" w:type="dxa"/>
                  <w:noWrap w:val="0"/>
                  <w:vAlign w:val="center"/>
                </w:tcPr>
                <w:p w14:paraId="1045738E">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190</w:t>
                  </w:r>
                </w:p>
              </w:tc>
              <w:tc>
                <w:tcPr>
                  <w:tcW w:w="780" w:type="dxa"/>
                  <w:noWrap w:val="0"/>
                  <w:vAlign w:val="center"/>
                </w:tcPr>
                <w:p w14:paraId="15FAD49D">
                  <w:pPr>
                    <w:pageBreakBefore w:val="0"/>
                    <w:kinsoku/>
                    <w:wordWrap/>
                    <w:overflowPunct/>
                    <w:topLinePunct w:val="0"/>
                    <w:bidi w:val="0"/>
                    <w:snapToGrid w:val="0"/>
                    <w:jc w:val="center"/>
                    <w:rPr>
                      <w:rFonts w:ascii="Times New Roman" w:hAnsi="Times New Roman"/>
                      <w:color w:val="auto"/>
                      <w:szCs w:val="21"/>
                    </w:rPr>
                  </w:pPr>
                  <w:r>
                    <w:rPr>
                      <w:rFonts w:hint="eastAsia" w:ascii="Times New Roman" w:hAnsi="Times New Roman"/>
                      <w:color w:val="auto"/>
                      <w:szCs w:val="21"/>
                    </w:rPr>
                    <w:t>110</w:t>
                  </w:r>
                </w:p>
              </w:tc>
            </w:tr>
            <w:tr w14:paraId="1B592C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33" w:type="dxa"/>
                  <w:vMerge w:val="restart"/>
                  <w:noWrap w:val="0"/>
                  <w:vAlign w:val="center"/>
                </w:tcPr>
                <w:p w14:paraId="472CA8BA">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B</w:t>
                  </w:r>
                </w:p>
              </w:tc>
              <w:tc>
                <w:tcPr>
                  <w:tcW w:w="903" w:type="dxa"/>
                  <w:noWrap w:val="0"/>
                  <w:vAlign w:val="center"/>
                </w:tcPr>
                <w:p w14:paraId="106CE1F9">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&lt;2</w:t>
                  </w:r>
                </w:p>
              </w:tc>
              <w:tc>
                <w:tcPr>
                  <w:tcW w:w="1920" w:type="dxa"/>
                  <w:gridSpan w:val="3"/>
                  <w:noWrap w:val="0"/>
                  <w:vAlign w:val="center"/>
                </w:tcPr>
                <w:p w14:paraId="5DB1D380">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0.01</w:t>
                  </w:r>
                </w:p>
              </w:tc>
              <w:tc>
                <w:tcPr>
                  <w:tcW w:w="2311" w:type="dxa"/>
                  <w:gridSpan w:val="3"/>
                  <w:noWrap w:val="0"/>
                  <w:vAlign w:val="center"/>
                </w:tcPr>
                <w:p w14:paraId="759DA677">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0.015</w:t>
                  </w:r>
                </w:p>
              </w:tc>
              <w:tc>
                <w:tcPr>
                  <w:tcW w:w="2315" w:type="dxa"/>
                  <w:gridSpan w:val="3"/>
                  <w:noWrap w:val="0"/>
                  <w:vAlign w:val="center"/>
                </w:tcPr>
                <w:p w14:paraId="7B4BC81D">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0.015</w:t>
                  </w:r>
                </w:p>
              </w:tc>
            </w:tr>
            <w:tr w14:paraId="4C3C5D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continue"/>
                  <w:noWrap w:val="0"/>
                  <w:vAlign w:val="center"/>
                </w:tcPr>
                <w:p w14:paraId="61DF2182">
                  <w:pPr>
                    <w:pageBreakBefore w:val="0"/>
                    <w:kinsoku/>
                    <w:wordWrap/>
                    <w:overflowPunct/>
                    <w:topLinePunct w:val="0"/>
                    <w:bidi w:val="0"/>
                    <w:snapToGrid w:val="0"/>
                    <w:jc w:val="center"/>
                    <w:rPr>
                      <w:rFonts w:ascii="Times New Roman" w:hAnsi="Times New Roman"/>
                      <w:color w:val="auto"/>
                      <w:szCs w:val="21"/>
                    </w:rPr>
                  </w:pPr>
                </w:p>
              </w:tc>
              <w:tc>
                <w:tcPr>
                  <w:tcW w:w="903" w:type="dxa"/>
                  <w:noWrap w:val="0"/>
                  <w:vAlign w:val="center"/>
                </w:tcPr>
                <w:p w14:paraId="088807A1">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&gt;2</w:t>
                  </w:r>
                </w:p>
              </w:tc>
              <w:tc>
                <w:tcPr>
                  <w:tcW w:w="1920" w:type="dxa"/>
                  <w:gridSpan w:val="3"/>
                  <w:noWrap w:val="0"/>
                  <w:vAlign w:val="center"/>
                </w:tcPr>
                <w:p w14:paraId="2267DA18">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0.021</w:t>
                  </w:r>
                </w:p>
              </w:tc>
              <w:tc>
                <w:tcPr>
                  <w:tcW w:w="2311" w:type="dxa"/>
                  <w:gridSpan w:val="3"/>
                  <w:noWrap w:val="0"/>
                  <w:vAlign w:val="center"/>
                </w:tcPr>
                <w:p w14:paraId="590E8BF6">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0.036</w:t>
                  </w:r>
                </w:p>
              </w:tc>
              <w:tc>
                <w:tcPr>
                  <w:tcW w:w="2315" w:type="dxa"/>
                  <w:gridSpan w:val="3"/>
                  <w:noWrap w:val="0"/>
                  <w:vAlign w:val="center"/>
                </w:tcPr>
                <w:p w14:paraId="71D453A2">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0.036</w:t>
                  </w:r>
                </w:p>
              </w:tc>
            </w:tr>
            <w:tr w14:paraId="1C80CE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restart"/>
                  <w:noWrap w:val="0"/>
                  <w:vAlign w:val="center"/>
                </w:tcPr>
                <w:p w14:paraId="3A545254">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C</w:t>
                  </w:r>
                </w:p>
              </w:tc>
              <w:tc>
                <w:tcPr>
                  <w:tcW w:w="903" w:type="dxa"/>
                  <w:noWrap w:val="0"/>
                  <w:vAlign w:val="center"/>
                </w:tcPr>
                <w:p w14:paraId="5EA4A2A2">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&lt;2</w:t>
                  </w:r>
                </w:p>
              </w:tc>
              <w:tc>
                <w:tcPr>
                  <w:tcW w:w="1920" w:type="dxa"/>
                  <w:gridSpan w:val="3"/>
                  <w:noWrap w:val="0"/>
                  <w:vAlign w:val="center"/>
                </w:tcPr>
                <w:p w14:paraId="1FDC6A33">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1.85</w:t>
                  </w:r>
                </w:p>
              </w:tc>
              <w:tc>
                <w:tcPr>
                  <w:tcW w:w="2311" w:type="dxa"/>
                  <w:gridSpan w:val="3"/>
                  <w:noWrap w:val="0"/>
                  <w:vAlign w:val="center"/>
                </w:tcPr>
                <w:p w14:paraId="7F5472EE">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1.79</w:t>
                  </w:r>
                </w:p>
              </w:tc>
              <w:tc>
                <w:tcPr>
                  <w:tcW w:w="2315" w:type="dxa"/>
                  <w:gridSpan w:val="3"/>
                  <w:noWrap w:val="0"/>
                  <w:vAlign w:val="center"/>
                </w:tcPr>
                <w:p w14:paraId="01624E3C">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1.79</w:t>
                  </w:r>
                </w:p>
              </w:tc>
            </w:tr>
            <w:tr w14:paraId="650B00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continue"/>
                  <w:noWrap w:val="0"/>
                  <w:vAlign w:val="center"/>
                </w:tcPr>
                <w:p w14:paraId="4DB7198D">
                  <w:pPr>
                    <w:pageBreakBefore w:val="0"/>
                    <w:kinsoku/>
                    <w:wordWrap/>
                    <w:overflowPunct/>
                    <w:topLinePunct w:val="0"/>
                    <w:bidi w:val="0"/>
                    <w:snapToGrid w:val="0"/>
                    <w:jc w:val="center"/>
                    <w:rPr>
                      <w:rFonts w:ascii="Times New Roman" w:hAnsi="Times New Roman"/>
                      <w:color w:val="auto"/>
                      <w:szCs w:val="21"/>
                    </w:rPr>
                  </w:pPr>
                </w:p>
              </w:tc>
              <w:tc>
                <w:tcPr>
                  <w:tcW w:w="903" w:type="dxa"/>
                  <w:noWrap w:val="0"/>
                  <w:vAlign w:val="center"/>
                </w:tcPr>
                <w:p w14:paraId="7B00D054">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&gt;2</w:t>
                  </w:r>
                </w:p>
              </w:tc>
              <w:tc>
                <w:tcPr>
                  <w:tcW w:w="1920" w:type="dxa"/>
                  <w:gridSpan w:val="3"/>
                  <w:noWrap w:val="0"/>
                  <w:vAlign w:val="center"/>
                </w:tcPr>
                <w:p w14:paraId="3235148F">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1.85</w:t>
                  </w:r>
                </w:p>
              </w:tc>
              <w:tc>
                <w:tcPr>
                  <w:tcW w:w="2311" w:type="dxa"/>
                  <w:gridSpan w:val="3"/>
                  <w:noWrap w:val="0"/>
                  <w:vAlign w:val="center"/>
                </w:tcPr>
                <w:p w14:paraId="6E066B4E">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1.77</w:t>
                  </w:r>
                </w:p>
              </w:tc>
              <w:tc>
                <w:tcPr>
                  <w:tcW w:w="2315" w:type="dxa"/>
                  <w:gridSpan w:val="3"/>
                  <w:noWrap w:val="0"/>
                  <w:vAlign w:val="center"/>
                </w:tcPr>
                <w:p w14:paraId="74FE48E6">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1.77</w:t>
                  </w:r>
                </w:p>
              </w:tc>
            </w:tr>
            <w:tr w14:paraId="30940F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restart"/>
                  <w:noWrap w:val="0"/>
                  <w:vAlign w:val="center"/>
                </w:tcPr>
                <w:p w14:paraId="69F7672D">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D</w:t>
                  </w:r>
                </w:p>
              </w:tc>
              <w:tc>
                <w:tcPr>
                  <w:tcW w:w="903" w:type="dxa"/>
                  <w:noWrap w:val="0"/>
                  <w:vAlign w:val="center"/>
                </w:tcPr>
                <w:p w14:paraId="03CE0590">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&lt;2</w:t>
                  </w:r>
                </w:p>
              </w:tc>
              <w:tc>
                <w:tcPr>
                  <w:tcW w:w="1920" w:type="dxa"/>
                  <w:gridSpan w:val="3"/>
                  <w:noWrap w:val="0"/>
                  <w:vAlign w:val="center"/>
                </w:tcPr>
                <w:p w14:paraId="3D8E4B62">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0.78</w:t>
                  </w:r>
                </w:p>
              </w:tc>
              <w:tc>
                <w:tcPr>
                  <w:tcW w:w="2311" w:type="dxa"/>
                  <w:gridSpan w:val="3"/>
                  <w:noWrap w:val="0"/>
                  <w:vAlign w:val="center"/>
                </w:tcPr>
                <w:p w14:paraId="00E60404">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0.78</w:t>
                  </w:r>
                </w:p>
              </w:tc>
              <w:tc>
                <w:tcPr>
                  <w:tcW w:w="2315" w:type="dxa"/>
                  <w:gridSpan w:val="3"/>
                  <w:noWrap w:val="0"/>
                  <w:vAlign w:val="center"/>
                </w:tcPr>
                <w:p w14:paraId="30E04CE3">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0.57</w:t>
                  </w:r>
                </w:p>
              </w:tc>
            </w:tr>
            <w:tr w14:paraId="0E3E33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3" w:type="dxa"/>
                  <w:vMerge w:val="continue"/>
                  <w:noWrap w:val="0"/>
                  <w:vAlign w:val="center"/>
                </w:tcPr>
                <w:p w14:paraId="2CF94C7F">
                  <w:pPr>
                    <w:pageBreakBefore w:val="0"/>
                    <w:kinsoku/>
                    <w:wordWrap/>
                    <w:overflowPunct/>
                    <w:topLinePunct w:val="0"/>
                    <w:bidi w:val="0"/>
                    <w:snapToGrid w:val="0"/>
                    <w:jc w:val="center"/>
                    <w:rPr>
                      <w:rFonts w:ascii="Times New Roman" w:hAnsi="Times New Roman"/>
                      <w:color w:val="auto"/>
                      <w:szCs w:val="21"/>
                    </w:rPr>
                  </w:pPr>
                </w:p>
              </w:tc>
              <w:tc>
                <w:tcPr>
                  <w:tcW w:w="903" w:type="dxa"/>
                  <w:noWrap w:val="0"/>
                  <w:vAlign w:val="center"/>
                </w:tcPr>
                <w:p w14:paraId="1EB48C3E">
                  <w:pPr>
                    <w:pageBreakBefore w:val="0"/>
                    <w:widowControl/>
                    <w:kinsoku/>
                    <w:wordWrap/>
                    <w:overflowPunct/>
                    <w:topLinePunct w:val="0"/>
                    <w:bidi w:val="0"/>
                    <w:snapToGrid w:val="0"/>
                    <w:jc w:val="center"/>
                    <w:textAlignment w:val="center"/>
                    <w:rPr>
                      <w:rFonts w:ascii="Times New Roman" w:hAnsi="Times New Roman"/>
                      <w:color w:val="auto"/>
                      <w:szCs w:val="21"/>
                    </w:rPr>
                  </w:pPr>
                  <w:r>
                    <w:rPr>
                      <w:rFonts w:ascii="Times New Roman" w:hAnsi="Times New Roman"/>
                      <w:color w:val="auto"/>
                      <w:szCs w:val="21"/>
                    </w:rPr>
                    <w:t>&gt;2</w:t>
                  </w:r>
                </w:p>
              </w:tc>
              <w:tc>
                <w:tcPr>
                  <w:tcW w:w="1920" w:type="dxa"/>
                  <w:gridSpan w:val="3"/>
                  <w:noWrap w:val="0"/>
                  <w:vAlign w:val="center"/>
                </w:tcPr>
                <w:p w14:paraId="6B02BFDC">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0.84</w:t>
                  </w:r>
                </w:p>
              </w:tc>
              <w:tc>
                <w:tcPr>
                  <w:tcW w:w="2311" w:type="dxa"/>
                  <w:gridSpan w:val="3"/>
                  <w:noWrap w:val="0"/>
                  <w:vAlign w:val="center"/>
                </w:tcPr>
                <w:p w14:paraId="2F0D525F">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0.84</w:t>
                  </w:r>
                </w:p>
              </w:tc>
              <w:tc>
                <w:tcPr>
                  <w:tcW w:w="2315" w:type="dxa"/>
                  <w:gridSpan w:val="3"/>
                  <w:noWrap w:val="0"/>
                  <w:vAlign w:val="center"/>
                </w:tcPr>
                <w:p w14:paraId="38F6F0FD">
                  <w:pPr>
                    <w:pageBreakBefore w:val="0"/>
                    <w:kinsoku/>
                    <w:wordWrap/>
                    <w:overflowPunct/>
                    <w:topLinePunct w:val="0"/>
                    <w:bidi w:val="0"/>
                    <w:snapToGrid w:val="0"/>
                    <w:jc w:val="center"/>
                    <w:rPr>
                      <w:rFonts w:ascii="Times New Roman" w:hAnsi="Times New Roman"/>
                      <w:color w:val="auto"/>
                      <w:szCs w:val="21"/>
                    </w:rPr>
                  </w:pPr>
                  <w:r>
                    <w:rPr>
                      <w:rFonts w:ascii="Times New Roman" w:hAnsi="Times New Roman"/>
                      <w:color w:val="auto"/>
                      <w:szCs w:val="21"/>
                    </w:rPr>
                    <w:t>0.76</w:t>
                  </w:r>
                </w:p>
              </w:tc>
            </w:tr>
            <w:tr w14:paraId="0F767A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82" w:type="dxa"/>
                  <w:gridSpan w:val="11"/>
                  <w:noWrap w:val="0"/>
                  <w:vAlign w:val="center"/>
                </w:tcPr>
                <w:p w14:paraId="539056F5">
                  <w:pPr>
                    <w:pageBreakBefore w:val="0"/>
                    <w:widowControl/>
                    <w:kinsoku/>
                    <w:wordWrap/>
                    <w:overflowPunct/>
                    <w:topLinePunct w:val="0"/>
                    <w:bidi w:val="0"/>
                    <w:snapToGrid w:val="0"/>
                    <w:jc w:val="left"/>
                    <w:rPr>
                      <w:rFonts w:ascii="Times New Roman" w:hAnsi="Times New Roman"/>
                      <w:color w:val="auto"/>
                      <w:szCs w:val="21"/>
                    </w:rPr>
                  </w:pPr>
                  <w:r>
                    <w:rPr>
                      <w:rFonts w:hint="eastAsia" w:ascii="Times New Roman" w:hAnsi="Times New Roman"/>
                      <w:color w:val="auto"/>
                      <w:szCs w:val="21"/>
                    </w:rPr>
                    <w:t>注：</w:t>
                  </w:r>
                  <w:r>
                    <w:rPr>
                      <w:rFonts w:ascii="Times New Roman" w:hAnsi="Times New Roman"/>
                      <w:color w:val="auto"/>
                      <w:szCs w:val="21"/>
                    </w:rPr>
                    <w:t>Ⅰ类</w:t>
                  </w:r>
                  <w:r>
                    <w:rPr>
                      <w:rFonts w:hint="eastAsia" w:ascii="Times New Roman" w:hAnsi="Times New Roman"/>
                      <w:color w:val="auto"/>
                      <w:szCs w:val="21"/>
                    </w:rPr>
                    <w:t>：</w:t>
                  </w:r>
                  <w:r>
                    <w:rPr>
                      <w:rFonts w:ascii="Times New Roman" w:hAnsi="Times New Roman"/>
                      <w:color w:val="auto"/>
                      <w:szCs w:val="21"/>
                    </w:rPr>
                    <w:t>与无组织排放源共存的排放同种有害气体的排气筒的排放量，大于</w:t>
                  </w:r>
                  <w:r>
                    <w:rPr>
                      <w:rFonts w:hint="eastAsia" w:ascii="Times New Roman" w:hAnsi="Times New Roman"/>
                      <w:color w:val="auto"/>
                      <w:szCs w:val="21"/>
                    </w:rPr>
                    <w:t>或等于</w:t>
                  </w:r>
                  <w:r>
                    <w:rPr>
                      <w:rFonts w:ascii="Times New Roman" w:hAnsi="Times New Roman"/>
                      <w:color w:val="auto"/>
                      <w:szCs w:val="21"/>
                    </w:rPr>
                    <w:t>标准规定的允许排放量的三分之一者；</w:t>
                  </w:r>
                </w:p>
                <w:p w14:paraId="72C2FDCE">
                  <w:pPr>
                    <w:pageBreakBefore w:val="0"/>
                    <w:widowControl/>
                    <w:kinsoku/>
                    <w:wordWrap/>
                    <w:overflowPunct/>
                    <w:topLinePunct w:val="0"/>
                    <w:bidi w:val="0"/>
                    <w:snapToGrid w:val="0"/>
                    <w:jc w:val="left"/>
                    <w:rPr>
                      <w:rFonts w:ascii="Times New Roman" w:hAnsi="Times New Roman"/>
                      <w:color w:val="auto"/>
                      <w:szCs w:val="21"/>
                    </w:rPr>
                  </w:pPr>
                  <w:r>
                    <w:rPr>
                      <w:rFonts w:ascii="Times New Roman" w:hAnsi="Times New Roman"/>
                      <w:color w:val="auto"/>
                      <w:szCs w:val="21"/>
                    </w:rPr>
                    <w:t>Ⅱ类</w:t>
                  </w:r>
                  <w:r>
                    <w:rPr>
                      <w:rFonts w:hint="eastAsia" w:ascii="Times New Roman" w:hAnsi="Times New Roman"/>
                      <w:color w:val="auto"/>
                      <w:szCs w:val="21"/>
                    </w:rPr>
                    <w:t>：</w:t>
                  </w:r>
                  <w:r>
                    <w:rPr>
                      <w:rFonts w:ascii="Times New Roman" w:hAnsi="Times New Roman"/>
                      <w:color w:val="auto"/>
                      <w:szCs w:val="21"/>
                    </w:rPr>
                    <w:t>与无组织排放源共存的排放同种有害气体的排气筒的排放量，小于标准规定的允许排放量的三分之一，或虽无排放同种大气污染物之排气筒共存，但无组织排放的有害物质的容许浓度是按急性反应指标确定者。</w:t>
                  </w:r>
                </w:p>
                <w:p w14:paraId="1E8696B3">
                  <w:pPr>
                    <w:pageBreakBefore w:val="0"/>
                    <w:widowControl/>
                    <w:kinsoku/>
                    <w:wordWrap/>
                    <w:overflowPunct/>
                    <w:topLinePunct w:val="0"/>
                    <w:bidi w:val="0"/>
                    <w:snapToGrid w:val="0"/>
                    <w:jc w:val="left"/>
                    <w:rPr>
                      <w:rFonts w:ascii="Times New Roman" w:hAnsi="Times New Roman"/>
                      <w:color w:val="auto"/>
                      <w:szCs w:val="21"/>
                    </w:rPr>
                  </w:pPr>
                  <w:r>
                    <w:rPr>
                      <w:rFonts w:ascii="Times New Roman" w:hAnsi="Times New Roman"/>
                      <w:color w:val="auto"/>
                      <w:szCs w:val="21"/>
                    </w:rPr>
                    <w:t>Ⅲ类</w:t>
                  </w:r>
                  <w:r>
                    <w:rPr>
                      <w:rFonts w:hint="eastAsia" w:ascii="Times New Roman" w:hAnsi="Times New Roman"/>
                      <w:color w:val="auto"/>
                      <w:szCs w:val="21"/>
                    </w:rPr>
                    <w:t>：</w:t>
                  </w:r>
                  <w:r>
                    <w:rPr>
                      <w:rFonts w:ascii="Times New Roman" w:hAnsi="Times New Roman"/>
                      <w:color w:val="auto"/>
                      <w:szCs w:val="21"/>
                    </w:rPr>
                    <w:t>无排放同种</w:t>
                  </w:r>
                  <w:r>
                    <w:rPr>
                      <w:rFonts w:hint="eastAsia" w:ascii="Times New Roman" w:hAnsi="Times New Roman"/>
                      <w:color w:val="auto"/>
                      <w:szCs w:val="21"/>
                    </w:rPr>
                    <w:t>有害物质的</w:t>
                  </w:r>
                  <w:r>
                    <w:rPr>
                      <w:rFonts w:ascii="Times New Roman" w:hAnsi="Times New Roman"/>
                      <w:color w:val="auto"/>
                      <w:szCs w:val="21"/>
                    </w:rPr>
                    <w:t>排气筒</w:t>
                  </w:r>
                  <w:r>
                    <w:rPr>
                      <w:rFonts w:hint="eastAsia" w:ascii="Times New Roman" w:hAnsi="Times New Roman"/>
                      <w:color w:val="auto"/>
                      <w:szCs w:val="21"/>
                    </w:rPr>
                    <w:t>与无组织排放源</w:t>
                  </w:r>
                  <w:r>
                    <w:rPr>
                      <w:rFonts w:ascii="Times New Roman" w:hAnsi="Times New Roman"/>
                      <w:color w:val="auto"/>
                      <w:szCs w:val="21"/>
                    </w:rPr>
                    <w:t>共存，</w:t>
                  </w:r>
                  <w:r>
                    <w:rPr>
                      <w:rFonts w:hint="eastAsia" w:ascii="Times New Roman" w:hAnsi="Times New Roman"/>
                      <w:color w:val="auto"/>
                      <w:szCs w:val="21"/>
                    </w:rPr>
                    <w:t>但</w:t>
                  </w:r>
                  <w:r>
                    <w:rPr>
                      <w:rFonts w:ascii="Times New Roman" w:hAnsi="Times New Roman"/>
                      <w:color w:val="auto"/>
                      <w:szCs w:val="21"/>
                    </w:rPr>
                    <w:t>无组织排放的有害物质的容许浓度是按慢性反应指标确定值。</w:t>
                  </w:r>
                </w:p>
              </w:tc>
            </w:tr>
          </w:tbl>
          <w:p w14:paraId="1F966ECE">
            <w:pPr>
              <w:pageBreakBefore w:val="0"/>
              <w:kinsoku/>
              <w:wordWrap/>
              <w:overflowPunct/>
              <w:topLinePunct w:val="0"/>
              <w:bidi w:val="0"/>
              <w:snapToGrid w:val="0"/>
              <w:spacing w:before="120" w:beforeLines="50" w:line="360" w:lineRule="auto"/>
              <w:ind w:firstLine="420" w:firstLineChars="200"/>
              <w:rPr>
                <w:rFonts w:ascii="Times New Roman" w:hAnsi="Times New Roman"/>
                <w:color w:val="auto"/>
                <w:szCs w:val="21"/>
              </w:rPr>
            </w:pPr>
            <w:r>
              <w:rPr>
                <w:rFonts w:hint="eastAsia" w:ascii="Times New Roman" w:hAnsi="Times New Roman"/>
                <w:color w:val="auto"/>
                <w:szCs w:val="21"/>
              </w:rPr>
              <w:t>（3）卫生防护距离终值</w:t>
            </w:r>
          </w:p>
          <w:p w14:paraId="33F29CE9">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①单一特征大气有害物质终值的确定</w:t>
            </w:r>
          </w:p>
          <w:p w14:paraId="6494AC3B">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卫生防护距离终值极差见表4-</w:t>
            </w:r>
            <w:r>
              <w:rPr>
                <w:rFonts w:hint="eastAsia" w:ascii="Times New Roman" w:hAnsi="Times New Roman"/>
                <w:color w:val="auto"/>
                <w:szCs w:val="21"/>
                <w:lang w:val="en-US" w:eastAsia="zh-CN"/>
              </w:rPr>
              <w:t>1</w:t>
            </w:r>
            <w:r>
              <w:rPr>
                <w:rFonts w:hint="eastAsia"/>
                <w:color w:val="auto"/>
                <w:szCs w:val="21"/>
                <w:lang w:val="en-US" w:eastAsia="zh-CN"/>
              </w:rPr>
              <w:t>1</w:t>
            </w:r>
            <w:r>
              <w:rPr>
                <w:rFonts w:hint="eastAsia" w:ascii="Times New Roman" w:hAnsi="Times New Roman"/>
                <w:color w:val="auto"/>
                <w:szCs w:val="21"/>
              </w:rPr>
              <w:t>。</w:t>
            </w:r>
          </w:p>
          <w:p w14:paraId="1E4F780E">
            <w:pPr>
              <w:pStyle w:val="3"/>
              <w:keepNext/>
              <w:keepLines/>
              <w:pageBreakBefore w:val="0"/>
              <w:widowControl w:val="0"/>
              <w:kinsoku/>
              <w:wordWrap/>
              <w:overflowPunct/>
              <w:topLinePunct w:val="0"/>
              <w:autoSpaceDE/>
              <w:autoSpaceDN/>
              <w:bidi w:val="0"/>
              <w:adjustRightInd w:val="0"/>
              <w:snapToGrid w:val="0"/>
              <w:spacing w:before="120" w:beforeLines="50" w:beforeAutospacing="0" w:after="0" w:afterAutospacing="0" w:line="240" w:lineRule="auto"/>
              <w:jc w:val="center"/>
              <w:textAlignment w:val="baseline"/>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表</w:t>
            </w:r>
            <w:r>
              <w:rPr>
                <w:rFonts w:hint="eastAsia" w:ascii="Times New Roman" w:hAnsi="Times New Roman" w:eastAsia="宋体" w:cs="Times New Roman"/>
                <w:b/>
                <w:bCs/>
                <w:color w:val="auto"/>
                <w:kern w:val="0"/>
                <w:sz w:val="21"/>
                <w:szCs w:val="21"/>
                <w:lang w:val="en-US" w:eastAsia="zh-CN" w:bidi="ar"/>
              </w:rPr>
              <w:t xml:space="preserve">4-11 </w:t>
            </w:r>
            <w:r>
              <w:rPr>
                <w:rFonts w:hint="eastAsia" w:asciiTheme="minorEastAsia" w:hAnsiTheme="minorEastAsia" w:eastAsiaTheme="minorEastAsia" w:cstheme="minorEastAsia"/>
                <w:color w:val="auto"/>
                <w:sz w:val="21"/>
                <w:szCs w:val="21"/>
              </w:rPr>
              <w:t>卫生防护距离终值极差范围表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94"/>
              <w:gridCol w:w="3588"/>
            </w:tblGrid>
            <w:tr w14:paraId="61991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0" w:type="dxa"/>
                  <w:noWrap w:val="0"/>
                  <w:vAlign w:val="center"/>
                </w:tcPr>
                <w:p w14:paraId="68BA3D09">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color w:val="auto"/>
                      <w:kern w:val="0"/>
                      <w:szCs w:val="21"/>
                    </w:rPr>
                    <w:t>卫生防护距离计算初值</w:t>
                  </w:r>
                  <w:r>
                    <w:rPr>
                      <w:rFonts w:hint="eastAsia" w:ascii="Times New Roman" w:hAnsi="Times New Roman"/>
                      <w:i/>
                      <w:iCs/>
                      <w:color w:val="auto"/>
                      <w:kern w:val="0"/>
                      <w:szCs w:val="21"/>
                    </w:rPr>
                    <w:t>L</w:t>
                  </w:r>
                  <w:r>
                    <w:rPr>
                      <w:rFonts w:hint="eastAsia" w:ascii="Times New Roman" w:hAnsi="Times New Roman"/>
                      <w:color w:val="auto"/>
                      <w:kern w:val="0"/>
                      <w:szCs w:val="21"/>
                    </w:rPr>
                    <w:t>（m）</w:t>
                  </w:r>
                </w:p>
              </w:tc>
              <w:tc>
                <w:tcPr>
                  <w:tcW w:w="3684" w:type="dxa"/>
                  <w:noWrap w:val="0"/>
                  <w:vAlign w:val="center"/>
                </w:tcPr>
                <w:p w14:paraId="6E6B204C">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color w:val="auto"/>
                      <w:kern w:val="0"/>
                      <w:szCs w:val="21"/>
                    </w:rPr>
                    <w:t>极差（m）</w:t>
                  </w:r>
                </w:p>
              </w:tc>
            </w:tr>
            <w:tr w14:paraId="6BB0B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0" w:type="dxa"/>
                  <w:noWrap w:val="0"/>
                  <w:vAlign w:val="center"/>
                </w:tcPr>
                <w:p w14:paraId="311614C3">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color w:val="auto"/>
                      <w:kern w:val="0"/>
                      <w:szCs w:val="21"/>
                    </w:rPr>
                    <w:t>0≤</w:t>
                  </w:r>
                  <w:r>
                    <w:rPr>
                      <w:rFonts w:hint="eastAsia" w:ascii="Times New Roman" w:hAnsi="Times New Roman"/>
                      <w:i/>
                      <w:iCs/>
                      <w:color w:val="auto"/>
                      <w:kern w:val="0"/>
                      <w:szCs w:val="21"/>
                    </w:rPr>
                    <w:t>L</w:t>
                  </w:r>
                  <w:r>
                    <w:rPr>
                      <w:rFonts w:hint="eastAsia" w:ascii="Times New Roman" w:hAnsi="Times New Roman"/>
                      <w:color w:val="auto"/>
                      <w:kern w:val="0"/>
                      <w:szCs w:val="21"/>
                    </w:rPr>
                    <w:t>＜50</w:t>
                  </w:r>
                </w:p>
              </w:tc>
              <w:tc>
                <w:tcPr>
                  <w:tcW w:w="3684" w:type="dxa"/>
                  <w:noWrap w:val="0"/>
                  <w:vAlign w:val="center"/>
                </w:tcPr>
                <w:p w14:paraId="1DA1A9E8">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color w:val="auto"/>
                      <w:kern w:val="0"/>
                      <w:szCs w:val="21"/>
                    </w:rPr>
                    <w:t>50</w:t>
                  </w:r>
                </w:p>
              </w:tc>
            </w:tr>
            <w:tr w14:paraId="58545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0" w:type="dxa"/>
                  <w:noWrap w:val="0"/>
                  <w:vAlign w:val="center"/>
                </w:tcPr>
                <w:p w14:paraId="2B7D1FBF">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color w:val="auto"/>
                      <w:kern w:val="0"/>
                      <w:szCs w:val="21"/>
                    </w:rPr>
                    <w:t>5</w:t>
                  </w:r>
                  <w:r>
                    <w:rPr>
                      <w:rFonts w:ascii="Times New Roman" w:hAnsi="Times New Roman"/>
                      <w:color w:val="auto"/>
                      <w:kern w:val="0"/>
                      <w:szCs w:val="21"/>
                    </w:rPr>
                    <w:t>0</w:t>
                  </w:r>
                  <w:r>
                    <w:rPr>
                      <w:rFonts w:hint="eastAsia" w:ascii="Times New Roman" w:hAnsi="Times New Roman"/>
                      <w:color w:val="auto"/>
                      <w:kern w:val="0"/>
                      <w:szCs w:val="21"/>
                    </w:rPr>
                    <w:t>≤</w:t>
                  </w:r>
                  <w:r>
                    <w:rPr>
                      <w:rFonts w:hint="eastAsia" w:ascii="Times New Roman" w:hAnsi="Times New Roman"/>
                      <w:i/>
                      <w:iCs/>
                      <w:color w:val="auto"/>
                      <w:kern w:val="0"/>
                      <w:szCs w:val="21"/>
                    </w:rPr>
                    <w:t>L</w:t>
                  </w:r>
                  <w:r>
                    <w:rPr>
                      <w:rFonts w:hint="eastAsia" w:ascii="Times New Roman" w:hAnsi="Times New Roman"/>
                      <w:color w:val="auto"/>
                      <w:kern w:val="0"/>
                      <w:szCs w:val="21"/>
                    </w:rPr>
                    <w:t>＜1</w:t>
                  </w:r>
                  <w:r>
                    <w:rPr>
                      <w:rFonts w:ascii="Times New Roman" w:hAnsi="Times New Roman"/>
                      <w:color w:val="auto"/>
                      <w:kern w:val="0"/>
                      <w:szCs w:val="21"/>
                    </w:rPr>
                    <w:t>00</w:t>
                  </w:r>
                </w:p>
              </w:tc>
              <w:tc>
                <w:tcPr>
                  <w:tcW w:w="3684" w:type="dxa"/>
                  <w:noWrap w:val="0"/>
                  <w:vAlign w:val="center"/>
                </w:tcPr>
                <w:p w14:paraId="2E612D0D">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color w:val="auto"/>
                      <w:kern w:val="0"/>
                      <w:szCs w:val="21"/>
                    </w:rPr>
                    <w:t>5</w:t>
                  </w:r>
                  <w:r>
                    <w:rPr>
                      <w:rFonts w:ascii="Times New Roman" w:hAnsi="Times New Roman"/>
                      <w:color w:val="auto"/>
                      <w:kern w:val="0"/>
                      <w:szCs w:val="21"/>
                    </w:rPr>
                    <w:t>0</w:t>
                  </w:r>
                </w:p>
              </w:tc>
            </w:tr>
            <w:tr w14:paraId="64C34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0" w:type="dxa"/>
                  <w:noWrap w:val="0"/>
                  <w:vAlign w:val="center"/>
                </w:tcPr>
                <w:p w14:paraId="0BFD1CA3">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color w:val="auto"/>
                      <w:kern w:val="0"/>
                      <w:szCs w:val="21"/>
                    </w:rPr>
                    <w:t>1</w:t>
                  </w:r>
                  <w:r>
                    <w:rPr>
                      <w:rFonts w:ascii="Times New Roman" w:hAnsi="Times New Roman"/>
                      <w:color w:val="auto"/>
                      <w:kern w:val="0"/>
                      <w:szCs w:val="21"/>
                    </w:rPr>
                    <w:t>00</w:t>
                  </w:r>
                  <w:r>
                    <w:rPr>
                      <w:rFonts w:hint="eastAsia" w:ascii="Times New Roman" w:hAnsi="Times New Roman"/>
                      <w:color w:val="auto"/>
                      <w:kern w:val="0"/>
                      <w:szCs w:val="21"/>
                    </w:rPr>
                    <w:t>≤</w:t>
                  </w:r>
                  <w:r>
                    <w:rPr>
                      <w:rFonts w:hint="eastAsia" w:ascii="Times New Roman" w:hAnsi="Times New Roman"/>
                      <w:i/>
                      <w:iCs/>
                      <w:color w:val="auto"/>
                      <w:kern w:val="0"/>
                      <w:szCs w:val="21"/>
                    </w:rPr>
                    <w:t>L</w:t>
                  </w:r>
                  <w:r>
                    <w:rPr>
                      <w:rFonts w:hint="eastAsia" w:ascii="Times New Roman" w:hAnsi="Times New Roman"/>
                      <w:color w:val="auto"/>
                      <w:kern w:val="0"/>
                      <w:szCs w:val="21"/>
                    </w:rPr>
                    <w:t>＜1</w:t>
                  </w:r>
                  <w:r>
                    <w:rPr>
                      <w:rFonts w:ascii="Times New Roman" w:hAnsi="Times New Roman"/>
                      <w:color w:val="auto"/>
                      <w:kern w:val="0"/>
                      <w:szCs w:val="21"/>
                    </w:rPr>
                    <w:t>000</w:t>
                  </w:r>
                </w:p>
              </w:tc>
              <w:tc>
                <w:tcPr>
                  <w:tcW w:w="3684" w:type="dxa"/>
                  <w:noWrap w:val="0"/>
                  <w:vAlign w:val="center"/>
                </w:tcPr>
                <w:p w14:paraId="31ACFB24">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color w:val="auto"/>
                      <w:kern w:val="0"/>
                      <w:szCs w:val="21"/>
                    </w:rPr>
                    <w:t>1</w:t>
                  </w:r>
                  <w:r>
                    <w:rPr>
                      <w:rFonts w:ascii="Times New Roman" w:hAnsi="Times New Roman"/>
                      <w:color w:val="auto"/>
                      <w:kern w:val="0"/>
                      <w:szCs w:val="21"/>
                    </w:rPr>
                    <w:t>00</w:t>
                  </w:r>
                </w:p>
              </w:tc>
            </w:tr>
            <w:tr w14:paraId="577AF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0" w:type="dxa"/>
                  <w:noWrap w:val="0"/>
                  <w:vAlign w:val="center"/>
                </w:tcPr>
                <w:p w14:paraId="19556C3C">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i/>
                      <w:iCs/>
                      <w:color w:val="auto"/>
                      <w:kern w:val="0"/>
                      <w:szCs w:val="21"/>
                    </w:rPr>
                    <w:t>L</w:t>
                  </w:r>
                  <w:r>
                    <w:rPr>
                      <w:rFonts w:hint="eastAsia" w:ascii="宋体" w:hAnsi="宋体"/>
                      <w:color w:val="auto"/>
                      <w:kern w:val="0"/>
                      <w:szCs w:val="21"/>
                    </w:rPr>
                    <w:t>≥</w:t>
                  </w:r>
                  <w:r>
                    <w:rPr>
                      <w:rFonts w:ascii="Times New Roman" w:hAnsi="Times New Roman"/>
                      <w:color w:val="auto"/>
                      <w:kern w:val="0"/>
                      <w:szCs w:val="21"/>
                    </w:rPr>
                    <w:t>1000</w:t>
                  </w:r>
                </w:p>
              </w:tc>
              <w:tc>
                <w:tcPr>
                  <w:tcW w:w="3684" w:type="dxa"/>
                  <w:noWrap w:val="0"/>
                  <w:vAlign w:val="center"/>
                </w:tcPr>
                <w:p w14:paraId="55F01D5F">
                  <w:pPr>
                    <w:pageBreakBefore w:val="0"/>
                    <w:widowControl/>
                    <w:kinsoku/>
                    <w:wordWrap/>
                    <w:overflowPunct/>
                    <w:topLinePunct w:val="0"/>
                    <w:bidi w:val="0"/>
                    <w:snapToGrid w:val="0"/>
                    <w:jc w:val="center"/>
                    <w:rPr>
                      <w:rFonts w:ascii="Times New Roman" w:hAnsi="Times New Roman"/>
                      <w:color w:val="auto"/>
                      <w:kern w:val="0"/>
                      <w:szCs w:val="21"/>
                    </w:rPr>
                  </w:pPr>
                  <w:r>
                    <w:rPr>
                      <w:rFonts w:hint="eastAsia" w:ascii="Times New Roman" w:hAnsi="Times New Roman"/>
                      <w:color w:val="auto"/>
                      <w:kern w:val="0"/>
                      <w:szCs w:val="21"/>
                    </w:rPr>
                    <w:t>2</w:t>
                  </w:r>
                  <w:r>
                    <w:rPr>
                      <w:rFonts w:ascii="Times New Roman" w:hAnsi="Times New Roman"/>
                      <w:color w:val="auto"/>
                      <w:kern w:val="0"/>
                      <w:szCs w:val="21"/>
                    </w:rPr>
                    <w:t>00</w:t>
                  </w:r>
                </w:p>
              </w:tc>
            </w:tr>
          </w:tbl>
          <w:p w14:paraId="5892FCDC">
            <w:pPr>
              <w:pageBreakBefore w:val="0"/>
              <w:kinsoku/>
              <w:wordWrap/>
              <w:overflowPunct/>
              <w:topLinePunct w:val="0"/>
              <w:bidi w:val="0"/>
              <w:snapToGrid w:val="0"/>
              <w:spacing w:before="120" w:beforeLines="50" w:line="360" w:lineRule="auto"/>
              <w:ind w:firstLine="420" w:firstLineChars="200"/>
              <w:rPr>
                <w:rFonts w:ascii="Times New Roman" w:hAnsi="Times New Roman"/>
                <w:color w:val="auto"/>
                <w:szCs w:val="21"/>
              </w:rPr>
            </w:pPr>
            <w:r>
              <w:rPr>
                <w:rFonts w:hint="eastAsia" w:ascii="Times New Roman" w:hAnsi="Times New Roman"/>
                <w:color w:val="auto"/>
                <w:szCs w:val="21"/>
              </w:rPr>
              <w:t>②多种特征大气有害物质终值的确定</w:t>
            </w:r>
          </w:p>
          <w:p w14:paraId="1BF98E80">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p>
          <w:p w14:paraId="78FC637C">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（4）本项目卫生防护距离计算结果</w:t>
            </w:r>
          </w:p>
          <w:p w14:paraId="2A99588E">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①特征大气有害物质选取</w:t>
            </w:r>
          </w:p>
          <w:p w14:paraId="4EAF5091">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color w:val="auto"/>
                <w:szCs w:val="21"/>
                <w:lang w:val="en-US" w:eastAsia="zh-CN"/>
              </w:rPr>
              <w:t>本项目</w:t>
            </w:r>
            <w:r>
              <w:rPr>
                <w:rFonts w:hint="eastAsia" w:ascii="Times New Roman" w:hAnsi="Times New Roman"/>
                <w:color w:val="auto"/>
                <w:szCs w:val="21"/>
              </w:rPr>
              <w:t>特征大气有害物质选取计算如表4-</w:t>
            </w:r>
            <w:r>
              <w:rPr>
                <w:rFonts w:hint="eastAsia" w:ascii="Times New Roman" w:hAnsi="Times New Roman"/>
                <w:color w:val="auto"/>
                <w:szCs w:val="21"/>
                <w:lang w:val="en-US" w:eastAsia="zh-CN"/>
              </w:rPr>
              <w:t>1</w:t>
            </w:r>
            <w:r>
              <w:rPr>
                <w:rFonts w:hint="eastAsia"/>
                <w:color w:val="auto"/>
                <w:szCs w:val="21"/>
                <w:lang w:val="en-US" w:eastAsia="zh-CN"/>
              </w:rPr>
              <w:t>2</w:t>
            </w:r>
            <w:r>
              <w:rPr>
                <w:rFonts w:hint="eastAsia" w:ascii="Times New Roman" w:hAnsi="Times New Roman"/>
                <w:color w:val="auto"/>
                <w:szCs w:val="21"/>
              </w:rPr>
              <w:t>所示。</w:t>
            </w:r>
          </w:p>
          <w:p w14:paraId="66D42F8A">
            <w:pPr>
              <w:pStyle w:val="3"/>
              <w:keepNext/>
              <w:keepLines/>
              <w:pageBreakBefore w:val="0"/>
              <w:widowControl w:val="0"/>
              <w:kinsoku/>
              <w:wordWrap/>
              <w:overflowPunct/>
              <w:topLinePunct w:val="0"/>
              <w:autoSpaceDE/>
              <w:autoSpaceDN/>
              <w:bidi w:val="0"/>
              <w:adjustRightInd w:val="0"/>
              <w:snapToGrid w:val="0"/>
              <w:spacing w:before="120" w:beforeLines="50" w:beforeAutospacing="0" w:after="0" w:afterAutospacing="0" w:line="240" w:lineRule="auto"/>
              <w:jc w:val="center"/>
              <w:textAlignment w:val="baseline"/>
              <w:rPr>
                <w:rFonts w:hint="eastAsia" w:asciiTheme="minorEastAsia" w:hAnsiTheme="minorEastAsia" w:eastAsiaTheme="minorEastAsia" w:cstheme="minorEastAsia"/>
                <w:color w:val="auto"/>
                <w:sz w:val="21"/>
                <w:szCs w:val="21"/>
              </w:rPr>
            </w:pPr>
            <w:r>
              <w:rPr>
                <w:rFonts w:hint="eastAsia" w:ascii="Times New Roman" w:hAnsi="Times New Roman" w:eastAsia="宋体" w:cs="Times New Roman"/>
                <w:b/>
                <w:bCs/>
                <w:color w:val="auto"/>
                <w:kern w:val="2"/>
                <w:sz w:val="21"/>
                <w:szCs w:val="21"/>
                <w:lang w:val="en-US" w:eastAsia="zh-CN" w:bidi="ar-SA"/>
              </w:rPr>
              <w:t>表4-12 特</w:t>
            </w:r>
            <w:r>
              <w:rPr>
                <w:rFonts w:hint="eastAsia" w:asciiTheme="minorEastAsia" w:hAnsiTheme="minorEastAsia" w:eastAsiaTheme="minorEastAsia" w:cstheme="minorEastAsia"/>
                <w:color w:val="auto"/>
                <w:sz w:val="21"/>
                <w:szCs w:val="21"/>
              </w:rPr>
              <w:t>征大气有害物质选取计算表</w:t>
            </w:r>
          </w:p>
          <w:tbl>
            <w:tblPr>
              <w:tblStyle w:val="30"/>
              <w:tblW w:w="83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816"/>
              <w:gridCol w:w="2082"/>
              <w:gridCol w:w="1632"/>
              <w:gridCol w:w="1288"/>
            </w:tblGrid>
            <w:tr w14:paraId="1C9D6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9" w:hRule="atLeast"/>
                <w:jc w:val="center"/>
              </w:trPr>
              <w:tc>
                <w:tcPr>
                  <w:tcW w:w="1519" w:type="dxa"/>
                  <w:noWrap w:val="0"/>
                  <w:vAlign w:val="center"/>
                </w:tcPr>
                <w:p w14:paraId="15D619BA">
                  <w:pPr>
                    <w:pageBreakBefore w:val="0"/>
                    <w:widowControl/>
                    <w:kinsoku/>
                    <w:wordWrap/>
                    <w:overflowPunct/>
                    <w:topLinePunct w:val="0"/>
                    <w:bidi w:val="0"/>
                    <w:snapToGrid w:val="0"/>
                    <w:jc w:val="center"/>
                    <w:rPr>
                      <w:rFonts w:ascii="Times New Roman" w:hAnsi="Times New Roman"/>
                      <w:b/>
                      <w:bCs/>
                      <w:color w:val="auto"/>
                      <w:kern w:val="0"/>
                    </w:rPr>
                  </w:pPr>
                  <w:r>
                    <w:rPr>
                      <w:rFonts w:hint="eastAsia" w:ascii="Times New Roman" w:hAnsi="Times New Roman"/>
                      <w:b/>
                      <w:bCs/>
                      <w:color w:val="auto"/>
                      <w:kern w:val="0"/>
                    </w:rPr>
                    <w:t>污染物</w:t>
                  </w:r>
                </w:p>
              </w:tc>
              <w:tc>
                <w:tcPr>
                  <w:tcW w:w="1816" w:type="dxa"/>
                  <w:noWrap w:val="0"/>
                  <w:vAlign w:val="center"/>
                </w:tcPr>
                <w:p w14:paraId="3DB30B2C">
                  <w:pPr>
                    <w:pageBreakBefore w:val="0"/>
                    <w:widowControl/>
                    <w:kinsoku/>
                    <w:wordWrap/>
                    <w:overflowPunct/>
                    <w:topLinePunct w:val="0"/>
                    <w:bidi w:val="0"/>
                    <w:snapToGrid w:val="0"/>
                    <w:jc w:val="center"/>
                    <w:rPr>
                      <w:rFonts w:ascii="Times New Roman" w:hAnsi="Times New Roman"/>
                      <w:b/>
                      <w:bCs/>
                      <w:color w:val="auto"/>
                      <w:kern w:val="0"/>
                    </w:rPr>
                  </w:pPr>
                  <w:r>
                    <w:rPr>
                      <w:rFonts w:hint="eastAsia" w:ascii="Times New Roman" w:hAnsi="Times New Roman"/>
                      <w:b/>
                      <w:bCs/>
                      <w:color w:val="auto"/>
                      <w:kern w:val="0"/>
                    </w:rPr>
                    <w:t>无组织排放量</w:t>
                  </w:r>
                  <w:r>
                    <w:rPr>
                      <w:rFonts w:hint="eastAsia" w:ascii="Times New Roman" w:hAnsi="Times New Roman"/>
                      <w:b/>
                      <w:bCs/>
                      <w:i/>
                      <w:iCs/>
                      <w:color w:val="auto"/>
                      <w:kern w:val="0"/>
                    </w:rPr>
                    <w:t>Q</w:t>
                  </w:r>
                  <w:r>
                    <w:rPr>
                      <w:rFonts w:hint="eastAsia" w:ascii="Times New Roman" w:hAnsi="Times New Roman"/>
                      <w:b/>
                      <w:bCs/>
                      <w:i/>
                      <w:iCs/>
                      <w:color w:val="auto"/>
                      <w:kern w:val="0"/>
                      <w:vertAlign w:val="subscript"/>
                    </w:rPr>
                    <w:t>c</w:t>
                  </w:r>
                  <w:r>
                    <w:rPr>
                      <w:rFonts w:hint="eastAsia" w:ascii="Times New Roman" w:hAnsi="Times New Roman"/>
                      <w:b/>
                      <w:bCs/>
                      <w:color w:val="auto"/>
                      <w:kern w:val="0"/>
                    </w:rPr>
                    <w:t>（</w:t>
                  </w:r>
                  <w:r>
                    <w:rPr>
                      <w:rFonts w:ascii="Times New Roman" w:hAnsi="Times New Roman"/>
                      <w:b/>
                      <w:bCs/>
                      <w:color w:val="auto"/>
                      <w:kern w:val="0"/>
                    </w:rPr>
                    <w:t>kg/h</w:t>
                  </w:r>
                  <w:r>
                    <w:rPr>
                      <w:rFonts w:hint="eastAsia" w:ascii="Times New Roman" w:hAnsi="Times New Roman"/>
                      <w:b/>
                      <w:bCs/>
                      <w:color w:val="auto"/>
                      <w:kern w:val="0"/>
                    </w:rPr>
                    <w:t>）</w:t>
                  </w:r>
                </w:p>
              </w:tc>
              <w:tc>
                <w:tcPr>
                  <w:tcW w:w="2082" w:type="dxa"/>
                  <w:noWrap w:val="0"/>
                  <w:vAlign w:val="center"/>
                </w:tcPr>
                <w:p w14:paraId="42B2B1A0">
                  <w:pPr>
                    <w:pageBreakBefore w:val="0"/>
                    <w:widowControl/>
                    <w:kinsoku/>
                    <w:wordWrap/>
                    <w:overflowPunct/>
                    <w:topLinePunct w:val="0"/>
                    <w:bidi w:val="0"/>
                    <w:snapToGrid w:val="0"/>
                    <w:jc w:val="center"/>
                    <w:rPr>
                      <w:rFonts w:ascii="Times New Roman" w:hAnsi="Times New Roman"/>
                      <w:b/>
                      <w:bCs/>
                      <w:color w:val="auto"/>
                      <w:kern w:val="0"/>
                    </w:rPr>
                  </w:pPr>
                  <w:r>
                    <w:rPr>
                      <w:rFonts w:hint="eastAsia" w:ascii="Times New Roman" w:hAnsi="Times New Roman"/>
                      <w:b/>
                      <w:bCs/>
                      <w:color w:val="auto"/>
                      <w:kern w:val="0"/>
                    </w:rPr>
                    <w:t>环境空气质量标准限值</w:t>
                  </w:r>
                  <w:r>
                    <w:rPr>
                      <w:rFonts w:hint="eastAsia" w:ascii="Times New Roman" w:hAnsi="Times New Roman"/>
                      <w:b/>
                      <w:bCs/>
                      <w:i/>
                      <w:iCs/>
                      <w:color w:val="auto"/>
                      <w:kern w:val="0"/>
                    </w:rPr>
                    <w:t>c</w:t>
                  </w:r>
                  <w:r>
                    <w:rPr>
                      <w:rFonts w:ascii="Times New Roman" w:hAnsi="Times New Roman"/>
                      <w:b/>
                      <w:bCs/>
                      <w:i/>
                      <w:iCs/>
                      <w:color w:val="auto"/>
                      <w:kern w:val="0"/>
                      <w:vertAlign w:val="subscript"/>
                    </w:rPr>
                    <w:t>m</w:t>
                  </w:r>
                  <w:r>
                    <w:rPr>
                      <w:rFonts w:hint="eastAsia" w:ascii="Times New Roman" w:hAnsi="Times New Roman"/>
                      <w:b/>
                      <w:bCs/>
                      <w:color w:val="auto"/>
                      <w:kern w:val="0"/>
                    </w:rPr>
                    <w:t>（mg</w:t>
                  </w:r>
                  <w:r>
                    <w:rPr>
                      <w:rFonts w:ascii="Times New Roman" w:hAnsi="Times New Roman"/>
                      <w:b/>
                      <w:bCs/>
                      <w:color w:val="auto"/>
                      <w:kern w:val="0"/>
                    </w:rPr>
                    <w:t>/m</w:t>
                  </w:r>
                  <w:r>
                    <w:rPr>
                      <w:rFonts w:ascii="Times New Roman" w:hAnsi="Times New Roman"/>
                      <w:b/>
                      <w:bCs/>
                      <w:color w:val="auto"/>
                      <w:kern w:val="0"/>
                      <w:vertAlign w:val="superscript"/>
                    </w:rPr>
                    <w:t>3</w:t>
                  </w:r>
                  <w:r>
                    <w:rPr>
                      <w:rFonts w:hint="eastAsia" w:ascii="Times New Roman" w:hAnsi="Times New Roman"/>
                      <w:b/>
                      <w:bCs/>
                      <w:color w:val="auto"/>
                      <w:kern w:val="0"/>
                    </w:rPr>
                    <w:t>）</w:t>
                  </w:r>
                </w:p>
              </w:tc>
              <w:tc>
                <w:tcPr>
                  <w:tcW w:w="1632" w:type="dxa"/>
                  <w:noWrap w:val="0"/>
                  <w:vAlign w:val="center"/>
                </w:tcPr>
                <w:p w14:paraId="6BE4FA8F">
                  <w:pPr>
                    <w:pageBreakBefore w:val="0"/>
                    <w:widowControl/>
                    <w:kinsoku/>
                    <w:wordWrap/>
                    <w:overflowPunct/>
                    <w:topLinePunct w:val="0"/>
                    <w:bidi w:val="0"/>
                    <w:snapToGrid w:val="0"/>
                    <w:jc w:val="center"/>
                    <w:rPr>
                      <w:rFonts w:ascii="Times New Roman" w:hAnsi="Times New Roman"/>
                      <w:b/>
                      <w:bCs/>
                      <w:color w:val="auto"/>
                      <w:kern w:val="0"/>
                    </w:rPr>
                  </w:pPr>
                  <w:r>
                    <w:rPr>
                      <w:rFonts w:hint="eastAsia" w:ascii="Times New Roman" w:hAnsi="Times New Roman"/>
                      <w:b/>
                      <w:bCs/>
                      <w:color w:val="auto"/>
                      <w:kern w:val="0"/>
                    </w:rPr>
                    <w:t>等标排放量</w:t>
                  </w:r>
                </w:p>
              </w:tc>
              <w:tc>
                <w:tcPr>
                  <w:tcW w:w="1288" w:type="dxa"/>
                  <w:noWrap w:val="0"/>
                  <w:vAlign w:val="center"/>
                </w:tcPr>
                <w:p w14:paraId="2ACC5579">
                  <w:pPr>
                    <w:pageBreakBefore w:val="0"/>
                    <w:widowControl/>
                    <w:kinsoku/>
                    <w:wordWrap/>
                    <w:overflowPunct/>
                    <w:topLinePunct w:val="0"/>
                    <w:bidi w:val="0"/>
                    <w:snapToGrid w:val="0"/>
                    <w:jc w:val="center"/>
                    <w:rPr>
                      <w:rFonts w:ascii="Times New Roman" w:hAnsi="Times New Roman"/>
                      <w:b/>
                      <w:bCs/>
                      <w:color w:val="auto"/>
                      <w:kern w:val="0"/>
                    </w:rPr>
                  </w:pPr>
                  <w:r>
                    <w:rPr>
                      <w:rFonts w:hint="eastAsia" w:ascii="Times New Roman" w:hAnsi="Times New Roman"/>
                      <w:b/>
                      <w:bCs/>
                      <w:color w:val="auto"/>
                      <w:kern w:val="0"/>
                    </w:rPr>
                    <w:t>排序</w:t>
                  </w:r>
                </w:p>
              </w:tc>
            </w:tr>
            <w:tr w14:paraId="1EBA8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19" w:type="dxa"/>
                  <w:noWrap w:val="0"/>
                  <w:vAlign w:val="center"/>
                </w:tcPr>
                <w:p w14:paraId="7E7EB425">
                  <w:pPr>
                    <w:pageBreakBefore w:val="0"/>
                    <w:widowControl/>
                    <w:kinsoku/>
                    <w:wordWrap/>
                    <w:overflowPunct/>
                    <w:topLinePunct w:val="0"/>
                    <w:bidi w:val="0"/>
                    <w:snapToGrid w:val="0"/>
                    <w:jc w:val="center"/>
                    <w:textAlignment w:val="center"/>
                    <w:rPr>
                      <w:rFonts w:hint="default" w:ascii="Times New Roman" w:hAnsi="Times New Roman" w:eastAsia="宋体"/>
                      <w:color w:val="auto"/>
                      <w:kern w:val="0"/>
                      <w:sz w:val="21"/>
                      <w:szCs w:val="24"/>
                      <w:lang w:val="en-US" w:eastAsia="zh-CN" w:bidi="ar-SA"/>
                    </w:rPr>
                  </w:pPr>
                  <w:r>
                    <w:rPr>
                      <w:rFonts w:hint="eastAsia"/>
                      <w:color w:val="auto"/>
                      <w:kern w:val="0"/>
                      <w:szCs w:val="21"/>
                      <w:lang w:val="en-US" w:eastAsia="zh-CN" w:bidi="ar"/>
                    </w:rPr>
                    <w:t>颗粒物</w:t>
                  </w:r>
                </w:p>
              </w:tc>
              <w:tc>
                <w:tcPr>
                  <w:tcW w:w="1816" w:type="dxa"/>
                  <w:shd w:val="clear" w:color="auto" w:fill="auto"/>
                  <w:noWrap w:val="0"/>
                  <w:vAlign w:val="center"/>
                </w:tcPr>
                <w:p w14:paraId="43FAD3C9">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0.054</w:t>
                  </w:r>
                </w:p>
              </w:tc>
              <w:tc>
                <w:tcPr>
                  <w:tcW w:w="2082" w:type="dxa"/>
                  <w:noWrap w:val="0"/>
                  <w:vAlign w:val="center"/>
                </w:tcPr>
                <w:p w14:paraId="2103B87C">
                  <w:pPr>
                    <w:pageBreakBefore w:val="0"/>
                    <w:widowControl/>
                    <w:kinsoku/>
                    <w:wordWrap/>
                    <w:overflowPunct/>
                    <w:topLinePunct w:val="0"/>
                    <w:bidi w:val="0"/>
                    <w:snapToGrid w:val="0"/>
                    <w:jc w:val="center"/>
                    <w:rPr>
                      <w:rFonts w:hint="default" w:ascii="Times New Roman" w:hAnsi="Times New Roman"/>
                      <w:color w:val="auto"/>
                      <w:kern w:val="0"/>
                      <w:sz w:val="21"/>
                      <w:szCs w:val="24"/>
                      <w:lang w:val="en-US" w:eastAsia="zh-CN" w:bidi="ar-SA"/>
                    </w:rPr>
                  </w:pPr>
                  <w:r>
                    <w:rPr>
                      <w:rFonts w:hint="eastAsia"/>
                      <w:color w:val="auto"/>
                      <w:kern w:val="0"/>
                      <w:sz w:val="21"/>
                      <w:szCs w:val="24"/>
                      <w:lang w:val="en-US" w:eastAsia="zh-CN" w:bidi="ar-SA"/>
                    </w:rPr>
                    <w:t>0.45</w:t>
                  </w:r>
                </w:p>
              </w:tc>
              <w:tc>
                <w:tcPr>
                  <w:tcW w:w="1632" w:type="dxa"/>
                  <w:noWrap w:val="0"/>
                  <w:vAlign w:val="center"/>
                </w:tcPr>
                <w:p w14:paraId="3EFFA54F">
                  <w:pPr>
                    <w:pageBreakBefore w:val="0"/>
                    <w:widowControl/>
                    <w:kinsoku/>
                    <w:wordWrap/>
                    <w:overflowPunct/>
                    <w:topLinePunct w:val="0"/>
                    <w:bidi w:val="0"/>
                    <w:snapToGrid w:val="0"/>
                    <w:jc w:val="center"/>
                    <w:rPr>
                      <w:rFonts w:hint="default" w:ascii="Times New Roman" w:hAnsi="Times New Roman" w:eastAsia="宋体"/>
                      <w:color w:val="auto"/>
                      <w:kern w:val="0"/>
                      <w:sz w:val="21"/>
                      <w:szCs w:val="24"/>
                      <w:lang w:val="en-US" w:eastAsia="zh-CN" w:bidi="ar-SA"/>
                    </w:rPr>
                  </w:pPr>
                  <w:r>
                    <w:rPr>
                      <w:rFonts w:hint="eastAsia" w:eastAsia="宋体"/>
                      <w:color w:val="auto"/>
                      <w:kern w:val="0"/>
                      <w:sz w:val="21"/>
                      <w:szCs w:val="24"/>
                      <w:lang w:val="en-US" w:eastAsia="zh-CN" w:bidi="ar-SA"/>
                    </w:rPr>
                    <w:t>0.12</w:t>
                  </w:r>
                </w:p>
              </w:tc>
              <w:tc>
                <w:tcPr>
                  <w:tcW w:w="1288" w:type="dxa"/>
                  <w:noWrap w:val="0"/>
                  <w:vAlign w:val="center"/>
                </w:tcPr>
                <w:p w14:paraId="4875001D">
                  <w:pPr>
                    <w:pageBreakBefore w:val="0"/>
                    <w:widowControl/>
                    <w:kinsoku/>
                    <w:wordWrap/>
                    <w:overflowPunct/>
                    <w:topLinePunct w:val="0"/>
                    <w:bidi w:val="0"/>
                    <w:snapToGrid w:val="0"/>
                    <w:jc w:val="center"/>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val="en-US" w:eastAsia="zh-CN"/>
                    </w:rPr>
                    <w:t>1</w:t>
                  </w:r>
                </w:p>
              </w:tc>
            </w:tr>
            <w:tr w14:paraId="54A6B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19" w:type="dxa"/>
                  <w:noWrap w:val="0"/>
                  <w:vAlign w:val="center"/>
                </w:tcPr>
                <w:p w14:paraId="64263C0A">
                  <w:pPr>
                    <w:pageBreakBefore w:val="0"/>
                    <w:widowControl/>
                    <w:kinsoku/>
                    <w:wordWrap/>
                    <w:overflowPunct/>
                    <w:topLinePunct w:val="0"/>
                    <w:bidi w:val="0"/>
                    <w:snapToGrid w:val="0"/>
                    <w:jc w:val="center"/>
                    <w:textAlignment w:val="center"/>
                    <w:rPr>
                      <w:rFonts w:hint="default" w:ascii="Times New Roman" w:hAnsi="Times New Roman" w:eastAsia="宋体"/>
                      <w:color w:val="auto"/>
                      <w:kern w:val="0"/>
                      <w:szCs w:val="21"/>
                      <w:lang w:val="en-US" w:eastAsia="zh-CN" w:bidi="ar"/>
                    </w:rPr>
                  </w:pPr>
                  <w:r>
                    <w:rPr>
                      <w:rFonts w:hint="eastAsia"/>
                      <w:color w:val="auto"/>
                      <w:kern w:val="0"/>
                      <w:szCs w:val="21"/>
                      <w:lang w:val="en-US" w:eastAsia="zh-CN" w:bidi="ar"/>
                    </w:rPr>
                    <w:t>非甲烷总烃</w:t>
                  </w:r>
                </w:p>
              </w:tc>
              <w:tc>
                <w:tcPr>
                  <w:tcW w:w="1816" w:type="dxa"/>
                  <w:shd w:val="clear" w:color="auto" w:fill="auto"/>
                  <w:noWrap w:val="0"/>
                  <w:vAlign w:val="center"/>
                </w:tcPr>
                <w:p w14:paraId="43AB9C6C">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0.0007</w:t>
                  </w:r>
                </w:p>
              </w:tc>
              <w:tc>
                <w:tcPr>
                  <w:tcW w:w="2082" w:type="dxa"/>
                  <w:noWrap w:val="0"/>
                  <w:vAlign w:val="center"/>
                </w:tcPr>
                <w:p w14:paraId="04709AA7">
                  <w:pPr>
                    <w:pageBreakBefore w:val="0"/>
                    <w:widowControl/>
                    <w:kinsoku/>
                    <w:wordWrap/>
                    <w:overflowPunct/>
                    <w:topLinePunct w:val="0"/>
                    <w:bidi w:val="0"/>
                    <w:snapToGrid w:val="0"/>
                    <w:jc w:val="center"/>
                    <w:rPr>
                      <w:rFonts w:hint="default" w:ascii="Times New Roman" w:hAnsi="Times New Roman" w:eastAsia="宋体"/>
                      <w:color w:val="auto"/>
                      <w:kern w:val="0"/>
                      <w:lang w:val="en-US" w:eastAsia="zh-CN"/>
                    </w:rPr>
                  </w:pPr>
                  <w:r>
                    <w:rPr>
                      <w:rFonts w:hint="eastAsia" w:eastAsia="宋体"/>
                      <w:color w:val="auto"/>
                      <w:kern w:val="0"/>
                      <w:lang w:val="en-US" w:eastAsia="zh-CN"/>
                    </w:rPr>
                    <w:t>2.0</w:t>
                  </w:r>
                </w:p>
              </w:tc>
              <w:tc>
                <w:tcPr>
                  <w:tcW w:w="1632" w:type="dxa"/>
                  <w:noWrap w:val="0"/>
                  <w:vAlign w:val="center"/>
                </w:tcPr>
                <w:p w14:paraId="4D25A5FD">
                  <w:pPr>
                    <w:pageBreakBefore w:val="0"/>
                    <w:widowControl/>
                    <w:kinsoku/>
                    <w:wordWrap/>
                    <w:overflowPunct/>
                    <w:topLinePunct w:val="0"/>
                    <w:bidi w:val="0"/>
                    <w:snapToGrid w:val="0"/>
                    <w:jc w:val="center"/>
                    <w:rPr>
                      <w:rFonts w:hint="default" w:ascii="Times New Roman" w:hAnsi="Times New Roman"/>
                      <w:color w:val="auto"/>
                      <w:kern w:val="0"/>
                      <w:lang w:val="en-US" w:eastAsia="zh-CN"/>
                    </w:rPr>
                  </w:pPr>
                  <w:r>
                    <w:rPr>
                      <w:rFonts w:hint="eastAsia"/>
                      <w:color w:val="auto"/>
                      <w:kern w:val="0"/>
                      <w:lang w:val="en-US" w:eastAsia="zh-CN"/>
                    </w:rPr>
                    <w:t>0.00035</w:t>
                  </w:r>
                </w:p>
              </w:tc>
              <w:tc>
                <w:tcPr>
                  <w:tcW w:w="1288" w:type="dxa"/>
                  <w:noWrap w:val="0"/>
                  <w:vAlign w:val="center"/>
                </w:tcPr>
                <w:p w14:paraId="41DE2D7C">
                  <w:pPr>
                    <w:pageBreakBefore w:val="0"/>
                    <w:widowControl/>
                    <w:kinsoku/>
                    <w:wordWrap/>
                    <w:overflowPunct/>
                    <w:topLinePunct w:val="0"/>
                    <w:bidi w:val="0"/>
                    <w:snapToGrid w:val="0"/>
                    <w:jc w:val="center"/>
                    <w:rPr>
                      <w:rFonts w:hint="default" w:ascii="Times New Roman" w:hAnsi="Times New Roman"/>
                      <w:color w:val="auto"/>
                      <w:kern w:val="0"/>
                      <w:lang w:val="en-US" w:eastAsia="zh-CN"/>
                    </w:rPr>
                  </w:pPr>
                  <w:r>
                    <w:rPr>
                      <w:rFonts w:hint="eastAsia" w:ascii="Times New Roman" w:hAnsi="Times New Roman"/>
                      <w:color w:val="auto"/>
                      <w:kern w:val="0"/>
                      <w:lang w:val="en-US" w:eastAsia="zh-CN"/>
                    </w:rPr>
                    <w:t>2</w:t>
                  </w:r>
                </w:p>
              </w:tc>
            </w:tr>
          </w:tbl>
          <w:p w14:paraId="7D6950AC">
            <w:pPr>
              <w:pageBreakBefore w:val="0"/>
              <w:kinsoku/>
              <w:wordWrap/>
              <w:overflowPunct/>
              <w:topLinePunct w:val="0"/>
              <w:bidi w:val="0"/>
              <w:snapToGrid w:val="0"/>
              <w:spacing w:before="120" w:beforeLines="50" w:line="360" w:lineRule="auto"/>
              <w:ind w:firstLine="420" w:firstLineChars="200"/>
              <w:rPr>
                <w:rFonts w:ascii="Times New Roman" w:hAnsi="Times New Roman"/>
                <w:color w:val="auto"/>
                <w:szCs w:val="21"/>
              </w:rPr>
            </w:pPr>
            <w:r>
              <w:rPr>
                <w:rFonts w:hint="eastAsia" w:ascii="Times New Roman" w:hAnsi="Times New Roman"/>
                <w:color w:val="auto"/>
                <w:szCs w:val="21"/>
              </w:rPr>
              <w:t>根据计算结果，本项目</w:t>
            </w:r>
            <w:r>
              <w:rPr>
                <w:rFonts w:hint="eastAsia" w:ascii="Times New Roman" w:hAnsi="Times New Roman"/>
                <w:color w:val="auto"/>
                <w:szCs w:val="21"/>
                <w:lang w:val="en-US" w:eastAsia="zh-CN"/>
              </w:rPr>
              <w:t>污水处理站</w:t>
            </w:r>
            <w:r>
              <w:rPr>
                <w:rFonts w:hint="eastAsia" w:ascii="Times New Roman" w:hAnsi="Times New Roman"/>
                <w:color w:val="auto"/>
                <w:szCs w:val="21"/>
              </w:rPr>
              <w:t>主要特征大气有害物质为</w:t>
            </w:r>
            <w:r>
              <w:rPr>
                <w:rFonts w:hint="eastAsia"/>
                <w:color w:val="auto"/>
                <w:kern w:val="0"/>
                <w:szCs w:val="21"/>
                <w:lang w:val="en-US" w:eastAsia="zh-CN" w:bidi="ar"/>
              </w:rPr>
              <w:t>颗粒物</w:t>
            </w:r>
            <w:r>
              <w:rPr>
                <w:rFonts w:hint="eastAsia" w:ascii="Times New Roman" w:hAnsi="Times New Roman"/>
                <w:color w:val="auto"/>
                <w:szCs w:val="21"/>
              </w:rPr>
              <w:t>和</w:t>
            </w:r>
            <w:r>
              <w:rPr>
                <w:rFonts w:hint="eastAsia"/>
                <w:color w:val="auto"/>
                <w:kern w:val="0"/>
                <w:szCs w:val="21"/>
                <w:lang w:val="en-US" w:eastAsia="zh-CN" w:bidi="ar"/>
              </w:rPr>
              <w:t>非甲烷总烃</w:t>
            </w:r>
            <w:r>
              <w:rPr>
                <w:rFonts w:hint="eastAsia" w:ascii="Times New Roman" w:hAnsi="Times New Roman"/>
                <w:color w:val="auto"/>
                <w:szCs w:val="21"/>
              </w:rPr>
              <w:t>，两种污染物的等标排放量相差超过10%，因此</w:t>
            </w:r>
            <w:r>
              <w:rPr>
                <w:rFonts w:hint="eastAsia" w:ascii="Times New Roman" w:hAnsi="Times New Roman"/>
                <w:color w:val="auto"/>
                <w:szCs w:val="21"/>
                <w:lang w:val="en-US" w:eastAsia="zh-CN"/>
              </w:rPr>
              <w:t>将</w:t>
            </w:r>
            <w:r>
              <w:rPr>
                <w:rFonts w:hint="eastAsia"/>
                <w:color w:val="auto"/>
                <w:kern w:val="0"/>
                <w:szCs w:val="21"/>
                <w:lang w:val="en-US" w:eastAsia="zh-CN" w:bidi="ar"/>
              </w:rPr>
              <w:t>颗粒物</w:t>
            </w:r>
            <w:r>
              <w:rPr>
                <w:rFonts w:hint="eastAsia" w:ascii="Times New Roman" w:hAnsi="Times New Roman"/>
                <w:color w:val="auto"/>
                <w:szCs w:val="21"/>
              </w:rPr>
              <w:t>作为特征大气有害物质计算卫生防护距离初值。</w:t>
            </w:r>
          </w:p>
          <w:p w14:paraId="04A99290">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②卫生防护距离初值计算</w:t>
            </w:r>
          </w:p>
          <w:p w14:paraId="382AA8C7">
            <w:pPr>
              <w:pageBreakBefore w:val="0"/>
              <w:kinsoku/>
              <w:wordWrap/>
              <w:overflowPunct/>
              <w:topLinePunct w:val="0"/>
              <w:bidi w:val="0"/>
              <w:snapToGrid w:val="0"/>
              <w:spacing w:line="360" w:lineRule="auto"/>
              <w:ind w:firstLine="420" w:firstLineChars="200"/>
              <w:rPr>
                <w:rFonts w:ascii="Times New Roman" w:hAnsi="Times New Roman"/>
                <w:color w:val="auto"/>
                <w:szCs w:val="21"/>
              </w:rPr>
            </w:pPr>
            <w:r>
              <w:rPr>
                <w:rFonts w:hint="eastAsia" w:ascii="Times New Roman" w:hAnsi="Times New Roman"/>
                <w:color w:val="auto"/>
                <w:szCs w:val="21"/>
              </w:rPr>
              <w:t>本项目卫生防护距离计算见表4-1</w:t>
            </w:r>
            <w:r>
              <w:rPr>
                <w:rFonts w:hint="eastAsia"/>
                <w:color w:val="auto"/>
                <w:szCs w:val="21"/>
                <w:lang w:val="en-US" w:eastAsia="zh-CN"/>
              </w:rPr>
              <w:t>3</w:t>
            </w:r>
            <w:r>
              <w:rPr>
                <w:rFonts w:hint="eastAsia" w:ascii="Times New Roman" w:hAnsi="Times New Roman"/>
                <w:color w:val="auto"/>
                <w:szCs w:val="21"/>
              </w:rPr>
              <w:t>。</w:t>
            </w:r>
          </w:p>
          <w:p w14:paraId="29CF208D">
            <w:pPr>
              <w:pStyle w:val="100"/>
              <w:pageBreakBefore w:val="0"/>
              <w:kinsoku/>
              <w:wordWrap/>
              <w:overflowPunct/>
              <w:topLinePunct w:val="0"/>
              <w:bidi w:val="0"/>
              <w:snapToGrid w:val="0"/>
              <w:spacing w:before="120" w:beforeLines="50"/>
              <w:jc w:val="center"/>
              <w:rPr>
                <w:rFonts w:ascii="Times New Roman" w:hAnsi="Times New Roman"/>
                <w:b/>
                <w:bCs/>
                <w:color w:val="auto"/>
                <w:szCs w:val="21"/>
                <w:highlight w:val="yellow"/>
              </w:rPr>
            </w:pPr>
            <w:r>
              <w:rPr>
                <w:rFonts w:ascii="Times New Roman" w:hAnsi="Times New Roman"/>
                <w:b/>
                <w:bCs/>
                <w:color w:val="auto"/>
                <w:szCs w:val="21"/>
              </w:rPr>
              <w:t>表4-</w:t>
            </w:r>
            <w:r>
              <w:rPr>
                <w:rFonts w:hint="eastAsia" w:ascii="Times New Roman" w:hAnsi="Times New Roman"/>
                <w:b/>
                <w:bCs/>
                <w:color w:val="auto"/>
                <w:szCs w:val="21"/>
              </w:rPr>
              <w:t>1</w:t>
            </w:r>
            <w:r>
              <w:rPr>
                <w:rFonts w:hint="eastAsia"/>
                <w:b/>
                <w:bCs/>
                <w:color w:val="auto"/>
                <w:szCs w:val="21"/>
                <w:lang w:val="en-US" w:eastAsia="zh-CN"/>
              </w:rPr>
              <w:t>3</w:t>
            </w:r>
            <w:r>
              <w:rPr>
                <w:rFonts w:hint="eastAsia" w:ascii="Times New Roman" w:hAnsi="Times New Roman"/>
                <w:b/>
                <w:bCs/>
                <w:color w:val="auto"/>
                <w:szCs w:val="21"/>
              </w:rPr>
              <w:t xml:space="preserve"> </w:t>
            </w:r>
            <w:r>
              <w:rPr>
                <w:rFonts w:ascii="Times New Roman" w:hAnsi="Times New Roman"/>
                <w:b/>
                <w:bCs/>
                <w:color w:val="auto"/>
                <w:szCs w:val="21"/>
              </w:rPr>
              <w:t>本项目卫生防护距离计算参数及计算结果</w:t>
            </w:r>
          </w:p>
          <w:tbl>
            <w:tblPr>
              <w:tblStyle w:val="30"/>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135"/>
              <w:gridCol w:w="916"/>
              <w:gridCol w:w="1113"/>
              <w:gridCol w:w="1118"/>
              <w:gridCol w:w="1310"/>
              <w:gridCol w:w="1217"/>
              <w:gridCol w:w="1466"/>
            </w:tblGrid>
            <w:tr w14:paraId="0E28D4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85" w:type="pct"/>
                  <w:noWrap w:val="0"/>
                  <w:vAlign w:val="center"/>
                </w:tcPr>
                <w:p w14:paraId="0D9D4539">
                  <w:pPr>
                    <w:pStyle w:val="100"/>
                    <w:pageBreakBefore w:val="0"/>
                    <w:kinsoku/>
                    <w:wordWrap/>
                    <w:overflowPunct/>
                    <w:topLinePunct w:val="0"/>
                    <w:bidi w:val="0"/>
                    <w:adjustRightInd w:val="0"/>
                    <w:snapToGrid w:val="0"/>
                    <w:jc w:val="center"/>
                    <w:rPr>
                      <w:rFonts w:ascii="Times New Roman" w:hAnsi="Times New Roman"/>
                      <w:b/>
                      <w:bCs/>
                      <w:color w:val="auto"/>
                      <w:szCs w:val="21"/>
                    </w:rPr>
                  </w:pPr>
                  <w:r>
                    <w:rPr>
                      <w:rFonts w:ascii="Times New Roman" w:hAnsi="Times New Roman"/>
                      <w:b/>
                      <w:bCs/>
                      <w:color w:val="auto"/>
                      <w:szCs w:val="21"/>
                    </w:rPr>
                    <w:t>污染源</w:t>
                  </w:r>
                </w:p>
              </w:tc>
              <w:tc>
                <w:tcPr>
                  <w:tcW w:w="553" w:type="pct"/>
                  <w:noWrap w:val="0"/>
                  <w:vAlign w:val="center"/>
                </w:tcPr>
                <w:p w14:paraId="57406B33">
                  <w:pPr>
                    <w:pStyle w:val="100"/>
                    <w:pageBreakBefore w:val="0"/>
                    <w:kinsoku/>
                    <w:wordWrap/>
                    <w:overflowPunct/>
                    <w:topLinePunct w:val="0"/>
                    <w:bidi w:val="0"/>
                    <w:adjustRightInd w:val="0"/>
                    <w:snapToGrid w:val="0"/>
                    <w:jc w:val="center"/>
                    <w:rPr>
                      <w:rFonts w:ascii="Times New Roman" w:hAnsi="Times New Roman"/>
                      <w:b/>
                      <w:bCs/>
                      <w:color w:val="auto"/>
                      <w:szCs w:val="21"/>
                    </w:rPr>
                  </w:pPr>
                  <w:r>
                    <w:rPr>
                      <w:rFonts w:ascii="Times New Roman" w:hAnsi="Times New Roman"/>
                      <w:b/>
                      <w:bCs/>
                      <w:color w:val="auto"/>
                      <w:szCs w:val="21"/>
                    </w:rPr>
                    <w:t>污染物</w:t>
                  </w:r>
                </w:p>
              </w:tc>
              <w:tc>
                <w:tcPr>
                  <w:tcW w:w="672" w:type="pct"/>
                  <w:noWrap w:val="0"/>
                  <w:vAlign w:val="center"/>
                </w:tcPr>
                <w:p w14:paraId="51BFE48D">
                  <w:pPr>
                    <w:pStyle w:val="100"/>
                    <w:pageBreakBefore w:val="0"/>
                    <w:kinsoku/>
                    <w:wordWrap/>
                    <w:overflowPunct/>
                    <w:topLinePunct w:val="0"/>
                    <w:bidi w:val="0"/>
                    <w:adjustRightInd w:val="0"/>
                    <w:snapToGrid w:val="0"/>
                    <w:jc w:val="center"/>
                    <w:rPr>
                      <w:rFonts w:ascii="Times New Roman" w:hAnsi="Times New Roman"/>
                      <w:b/>
                      <w:bCs/>
                      <w:color w:val="auto"/>
                      <w:szCs w:val="21"/>
                    </w:rPr>
                  </w:pPr>
                  <w:r>
                    <w:rPr>
                      <w:rFonts w:ascii="Times New Roman" w:hAnsi="Times New Roman"/>
                      <w:b/>
                      <w:bCs/>
                      <w:color w:val="auto"/>
                      <w:szCs w:val="21"/>
                    </w:rPr>
                    <w:t>排放</w:t>
                  </w:r>
                  <w:r>
                    <w:rPr>
                      <w:rFonts w:hint="eastAsia" w:ascii="Times New Roman" w:hAnsi="Times New Roman"/>
                      <w:b/>
                      <w:bCs/>
                      <w:color w:val="auto"/>
                      <w:szCs w:val="21"/>
                    </w:rPr>
                    <w:t>速率（</w:t>
                  </w:r>
                  <w:r>
                    <w:rPr>
                      <w:rFonts w:ascii="Times New Roman" w:hAnsi="Times New Roman"/>
                      <w:b/>
                      <w:bCs/>
                      <w:color w:val="auto"/>
                      <w:szCs w:val="21"/>
                    </w:rPr>
                    <w:t>kg/h</w:t>
                  </w:r>
                  <w:r>
                    <w:rPr>
                      <w:rFonts w:hint="eastAsia" w:ascii="Times New Roman" w:hAnsi="Times New Roman"/>
                      <w:b/>
                      <w:bCs/>
                      <w:color w:val="auto"/>
                      <w:szCs w:val="21"/>
                    </w:rPr>
                    <w:t>）</w:t>
                  </w:r>
                </w:p>
              </w:tc>
              <w:tc>
                <w:tcPr>
                  <w:tcW w:w="675" w:type="pct"/>
                  <w:noWrap w:val="0"/>
                  <w:vAlign w:val="center"/>
                </w:tcPr>
                <w:p w14:paraId="18D63694">
                  <w:pPr>
                    <w:pStyle w:val="100"/>
                    <w:pageBreakBefore w:val="0"/>
                    <w:kinsoku/>
                    <w:wordWrap/>
                    <w:overflowPunct/>
                    <w:topLinePunct w:val="0"/>
                    <w:bidi w:val="0"/>
                    <w:adjustRightInd w:val="0"/>
                    <w:snapToGrid w:val="0"/>
                    <w:jc w:val="center"/>
                    <w:rPr>
                      <w:rFonts w:ascii="Times New Roman" w:hAnsi="Times New Roman"/>
                      <w:b/>
                      <w:bCs/>
                      <w:color w:val="auto"/>
                      <w:szCs w:val="21"/>
                    </w:rPr>
                  </w:pPr>
                  <w:r>
                    <w:rPr>
                      <w:b/>
                      <w:color w:val="auto"/>
                      <w:szCs w:val="21"/>
                    </w:rPr>
                    <w:t>面源面积（m</w:t>
                  </w:r>
                  <w:r>
                    <w:rPr>
                      <w:b/>
                      <w:color w:val="auto"/>
                      <w:szCs w:val="21"/>
                      <w:vertAlign w:val="superscript"/>
                    </w:rPr>
                    <w:t>2</w:t>
                  </w:r>
                  <w:r>
                    <w:rPr>
                      <w:b/>
                      <w:color w:val="auto"/>
                      <w:szCs w:val="21"/>
                    </w:rPr>
                    <w:t>）</w:t>
                  </w:r>
                </w:p>
              </w:tc>
              <w:tc>
                <w:tcPr>
                  <w:tcW w:w="791" w:type="pct"/>
                  <w:noWrap w:val="0"/>
                  <w:vAlign w:val="center"/>
                </w:tcPr>
                <w:p w14:paraId="15E86862">
                  <w:pPr>
                    <w:pStyle w:val="100"/>
                    <w:pageBreakBefore w:val="0"/>
                    <w:kinsoku/>
                    <w:wordWrap/>
                    <w:overflowPunct/>
                    <w:topLinePunct w:val="0"/>
                    <w:bidi w:val="0"/>
                    <w:adjustRightInd w:val="0"/>
                    <w:snapToGrid w:val="0"/>
                    <w:jc w:val="center"/>
                    <w:rPr>
                      <w:rFonts w:ascii="Times New Roman" w:hAnsi="Times New Roman"/>
                      <w:b/>
                      <w:bCs/>
                      <w:color w:val="auto"/>
                      <w:szCs w:val="21"/>
                    </w:rPr>
                  </w:pPr>
                  <w:r>
                    <w:rPr>
                      <w:rFonts w:ascii="Times New Roman" w:hAnsi="Times New Roman"/>
                      <w:b/>
                      <w:bCs/>
                      <w:color w:val="auto"/>
                      <w:szCs w:val="21"/>
                    </w:rPr>
                    <w:t>执行标准浓度(mg/m</w:t>
                  </w:r>
                  <w:r>
                    <w:rPr>
                      <w:rFonts w:ascii="Times New Roman" w:hAnsi="Times New Roman"/>
                      <w:b/>
                      <w:bCs/>
                      <w:color w:val="auto"/>
                      <w:szCs w:val="21"/>
                      <w:vertAlign w:val="superscript"/>
                    </w:rPr>
                    <w:t>3</w:t>
                  </w:r>
                  <w:r>
                    <w:rPr>
                      <w:rFonts w:ascii="Times New Roman" w:hAnsi="Times New Roman"/>
                      <w:b/>
                      <w:bCs/>
                      <w:color w:val="auto"/>
                      <w:szCs w:val="21"/>
                    </w:rPr>
                    <w:t>)</w:t>
                  </w:r>
                </w:p>
              </w:tc>
              <w:tc>
                <w:tcPr>
                  <w:tcW w:w="735" w:type="pct"/>
                  <w:noWrap w:val="0"/>
                  <w:vAlign w:val="center"/>
                </w:tcPr>
                <w:p w14:paraId="7B4DF7D3">
                  <w:pPr>
                    <w:pStyle w:val="100"/>
                    <w:pageBreakBefore w:val="0"/>
                    <w:kinsoku/>
                    <w:wordWrap/>
                    <w:overflowPunct/>
                    <w:topLinePunct w:val="0"/>
                    <w:bidi w:val="0"/>
                    <w:adjustRightInd w:val="0"/>
                    <w:snapToGrid w:val="0"/>
                    <w:jc w:val="center"/>
                    <w:rPr>
                      <w:rFonts w:ascii="Times New Roman" w:hAnsi="Times New Roman"/>
                      <w:b/>
                      <w:bCs/>
                      <w:color w:val="auto"/>
                      <w:szCs w:val="21"/>
                    </w:rPr>
                  </w:pPr>
                  <w:r>
                    <w:rPr>
                      <w:rFonts w:ascii="Times New Roman" w:hAnsi="Times New Roman"/>
                      <w:b/>
                      <w:bCs/>
                      <w:color w:val="auto"/>
                      <w:szCs w:val="21"/>
                    </w:rPr>
                    <w:t>卫生防护距离</w:t>
                  </w:r>
                  <w:r>
                    <w:rPr>
                      <w:rFonts w:hint="eastAsia" w:ascii="Times New Roman" w:hAnsi="Times New Roman"/>
                      <w:b/>
                      <w:bCs/>
                      <w:color w:val="auto"/>
                      <w:szCs w:val="21"/>
                    </w:rPr>
                    <w:t>初值（m）</w:t>
                  </w:r>
                </w:p>
              </w:tc>
              <w:tc>
                <w:tcPr>
                  <w:tcW w:w="885" w:type="pct"/>
                  <w:noWrap w:val="0"/>
                  <w:vAlign w:val="center"/>
                </w:tcPr>
                <w:p w14:paraId="68BD83D0">
                  <w:pPr>
                    <w:pStyle w:val="100"/>
                    <w:pageBreakBefore w:val="0"/>
                    <w:kinsoku/>
                    <w:wordWrap/>
                    <w:overflowPunct/>
                    <w:topLinePunct w:val="0"/>
                    <w:bidi w:val="0"/>
                    <w:adjustRightInd w:val="0"/>
                    <w:snapToGrid w:val="0"/>
                    <w:jc w:val="center"/>
                    <w:rPr>
                      <w:rFonts w:ascii="Times New Roman" w:hAnsi="Times New Roman"/>
                      <w:b/>
                      <w:bCs/>
                      <w:color w:val="auto"/>
                      <w:szCs w:val="21"/>
                    </w:rPr>
                  </w:pPr>
                  <w:r>
                    <w:rPr>
                      <w:rFonts w:ascii="Times New Roman" w:hAnsi="Times New Roman"/>
                      <w:b/>
                      <w:bCs/>
                      <w:color w:val="auto"/>
                      <w:szCs w:val="21"/>
                    </w:rPr>
                    <w:t>卫生防护距离</w:t>
                  </w:r>
                  <w:r>
                    <w:rPr>
                      <w:rFonts w:hint="eastAsia" w:ascii="Times New Roman" w:hAnsi="Times New Roman"/>
                      <w:b/>
                      <w:bCs/>
                      <w:color w:val="auto"/>
                      <w:szCs w:val="21"/>
                    </w:rPr>
                    <w:t>（m）</w:t>
                  </w:r>
                </w:p>
              </w:tc>
            </w:tr>
            <w:tr w14:paraId="45543E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85" w:type="pct"/>
                  <w:noWrap w:val="0"/>
                  <w:vAlign w:val="center"/>
                </w:tcPr>
                <w:p w14:paraId="6CF98FEF">
                  <w:pPr>
                    <w:pStyle w:val="100"/>
                    <w:pageBreakBefore w:val="0"/>
                    <w:kinsoku/>
                    <w:wordWrap/>
                    <w:overflowPunct/>
                    <w:topLinePunct w:val="0"/>
                    <w:bidi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喷涂</w:t>
                  </w:r>
                  <w:r>
                    <w:rPr>
                      <w:rFonts w:hint="eastAsia" w:ascii="Times New Roman" w:hAnsi="Times New Roman"/>
                      <w:color w:val="auto"/>
                      <w:szCs w:val="21"/>
                      <w:lang w:val="en-US" w:eastAsia="zh-CN"/>
                    </w:rPr>
                    <w:t>车间</w:t>
                  </w:r>
                </w:p>
              </w:tc>
              <w:tc>
                <w:tcPr>
                  <w:tcW w:w="553" w:type="pct"/>
                  <w:noWrap w:val="0"/>
                  <w:vAlign w:val="center"/>
                </w:tcPr>
                <w:p w14:paraId="26A6A84C">
                  <w:pPr>
                    <w:pageBreakBefore w:val="0"/>
                    <w:kinsoku/>
                    <w:wordWrap/>
                    <w:overflowPunct/>
                    <w:topLinePunct w:val="0"/>
                    <w:autoSpaceDE w:val="0"/>
                    <w:autoSpaceDN w:val="0"/>
                    <w:bidi w:val="0"/>
                    <w:adjustRightInd w:val="0"/>
                    <w:snapToGrid w:val="0"/>
                    <w:jc w:val="center"/>
                    <w:rPr>
                      <w:rFonts w:hint="eastAsia" w:ascii="Times New Roman" w:hAnsi="Times New Roman"/>
                      <w:color w:val="auto"/>
                      <w:szCs w:val="21"/>
                    </w:rPr>
                  </w:pPr>
                  <w:r>
                    <w:rPr>
                      <w:rFonts w:hint="eastAsia" w:ascii="Times New Roman" w:hAnsi="Times New Roman"/>
                      <w:color w:val="auto"/>
                      <w:szCs w:val="21"/>
                    </w:rPr>
                    <w:t>颗粒物</w:t>
                  </w:r>
                </w:p>
              </w:tc>
              <w:tc>
                <w:tcPr>
                  <w:tcW w:w="672" w:type="pct"/>
                  <w:noWrap w:val="0"/>
                  <w:vAlign w:val="center"/>
                </w:tcPr>
                <w:p w14:paraId="786F9CA5">
                  <w:pPr>
                    <w:pageBreakBefore w:val="0"/>
                    <w:widowControl/>
                    <w:kinsoku/>
                    <w:wordWrap/>
                    <w:overflowPunct/>
                    <w:topLinePunct w:val="0"/>
                    <w:bidi w:val="0"/>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w:t>
                  </w:r>
                  <w:r>
                    <w:rPr>
                      <w:rFonts w:hint="eastAsia"/>
                      <w:color w:val="auto"/>
                      <w:szCs w:val="21"/>
                      <w:lang w:val="en-US" w:eastAsia="zh-CN"/>
                    </w:rPr>
                    <w:t>054</w:t>
                  </w:r>
                </w:p>
              </w:tc>
              <w:tc>
                <w:tcPr>
                  <w:tcW w:w="675" w:type="pct"/>
                  <w:noWrap w:val="0"/>
                  <w:vAlign w:val="center"/>
                </w:tcPr>
                <w:p w14:paraId="09736AAB">
                  <w:pPr>
                    <w:pStyle w:val="100"/>
                    <w:pageBreakBefore w:val="0"/>
                    <w:kinsoku/>
                    <w:wordWrap/>
                    <w:overflowPunct/>
                    <w:topLinePunct w:val="0"/>
                    <w:bidi w:val="0"/>
                    <w:snapToGrid w:val="0"/>
                    <w:jc w:val="center"/>
                    <w:rPr>
                      <w:rFonts w:hint="default" w:ascii="Times New Roman" w:hAnsi="Times New Roman" w:eastAsia="宋体"/>
                      <w:color w:val="auto"/>
                      <w:szCs w:val="21"/>
                      <w:lang w:val="en-US" w:eastAsia="zh-CN"/>
                    </w:rPr>
                  </w:pPr>
                  <w:r>
                    <w:rPr>
                      <w:rFonts w:hint="eastAsia" w:eastAsia="宋体"/>
                      <w:color w:val="auto"/>
                      <w:szCs w:val="21"/>
                      <w:lang w:val="en-US" w:eastAsia="zh-CN"/>
                    </w:rPr>
                    <w:t>1300</w:t>
                  </w:r>
                </w:p>
              </w:tc>
              <w:tc>
                <w:tcPr>
                  <w:tcW w:w="791" w:type="pct"/>
                  <w:noWrap w:val="0"/>
                  <w:vAlign w:val="center"/>
                </w:tcPr>
                <w:p w14:paraId="43F34C9F">
                  <w:pPr>
                    <w:pStyle w:val="100"/>
                    <w:pageBreakBefore w:val="0"/>
                    <w:kinsoku/>
                    <w:wordWrap/>
                    <w:overflowPunct/>
                    <w:topLinePunct w:val="0"/>
                    <w:bidi w:val="0"/>
                    <w:snapToGrid w:val="0"/>
                    <w:jc w:val="center"/>
                    <w:rPr>
                      <w:rFonts w:hint="eastAsia" w:ascii="Times New Roman" w:hAnsi="Times New Roman"/>
                      <w:color w:val="auto"/>
                      <w:kern w:val="0"/>
                    </w:rPr>
                  </w:pPr>
                  <w:r>
                    <w:rPr>
                      <w:rFonts w:hint="eastAsia" w:ascii="Times New Roman" w:hAnsi="Times New Roman"/>
                      <w:color w:val="auto"/>
                      <w:kern w:val="0"/>
                    </w:rPr>
                    <w:t>0.45</w:t>
                  </w:r>
                </w:p>
              </w:tc>
              <w:tc>
                <w:tcPr>
                  <w:tcW w:w="735" w:type="pct"/>
                  <w:noWrap w:val="0"/>
                  <w:vAlign w:val="center"/>
                </w:tcPr>
                <w:p w14:paraId="6EE75594">
                  <w:pPr>
                    <w:pageBreakBefore w:val="0"/>
                    <w:kinsoku/>
                    <w:wordWrap/>
                    <w:overflowPunct/>
                    <w:topLinePunct w:val="0"/>
                    <w:bidi w:val="0"/>
                    <w:snapToGrid w:val="0"/>
                    <w:jc w:val="center"/>
                    <w:rPr>
                      <w:rFonts w:hint="default" w:ascii="Times New Roman" w:hAnsi="Times New Roman" w:eastAsia="宋体"/>
                      <w:color w:val="auto"/>
                      <w:szCs w:val="21"/>
                      <w:lang w:val="en-US" w:eastAsia="zh-CN"/>
                    </w:rPr>
                  </w:pPr>
                  <w:r>
                    <w:rPr>
                      <w:rFonts w:hint="eastAsia" w:eastAsia="宋体"/>
                      <w:color w:val="auto"/>
                      <w:szCs w:val="21"/>
                      <w:lang w:val="en-US" w:eastAsia="zh-CN"/>
                    </w:rPr>
                    <w:t>5.934</w:t>
                  </w:r>
                </w:p>
              </w:tc>
              <w:tc>
                <w:tcPr>
                  <w:tcW w:w="885" w:type="pct"/>
                  <w:noWrap w:val="0"/>
                  <w:vAlign w:val="center"/>
                </w:tcPr>
                <w:p w14:paraId="79A68584">
                  <w:pPr>
                    <w:pStyle w:val="100"/>
                    <w:pageBreakBefore w:val="0"/>
                    <w:kinsoku/>
                    <w:wordWrap/>
                    <w:overflowPunct/>
                    <w:topLinePunct w:val="0"/>
                    <w:bidi w:val="0"/>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50</w:t>
                  </w:r>
                </w:p>
              </w:tc>
            </w:tr>
          </w:tbl>
          <w:p w14:paraId="3D888136">
            <w:pPr>
              <w:pageBreakBefore w:val="0"/>
              <w:kinsoku/>
              <w:wordWrap/>
              <w:overflowPunct/>
              <w:topLinePunct w:val="0"/>
              <w:bidi w:val="0"/>
              <w:snapToGrid w:val="0"/>
              <w:spacing w:before="120" w:beforeLines="50" w:line="360" w:lineRule="auto"/>
              <w:ind w:firstLine="420" w:firstLineChars="200"/>
              <w:rPr>
                <w:rFonts w:ascii="Times New Roman" w:hAnsi="Times New Roman"/>
                <w:color w:val="auto"/>
                <w:szCs w:val="21"/>
              </w:rPr>
            </w:pPr>
            <w:r>
              <w:rPr>
                <w:rFonts w:hint="eastAsia" w:ascii="Times New Roman" w:hAnsi="Times New Roman"/>
                <w:color w:val="auto"/>
                <w:szCs w:val="21"/>
              </w:rPr>
              <w:t>③卫生防护距离终值确定</w:t>
            </w:r>
          </w:p>
          <w:p w14:paraId="4ED487CB">
            <w:pPr>
              <w:spacing w:line="360" w:lineRule="auto"/>
              <w:ind w:firstLine="420" w:firstLineChars="200"/>
              <w:rPr>
                <w:rFonts w:hint="default" w:ascii="Times New Roman" w:hAnsi="Times New Roman" w:cs="Times New Roman"/>
                <w:b/>
                <w:bCs/>
                <w:color w:val="auto"/>
                <w:szCs w:val="21"/>
                <w:highlight w:val="none"/>
              </w:rPr>
            </w:pPr>
            <w:r>
              <w:rPr>
                <w:rFonts w:ascii="Times New Roman" w:hAnsi="Times New Roman"/>
                <w:color w:val="auto"/>
                <w:szCs w:val="21"/>
              </w:rPr>
              <w:t>根据计算结果，</w:t>
            </w:r>
            <w:r>
              <w:rPr>
                <w:rFonts w:hint="eastAsia" w:ascii="Times New Roman" w:hAnsi="Times New Roman"/>
                <w:color w:val="auto"/>
                <w:szCs w:val="21"/>
              </w:rPr>
              <w:t>项目卫生防护距离为：以</w:t>
            </w:r>
            <w:r>
              <w:rPr>
                <w:rFonts w:hint="eastAsia"/>
                <w:color w:val="auto"/>
                <w:szCs w:val="21"/>
                <w:lang w:val="en-US" w:eastAsia="zh-CN"/>
              </w:rPr>
              <w:t>喷涂</w:t>
            </w:r>
            <w:r>
              <w:rPr>
                <w:rFonts w:hint="eastAsia" w:ascii="Times New Roman" w:hAnsi="Times New Roman"/>
                <w:color w:val="auto"/>
                <w:szCs w:val="21"/>
                <w:lang w:val="en-US" w:eastAsia="zh-CN"/>
              </w:rPr>
              <w:t>车间</w:t>
            </w:r>
            <w:r>
              <w:rPr>
                <w:rFonts w:hint="eastAsia" w:ascii="Times New Roman" w:hAnsi="Times New Roman"/>
                <w:color w:val="auto"/>
                <w:szCs w:val="21"/>
              </w:rPr>
              <w:t>为边界，往外50m形成的包络线，</w:t>
            </w:r>
            <w:r>
              <w:rPr>
                <w:rFonts w:ascii="Times New Roman" w:hAnsi="Times New Roman"/>
                <w:color w:val="auto"/>
                <w:szCs w:val="21"/>
              </w:rPr>
              <w:t>该范围内不得建设居民区、学校和医院等敏感目标。</w:t>
            </w:r>
            <w:r>
              <w:rPr>
                <w:rFonts w:hint="eastAsia" w:ascii="Times New Roman" w:hAnsi="Times New Roman" w:eastAsia="宋体" w:cs="Times New Roman"/>
                <w:color w:val="auto"/>
                <w:kern w:val="2"/>
                <w:sz w:val="21"/>
                <w:szCs w:val="21"/>
                <w:lang w:val="en-US" w:eastAsia="zh-CN" w:bidi="ar-SA"/>
              </w:rPr>
              <w:t>经调查卫生防护距离内无敏感点，因此项目的建设符合卫生防护距离要求。</w:t>
            </w:r>
            <w:r>
              <w:rPr>
                <w:rFonts w:hint="eastAsia" w:ascii="Times New Roman" w:hAnsi="Times New Roman" w:eastAsia="宋体" w:cs="Times New Roman"/>
                <w:color w:val="auto"/>
                <w:kern w:val="0"/>
                <w:sz w:val="21"/>
                <w:szCs w:val="21"/>
                <w:lang w:val="en-US" w:eastAsia="zh-CN" w:bidi="ar-SA"/>
              </w:rPr>
              <w:t>故企业</w:t>
            </w:r>
            <w:r>
              <w:rPr>
                <w:rFonts w:ascii="Times New Roman" w:hAnsi="Times New Roman" w:eastAsia="宋体" w:cs="Times New Roman"/>
                <w:color w:val="auto"/>
                <w:kern w:val="0"/>
                <w:sz w:val="21"/>
                <w:szCs w:val="21"/>
                <w:lang w:val="en-US" w:eastAsia="zh-CN" w:bidi="ar-SA"/>
              </w:rPr>
              <w:t>无组织废气对当地环境空气质量影响较小，可满足环境管理要求</w:t>
            </w:r>
            <w:r>
              <w:rPr>
                <w:rFonts w:hint="eastAsia" w:ascii="Times New Roman" w:hAnsi="Times New Roman" w:eastAsia="宋体" w:cs="Times New Roman"/>
                <w:color w:val="auto"/>
                <w:kern w:val="0"/>
                <w:sz w:val="21"/>
                <w:szCs w:val="21"/>
                <w:lang w:val="en-US" w:eastAsia="zh-CN" w:bidi="ar-SA"/>
              </w:rPr>
              <w:t>。</w:t>
            </w:r>
          </w:p>
          <w:p w14:paraId="47E1DD53">
            <w:pPr>
              <w:spacing w:line="360" w:lineRule="auto"/>
              <w:ind w:firstLine="422" w:firstLineChars="20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1.</w:t>
            </w:r>
            <w:r>
              <w:rPr>
                <w:rFonts w:hint="eastAsia" w:cs="Times New Roman"/>
                <w:b/>
                <w:bCs/>
                <w:color w:val="auto"/>
                <w:szCs w:val="21"/>
                <w:highlight w:val="none"/>
                <w:lang w:val="en-US" w:eastAsia="zh-CN"/>
              </w:rPr>
              <w:t>5</w:t>
            </w:r>
            <w:r>
              <w:rPr>
                <w:rFonts w:hint="default" w:ascii="Times New Roman" w:hAnsi="Times New Roman" w:cs="Times New Roman"/>
                <w:b/>
                <w:bCs/>
                <w:color w:val="auto"/>
                <w:szCs w:val="21"/>
                <w:highlight w:val="none"/>
              </w:rPr>
              <w:t xml:space="preserve"> 环境监测计划</w:t>
            </w:r>
          </w:p>
          <w:p w14:paraId="3C47C1B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本项目建成后，企业根据《排污单位自行监测技术指南 总则》（HJ819-2017）、《省生态环境厅关于印发&lt;江苏省污染源自动监控管理办法(试行)&gt;的通知》（苏环发〔2021〕3号）</w:t>
            </w:r>
            <w:r>
              <w:rPr>
                <w:rFonts w:hint="default" w:ascii="Times New Roman" w:hAnsi="Times New Roman" w:cs="Times New Roman"/>
                <w:color w:val="auto"/>
                <w:szCs w:val="21"/>
                <w:highlight w:val="none"/>
                <w:lang w:eastAsia="zh-CN"/>
              </w:rPr>
              <w:t>、</w:t>
            </w:r>
            <w:r>
              <w:rPr>
                <w:rFonts w:hint="eastAsia"/>
                <w:color w:val="auto"/>
                <w:szCs w:val="21"/>
                <w:highlight w:val="none"/>
              </w:rPr>
              <w:t xml:space="preserve">《排污单位自行监测技术指南 </w:t>
            </w:r>
            <w:r>
              <w:rPr>
                <w:rFonts w:hint="eastAsia"/>
                <w:color w:val="auto"/>
                <w:szCs w:val="21"/>
                <w:highlight w:val="none"/>
                <w:lang w:val="en-US" w:eastAsia="zh-CN"/>
              </w:rPr>
              <w:t>涂装</w:t>
            </w:r>
            <w:r>
              <w:rPr>
                <w:rFonts w:hint="eastAsia"/>
                <w:color w:val="auto"/>
                <w:szCs w:val="21"/>
                <w:highlight w:val="none"/>
              </w:rPr>
              <w:t>》（HJ1</w:t>
            </w:r>
            <w:r>
              <w:rPr>
                <w:rFonts w:hint="eastAsia"/>
                <w:color w:val="auto"/>
                <w:szCs w:val="21"/>
                <w:highlight w:val="none"/>
                <w:lang w:val="en-US" w:eastAsia="zh-CN"/>
              </w:rPr>
              <w:t>086</w:t>
            </w:r>
            <w:r>
              <w:rPr>
                <w:rFonts w:hint="eastAsia"/>
                <w:color w:val="auto"/>
                <w:szCs w:val="21"/>
                <w:highlight w:val="none"/>
              </w:rPr>
              <w:t>-202</w:t>
            </w:r>
            <w:r>
              <w:rPr>
                <w:rFonts w:hint="eastAsia"/>
                <w:color w:val="auto"/>
                <w:szCs w:val="21"/>
                <w:highlight w:val="none"/>
                <w:lang w:val="en-US" w:eastAsia="zh-CN"/>
              </w:rPr>
              <w:t>0</w:t>
            </w:r>
            <w:r>
              <w:rPr>
                <w:rFonts w:hint="eastAsia"/>
                <w:color w:val="auto"/>
                <w:szCs w:val="21"/>
                <w:highlight w:val="none"/>
              </w:rPr>
              <w:t>）</w:t>
            </w:r>
            <w:r>
              <w:rPr>
                <w:rFonts w:hint="eastAsia"/>
                <w:color w:val="auto"/>
                <w:szCs w:val="21"/>
                <w:highlight w:val="none"/>
                <w:lang w:eastAsia="zh-CN"/>
              </w:rPr>
              <w:t>、</w:t>
            </w:r>
            <w:r>
              <w:rPr>
                <w:rFonts w:hint="eastAsia"/>
                <w:lang w:eastAsia="zh-CN"/>
              </w:rPr>
              <w:t>《</w:t>
            </w:r>
            <w:r>
              <w:rPr>
                <w:rFonts w:hint="eastAsia"/>
              </w:rPr>
              <w:t>排污许可证申请与核发技术规范 工业炉窑</w:t>
            </w:r>
            <w:r>
              <w:rPr>
                <w:rFonts w:hint="eastAsia"/>
                <w:lang w:eastAsia="zh-CN"/>
              </w:rPr>
              <w:t>》（</w:t>
            </w:r>
            <w:r>
              <w:rPr>
                <w:rFonts w:hint="eastAsia"/>
              </w:rPr>
              <w:t>HJ 1121-2020</w:t>
            </w:r>
            <w:r>
              <w:rPr>
                <w:rFonts w:hint="eastAsia"/>
                <w:lang w:eastAsia="zh-CN"/>
              </w:rPr>
              <w:t>）</w:t>
            </w:r>
            <w:r>
              <w:rPr>
                <w:rFonts w:hint="default" w:ascii="Times New Roman" w:hAnsi="Times New Roman" w:cs="Times New Roman"/>
                <w:color w:val="auto"/>
                <w:szCs w:val="21"/>
                <w:highlight w:val="none"/>
              </w:rPr>
              <w:t>等文件的相关要求开展例行监测。运营期的污染源监测内容应符合实际生产现状，公司在制作监测计划应充分考虑各类污染物排放情况，监测结果作为上报依据报当地环境保护主管部门。</w:t>
            </w:r>
          </w:p>
          <w:p w14:paraId="75B9810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本项目监测计划见表4-1</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rPr>
              <w:t>。</w:t>
            </w:r>
          </w:p>
          <w:p w14:paraId="52D6B8CA">
            <w:pPr>
              <w:spacing w:line="30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表4-1</w:t>
            </w:r>
            <w:r>
              <w:rPr>
                <w:rFonts w:hint="eastAsia" w:cs="Times New Roman"/>
                <w:b/>
                <w:bCs/>
                <w:color w:val="auto"/>
                <w:szCs w:val="21"/>
                <w:highlight w:val="none"/>
                <w:lang w:val="en-US" w:eastAsia="zh-CN"/>
              </w:rPr>
              <w:t>4</w:t>
            </w:r>
            <w:r>
              <w:rPr>
                <w:rFonts w:hint="default" w:ascii="Times New Roman" w:hAnsi="Times New Roman" w:cs="Times New Roman"/>
                <w:b/>
                <w:bCs/>
                <w:color w:val="auto"/>
                <w:szCs w:val="21"/>
                <w:highlight w:val="none"/>
              </w:rPr>
              <w:t xml:space="preserve"> 大气污染物监测计划一览表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05"/>
              <w:gridCol w:w="1431"/>
              <w:gridCol w:w="1862"/>
              <w:gridCol w:w="1191"/>
              <w:gridCol w:w="2493"/>
            </w:tblGrid>
            <w:tr w14:paraId="74314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7" w:type="pct"/>
                  <w:noWrap w:val="0"/>
                  <w:vAlign w:val="center"/>
                </w:tcPr>
                <w:p w14:paraId="68445FC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类别</w:t>
                  </w:r>
                </w:p>
              </w:tc>
              <w:tc>
                <w:tcPr>
                  <w:tcW w:w="863" w:type="pct"/>
                  <w:noWrap w:val="0"/>
                  <w:vAlign w:val="center"/>
                </w:tcPr>
                <w:p w14:paraId="5A865D7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1124" w:type="pct"/>
                  <w:noWrap w:val="0"/>
                  <w:vAlign w:val="center"/>
                </w:tcPr>
                <w:p w14:paraId="3CD7FF34">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监测因子</w:t>
                  </w:r>
                </w:p>
              </w:tc>
              <w:tc>
                <w:tcPr>
                  <w:tcW w:w="719" w:type="pct"/>
                  <w:noWrap w:val="0"/>
                  <w:vAlign w:val="center"/>
                </w:tcPr>
                <w:p w14:paraId="75DEA26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c>
                <w:tcPr>
                  <w:tcW w:w="1505" w:type="pct"/>
                  <w:noWrap w:val="0"/>
                  <w:vAlign w:val="center"/>
                </w:tcPr>
                <w:p w14:paraId="0254107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执行排放标准</w:t>
                  </w:r>
                </w:p>
              </w:tc>
            </w:tr>
            <w:tr w14:paraId="28F47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8" w:hRule="atLeast"/>
                <w:jc w:val="center"/>
              </w:trPr>
              <w:tc>
                <w:tcPr>
                  <w:tcW w:w="787" w:type="pct"/>
                  <w:vMerge w:val="restart"/>
                  <w:noWrap w:val="0"/>
                  <w:vAlign w:val="center"/>
                </w:tcPr>
                <w:p w14:paraId="6BD46CE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有组织废气</w:t>
                  </w:r>
                </w:p>
              </w:tc>
              <w:tc>
                <w:tcPr>
                  <w:tcW w:w="863" w:type="pct"/>
                  <w:vMerge w:val="restart"/>
                  <w:noWrap w:val="0"/>
                  <w:vAlign w:val="center"/>
                </w:tcPr>
                <w:p w14:paraId="123C183C">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DA00</w:t>
                  </w:r>
                  <w:r>
                    <w:rPr>
                      <w:rFonts w:hint="eastAsia" w:cs="Times New Roman"/>
                      <w:color w:val="auto"/>
                      <w:szCs w:val="21"/>
                      <w:highlight w:val="none"/>
                      <w:lang w:val="en-US" w:eastAsia="zh-CN"/>
                    </w:rPr>
                    <w:t>6</w:t>
                  </w:r>
                </w:p>
              </w:tc>
              <w:tc>
                <w:tcPr>
                  <w:tcW w:w="1124" w:type="pct"/>
                  <w:noWrap w:val="0"/>
                  <w:vAlign w:val="center"/>
                </w:tcPr>
                <w:p w14:paraId="25186F6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719" w:type="pct"/>
                  <w:noWrap w:val="0"/>
                  <w:vAlign w:val="center"/>
                </w:tcPr>
                <w:p w14:paraId="013FBBAC">
                  <w:pPr>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rPr>
                    <w:t>1次/</w:t>
                  </w:r>
                  <w:r>
                    <w:rPr>
                      <w:rFonts w:hint="eastAsia" w:cs="Times New Roman"/>
                      <w:color w:val="auto"/>
                      <w:szCs w:val="21"/>
                      <w:highlight w:val="none"/>
                      <w:lang w:val="en-US" w:eastAsia="zh-CN"/>
                    </w:rPr>
                    <w:t>半年</w:t>
                  </w:r>
                </w:p>
              </w:tc>
              <w:tc>
                <w:tcPr>
                  <w:tcW w:w="1505" w:type="pct"/>
                  <w:noWrap w:val="0"/>
                  <w:vAlign w:val="center"/>
                </w:tcPr>
                <w:p w14:paraId="137BE354">
                  <w:pPr>
                    <w:widowControl/>
                    <w:jc w:val="center"/>
                    <w:textAlignment w:val="center"/>
                    <w:rPr>
                      <w:rFonts w:hint="default"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bCs/>
                      <w:color w:val="auto"/>
                      <w:szCs w:val="21"/>
                      <w:highlight w:val="none"/>
                    </w:rPr>
                    <w:t>《</w:t>
                  </w:r>
                  <w:r>
                    <w:rPr>
                      <w:rFonts w:hint="default" w:ascii="Times New Roman" w:hAnsi="Times New Roman" w:eastAsia="宋体" w:cs="Times New Roman"/>
                      <w:bCs/>
                      <w:color w:val="auto"/>
                      <w:szCs w:val="21"/>
                      <w:highlight w:val="none"/>
                      <w:lang w:val="en-US" w:eastAsia="zh-CN"/>
                    </w:rPr>
                    <w:t>工业涂装工序</w:t>
                  </w:r>
                  <w:r>
                    <w:rPr>
                      <w:rFonts w:hint="default" w:ascii="Times New Roman" w:hAnsi="Times New Roman" w:eastAsia="宋体" w:cs="Times New Roman"/>
                      <w:bCs/>
                      <w:color w:val="auto"/>
                      <w:szCs w:val="21"/>
                      <w:highlight w:val="none"/>
                    </w:rPr>
                    <w:t>大气污染物排放标准》（DB32/4</w:t>
                  </w:r>
                  <w:r>
                    <w:rPr>
                      <w:rFonts w:hint="default" w:ascii="Times New Roman" w:hAnsi="Times New Roman" w:eastAsia="宋体" w:cs="Times New Roman"/>
                      <w:bCs/>
                      <w:color w:val="auto"/>
                      <w:szCs w:val="21"/>
                      <w:highlight w:val="none"/>
                      <w:lang w:val="en-US" w:eastAsia="zh-CN"/>
                    </w:rPr>
                    <w:t>439</w:t>
                  </w:r>
                  <w:r>
                    <w:rPr>
                      <w:rFonts w:hint="default" w:ascii="Times New Roman" w:hAnsi="Times New Roman" w:eastAsia="宋体" w:cs="Times New Roman"/>
                      <w:bCs/>
                      <w:color w:val="auto"/>
                      <w:szCs w:val="21"/>
                      <w:highlight w:val="none"/>
                    </w:rPr>
                    <w:t>-202</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rPr>
                    <w:t>）</w:t>
                  </w:r>
                </w:p>
              </w:tc>
            </w:tr>
            <w:tr w14:paraId="4BA53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8" w:hRule="atLeast"/>
                <w:jc w:val="center"/>
              </w:trPr>
              <w:tc>
                <w:tcPr>
                  <w:tcW w:w="787" w:type="pct"/>
                  <w:vMerge w:val="continue"/>
                  <w:noWrap w:val="0"/>
                  <w:vAlign w:val="center"/>
                </w:tcPr>
                <w:p w14:paraId="179C4F76">
                  <w:pPr>
                    <w:jc w:val="center"/>
                    <w:rPr>
                      <w:rFonts w:hint="default" w:ascii="Times New Roman" w:hAnsi="Times New Roman" w:cs="Times New Roman"/>
                      <w:color w:val="auto"/>
                      <w:szCs w:val="21"/>
                      <w:highlight w:val="none"/>
                    </w:rPr>
                  </w:pPr>
                </w:p>
              </w:tc>
              <w:tc>
                <w:tcPr>
                  <w:tcW w:w="863" w:type="pct"/>
                  <w:vMerge w:val="continue"/>
                  <w:noWrap w:val="0"/>
                  <w:vAlign w:val="center"/>
                </w:tcPr>
                <w:p w14:paraId="1A23FE01">
                  <w:pPr>
                    <w:jc w:val="center"/>
                    <w:rPr>
                      <w:rFonts w:hint="default" w:ascii="Times New Roman" w:hAnsi="Times New Roman" w:cs="Times New Roman"/>
                      <w:color w:val="auto"/>
                      <w:szCs w:val="21"/>
                      <w:highlight w:val="none"/>
                    </w:rPr>
                  </w:pPr>
                </w:p>
              </w:tc>
              <w:tc>
                <w:tcPr>
                  <w:tcW w:w="1124" w:type="pct"/>
                  <w:noWrap w:val="0"/>
                  <w:vAlign w:val="center"/>
                </w:tcPr>
                <w:p w14:paraId="6807173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颗粒物</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SO</w:t>
                  </w:r>
                  <w:r>
                    <w:rPr>
                      <w:rFonts w:hint="default" w:ascii="Times New Roman" w:hAnsi="Times New Roman" w:cs="Times New Roman"/>
                      <w:i w:val="0"/>
                      <w:iCs w:val="0"/>
                      <w:color w:val="auto"/>
                      <w:kern w:val="0"/>
                      <w:sz w:val="21"/>
                      <w:szCs w:val="21"/>
                      <w:highlight w:val="none"/>
                      <w:u w:val="none"/>
                      <w:vertAlign w:val="subscript"/>
                      <w:lang w:val="en-US" w:eastAsia="zh-CN" w:bidi="ar"/>
                    </w:rPr>
                    <w:t>2</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NOx</w:t>
                  </w:r>
                  <w:r>
                    <w:rPr>
                      <w:rFonts w:hint="eastAsia" w:cs="Times New Roman"/>
                      <w:i w:val="0"/>
                      <w:iCs w:val="0"/>
                      <w:color w:val="auto"/>
                      <w:kern w:val="0"/>
                      <w:sz w:val="21"/>
                      <w:szCs w:val="21"/>
                      <w:highlight w:val="none"/>
                      <w:u w:val="none"/>
                      <w:lang w:val="en-US" w:eastAsia="zh-CN" w:bidi="ar"/>
                    </w:rPr>
                    <w:t>、烟气黑度</w:t>
                  </w:r>
                </w:p>
              </w:tc>
              <w:tc>
                <w:tcPr>
                  <w:tcW w:w="719" w:type="pct"/>
                  <w:noWrap w:val="0"/>
                  <w:vAlign w:val="center"/>
                </w:tcPr>
                <w:p w14:paraId="081F47E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r>
                    <w:rPr>
                      <w:rFonts w:hint="eastAsia" w:cs="Times New Roman"/>
                      <w:color w:val="auto"/>
                      <w:szCs w:val="21"/>
                      <w:highlight w:val="none"/>
                      <w:lang w:val="en-US" w:eastAsia="zh-CN"/>
                    </w:rPr>
                    <w:t>半年</w:t>
                  </w:r>
                </w:p>
              </w:tc>
              <w:tc>
                <w:tcPr>
                  <w:tcW w:w="1505" w:type="pct"/>
                  <w:noWrap w:val="0"/>
                  <w:vAlign w:val="center"/>
                </w:tcPr>
                <w:p w14:paraId="3DDAE46A">
                  <w:pPr>
                    <w:widowControl/>
                    <w:jc w:val="center"/>
                    <w:textAlignment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kern w:val="0"/>
                      <w:sz w:val="21"/>
                      <w:szCs w:val="21"/>
                      <w:highlight w:val="none"/>
                      <w:lang w:val="en-US" w:eastAsia="zh-CN" w:bidi="ar"/>
                    </w:rPr>
                    <w:t>《工业炉窑大气污染物排放标准》（DB32/3728-2020）</w:t>
                  </w:r>
                </w:p>
              </w:tc>
            </w:tr>
            <w:tr w14:paraId="7D5F1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7" w:type="pct"/>
                  <w:vMerge w:val="restart"/>
                  <w:noWrap w:val="0"/>
                  <w:vAlign w:val="center"/>
                </w:tcPr>
                <w:p w14:paraId="0103B2B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无组织废气</w:t>
                  </w:r>
                </w:p>
              </w:tc>
              <w:tc>
                <w:tcPr>
                  <w:tcW w:w="863" w:type="pct"/>
                  <w:noWrap w:val="0"/>
                  <w:vAlign w:val="center"/>
                </w:tcPr>
                <w:p w14:paraId="54A055A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w:t>
                  </w:r>
                </w:p>
              </w:tc>
              <w:tc>
                <w:tcPr>
                  <w:tcW w:w="1124" w:type="pct"/>
                  <w:noWrap w:val="0"/>
                  <w:vAlign w:val="center"/>
                </w:tcPr>
                <w:p w14:paraId="592002A3">
                  <w:pPr>
                    <w:jc w:val="center"/>
                    <w:rPr>
                      <w:rFonts w:hint="eastAsia" w:ascii="Times New Roman" w:hAnsi="Times New Roman" w:eastAsia="宋体" w:cs="Times New Roman"/>
                      <w:color w:val="auto"/>
                      <w:szCs w:val="21"/>
                      <w:highlight w:val="none"/>
                      <w:lang w:val="en-US" w:eastAsia="zh-CN"/>
                    </w:rPr>
                  </w:pPr>
                  <w:r>
                    <w:rPr>
                      <w:rFonts w:hint="eastAsia"/>
                      <w:color w:val="auto"/>
                      <w:szCs w:val="21"/>
                      <w:highlight w:val="none"/>
                      <w:lang w:val="en-US" w:eastAsia="zh-CN"/>
                    </w:rPr>
                    <w:t>颗粒物、</w:t>
                  </w:r>
                  <w:r>
                    <w:rPr>
                      <w:rFonts w:hint="eastAsia"/>
                      <w:color w:val="auto"/>
                      <w:szCs w:val="21"/>
                      <w:highlight w:val="none"/>
                    </w:rPr>
                    <w:t>非甲烷总烃</w:t>
                  </w:r>
                </w:p>
              </w:tc>
              <w:tc>
                <w:tcPr>
                  <w:tcW w:w="719" w:type="pct"/>
                  <w:noWrap w:val="0"/>
                  <w:vAlign w:val="center"/>
                </w:tcPr>
                <w:p w14:paraId="1A0CB925">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1次/</w:t>
                  </w:r>
                  <w:r>
                    <w:rPr>
                      <w:rFonts w:hint="eastAsia" w:cs="Times New Roman"/>
                      <w:color w:val="auto"/>
                      <w:szCs w:val="21"/>
                      <w:highlight w:val="none"/>
                      <w:lang w:val="en-US" w:eastAsia="zh-CN"/>
                    </w:rPr>
                    <w:t>半年</w:t>
                  </w:r>
                </w:p>
              </w:tc>
              <w:tc>
                <w:tcPr>
                  <w:tcW w:w="1505" w:type="pct"/>
                  <w:noWrap w:val="0"/>
                  <w:vAlign w:val="center"/>
                </w:tcPr>
                <w:p w14:paraId="7951CEC9">
                  <w:pPr>
                    <w:jc w:val="center"/>
                    <w:rPr>
                      <w:rFonts w:hint="default" w:ascii="Times New Roman" w:hAnsi="Times New Roman" w:cs="Times New Roman"/>
                      <w:color w:val="auto"/>
                      <w:szCs w:val="21"/>
                      <w:highlight w:val="none"/>
                    </w:rPr>
                  </w:pPr>
                  <w:r>
                    <w:rPr>
                      <w:rFonts w:hint="eastAsia"/>
                      <w:b w:val="0"/>
                      <w:bCs/>
                      <w:color w:val="auto"/>
                      <w:szCs w:val="21"/>
                      <w:highlight w:val="none"/>
                      <w:lang w:val="en-US" w:eastAsia="zh-CN"/>
                    </w:rPr>
                    <w:t>《大气污染物综合排放标准》（DB32/4041-2021）</w:t>
                  </w:r>
                </w:p>
              </w:tc>
            </w:tr>
            <w:tr w14:paraId="322B6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7" w:type="pct"/>
                  <w:vMerge w:val="continue"/>
                  <w:noWrap w:val="0"/>
                  <w:vAlign w:val="center"/>
                </w:tcPr>
                <w:p w14:paraId="4A35A486">
                  <w:pPr>
                    <w:jc w:val="center"/>
                    <w:rPr>
                      <w:rFonts w:hint="default" w:ascii="Times New Roman" w:hAnsi="Times New Roman" w:cs="Times New Roman"/>
                      <w:color w:val="auto"/>
                      <w:szCs w:val="21"/>
                      <w:highlight w:val="none"/>
                    </w:rPr>
                  </w:pPr>
                </w:p>
              </w:tc>
              <w:tc>
                <w:tcPr>
                  <w:tcW w:w="863" w:type="pct"/>
                  <w:noWrap w:val="0"/>
                  <w:vAlign w:val="center"/>
                </w:tcPr>
                <w:p w14:paraId="7B1A15DF">
                  <w:pPr>
                    <w:adjustRightInd w:val="0"/>
                    <w:snapToGrid w:val="0"/>
                    <w:spacing w:line="280" w:lineRule="exact"/>
                    <w:jc w:val="center"/>
                    <w:rPr>
                      <w:rFonts w:hint="eastAsia" w:eastAsia="宋体"/>
                      <w:color w:val="auto"/>
                      <w:szCs w:val="21"/>
                      <w:highlight w:val="none"/>
                      <w:lang w:val="en-US" w:eastAsia="zh-CN"/>
                    </w:rPr>
                  </w:pPr>
                  <w:r>
                    <w:rPr>
                      <w:color w:val="auto"/>
                      <w:szCs w:val="21"/>
                      <w:highlight w:val="none"/>
                    </w:rPr>
                    <w:t>厂区内</w:t>
                  </w:r>
                  <w:r>
                    <w:rPr>
                      <w:rFonts w:hint="eastAsia"/>
                      <w:color w:val="auto"/>
                      <w:szCs w:val="21"/>
                      <w:highlight w:val="none"/>
                      <w:lang w:val="en-US" w:eastAsia="zh-CN"/>
                    </w:rPr>
                    <w:t>厂房外</w:t>
                  </w:r>
                </w:p>
              </w:tc>
              <w:tc>
                <w:tcPr>
                  <w:tcW w:w="1124" w:type="pct"/>
                  <w:noWrap w:val="0"/>
                  <w:vAlign w:val="center"/>
                </w:tcPr>
                <w:p w14:paraId="2AD5611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非甲烷总烃</w:t>
                  </w:r>
                </w:p>
              </w:tc>
              <w:tc>
                <w:tcPr>
                  <w:tcW w:w="719" w:type="pct"/>
                  <w:noWrap w:val="0"/>
                  <w:vAlign w:val="center"/>
                </w:tcPr>
                <w:p w14:paraId="10C3A0E6">
                  <w:pPr>
                    <w:autoSpaceDE w:val="0"/>
                    <w:autoSpaceDN w:val="0"/>
                    <w:adjustRightInd w:val="0"/>
                    <w:spacing w:before="0" w:after="0" w:line="240" w:lineRule="auto"/>
                    <w:ind w:right="0" w:rightChars="0" w:firstLine="0" w:firstLine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color w:val="auto"/>
                      <w:szCs w:val="21"/>
                      <w:highlight w:val="none"/>
                    </w:rPr>
                    <w:t>1次/</w:t>
                  </w:r>
                  <w:r>
                    <w:rPr>
                      <w:rFonts w:hint="eastAsia" w:cs="Times New Roman"/>
                      <w:color w:val="auto"/>
                      <w:szCs w:val="21"/>
                      <w:highlight w:val="none"/>
                      <w:lang w:val="en-US" w:eastAsia="zh-CN"/>
                    </w:rPr>
                    <w:t>半年</w:t>
                  </w:r>
                </w:p>
              </w:tc>
              <w:tc>
                <w:tcPr>
                  <w:tcW w:w="1505" w:type="pct"/>
                  <w:noWrap w:val="0"/>
                  <w:vAlign w:val="center"/>
                </w:tcPr>
                <w:p w14:paraId="64322E95">
                  <w:pPr>
                    <w:widowControl/>
                    <w:jc w:val="center"/>
                    <w:textAlignment w:val="center"/>
                    <w:rPr>
                      <w:rFonts w:hint="default"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bCs/>
                      <w:color w:val="auto"/>
                      <w:szCs w:val="21"/>
                      <w:highlight w:val="none"/>
                    </w:rPr>
                    <w:t>《</w:t>
                  </w:r>
                  <w:r>
                    <w:rPr>
                      <w:rFonts w:hint="default" w:ascii="Times New Roman" w:hAnsi="Times New Roman" w:eastAsia="宋体" w:cs="Times New Roman"/>
                      <w:bCs/>
                      <w:color w:val="auto"/>
                      <w:szCs w:val="21"/>
                      <w:highlight w:val="none"/>
                      <w:lang w:val="en-US" w:eastAsia="zh-CN"/>
                    </w:rPr>
                    <w:t>工业涂装工序</w:t>
                  </w:r>
                  <w:r>
                    <w:rPr>
                      <w:rFonts w:hint="default" w:ascii="Times New Roman" w:hAnsi="Times New Roman" w:eastAsia="宋体" w:cs="Times New Roman"/>
                      <w:bCs/>
                      <w:color w:val="auto"/>
                      <w:szCs w:val="21"/>
                      <w:highlight w:val="none"/>
                    </w:rPr>
                    <w:t>大气污染物排放标准》（DB32/4</w:t>
                  </w:r>
                  <w:r>
                    <w:rPr>
                      <w:rFonts w:hint="default" w:ascii="Times New Roman" w:hAnsi="Times New Roman" w:eastAsia="宋体" w:cs="Times New Roman"/>
                      <w:bCs/>
                      <w:color w:val="auto"/>
                      <w:szCs w:val="21"/>
                      <w:highlight w:val="none"/>
                      <w:lang w:val="en-US" w:eastAsia="zh-CN"/>
                    </w:rPr>
                    <w:t>439</w:t>
                  </w:r>
                  <w:r>
                    <w:rPr>
                      <w:rFonts w:hint="default" w:ascii="Times New Roman" w:hAnsi="Times New Roman" w:eastAsia="宋体" w:cs="Times New Roman"/>
                      <w:bCs/>
                      <w:color w:val="auto"/>
                      <w:szCs w:val="21"/>
                      <w:highlight w:val="none"/>
                    </w:rPr>
                    <w:t>-202</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rPr>
                    <w:t>）</w:t>
                  </w:r>
                </w:p>
              </w:tc>
            </w:tr>
          </w:tbl>
          <w:p w14:paraId="4443D7C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本项目发生实际排污前，建设单位应当按照国家环境保护相关法律法规以及排污许可证申请与核发技术规范要求，申领排污许可证。</w:t>
            </w:r>
          </w:p>
          <w:p w14:paraId="45CB1590">
            <w:pPr>
              <w:spacing w:line="360" w:lineRule="auto"/>
              <w:ind w:firstLine="422" w:firstLineChars="20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1.</w:t>
            </w:r>
            <w:r>
              <w:rPr>
                <w:rFonts w:hint="eastAsia" w:cs="Times New Roman"/>
                <w:b/>
                <w:bCs/>
                <w:color w:val="auto"/>
                <w:szCs w:val="21"/>
                <w:highlight w:val="none"/>
                <w:lang w:val="en-US" w:eastAsia="zh-CN"/>
              </w:rPr>
              <w:t>6</w:t>
            </w:r>
            <w:r>
              <w:rPr>
                <w:rFonts w:hint="default" w:ascii="Times New Roman" w:hAnsi="Times New Roman" w:cs="Times New Roman"/>
                <w:b/>
                <w:bCs/>
                <w:color w:val="auto"/>
                <w:szCs w:val="21"/>
                <w:highlight w:val="none"/>
              </w:rPr>
              <w:t xml:space="preserve"> 非正常排放分析</w:t>
            </w:r>
          </w:p>
          <w:p w14:paraId="4A2C037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正常排放指生产过程中开停车、设备检修、工艺设备运转异常等非正常工况下的污染物排放，以及污染物排放控制措施达不到应有效率等情况下的排放。本项目非正常工况主要考虑废气处理装置发生故障，导致废气去除效率降低的情况。</w:t>
            </w:r>
          </w:p>
          <w:p w14:paraId="5121F4F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根据工程分析，假设废气处理装置处理效率下降为0%，非正常排放时间取事故发生后0.5h。项目废气非正常排放情况具体见表4-</w:t>
            </w:r>
            <w:r>
              <w:rPr>
                <w:rFonts w:hint="eastAsia" w:cs="Times New Roman"/>
                <w:color w:val="auto"/>
                <w:szCs w:val="21"/>
                <w:highlight w:val="none"/>
                <w:lang w:val="en-US" w:eastAsia="zh-CN"/>
              </w:rPr>
              <w:t>15</w:t>
            </w:r>
            <w:r>
              <w:rPr>
                <w:rFonts w:hint="default" w:ascii="Times New Roman" w:hAnsi="Times New Roman" w:cs="Times New Roman"/>
                <w:color w:val="auto"/>
                <w:szCs w:val="21"/>
                <w:highlight w:val="none"/>
              </w:rPr>
              <w:t>。</w:t>
            </w:r>
          </w:p>
          <w:p w14:paraId="4060C20A">
            <w:pPr>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表4-1</w:t>
            </w:r>
            <w:r>
              <w:rPr>
                <w:rFonts w:hint="eastAsia" w:cs="Times New Roman"/>
                <w:b/>
                <w:bCs/>
                <w:color w:val="auto"/>
                <w:szCs w:val="21"/>
                <w:highlight w:val="none"/>
                <w:lang w:val="en-US" w:eastAsia="zh-CN"/>
              </w:rPr>
              <w:t>5</w:t>
            </w:r>
            <w:r>
              <w:rPr>
                <w:rFonts w:hint="default" w:ascii="Times New Roman" w:hAnsi="Times New Roman" w:cs="Times New Roman"/>
                <w:b/>
                <w:bCs/>
                <w:color w:val="auto"/>
                <w:szCs w:val="21"/>
                <w:highlight w:val="none"/>
              </w:rPr>
              <w:t xml:space="preserve"> 大气污染源非正常排放量核算表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20"/>
              <w:gridCol w:w="944"/>
              <w:gridCol w:w="1215"/>
              <w:gridCol w:w="1349"/>
              <w:gridCol w:w="1021"/>
              <w:gridCol w:w="965"/>
              <w:gridCol w:w="625"/>
              <w:gridCol w:w="1443"/>
            </w:tblGrid>
            <w:tr w14:paraId="36D26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434" w:type="pct"/>
                  <w:noWrap w:val="0"/>
                  <w:vAlign w:val="center"/>
                </w:tcPr>
                <w:p w14:paraId="4E4E57C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w:t>
                  </w:r>
                </w:p>
              </w:tc>
              <w:tc>
                <w:tcPr>
                  <w:tcW w:w="569" w:type="pct"/>
                  <w:noWrap w:val="0"/>
                  <w:vAlign w:val="center"/>
                </w:tcPr>
                <w:p w14:paraId="72297C0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非正常排放原因</w:t>
                  </w:r>
                </w:p>
              </w:tc>
              <w:tc>
                <w:tcPr>
                  <w:tcW w:w="733" w:type="pct"/>
                  <w:noWrap w:val="0"/>
                  <w:vAlign w:val="center"/>
                </w:tcPr>
                <w:p w14:paraId="76F80424">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814" w:type="pct"/>
                  <w:noWrap w:val="0"/>
                  <w:vAlign w:val="center"/>
                </w:tcPr>
                <w:p w14:paraId="60B236E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非正常排放浓度/（mg/m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616" w:type="pct"/>
                  <w:noWrap w:val="0"/>
                  <w:vAlign w:val="center"/>
                </w:tcPr>
                <w:p w14:paraId="56AB830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非正常排放速率/（kg/h）</w:t>
                  </w:r>
                </w:p>
              </w:tc>
              <w:tc>
                <w:tcPr>
                  <w:tcW w:w="582" w:type="pct"/>
                  <w:noWrap w:val="0"/>
                  <w:vAlign w:val="center"/>
                </w:tcPr>
                <w:p w14:paraId="56319038">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单次持续时间/h</w:t>
                  </w:r>
                </w:p>
              </w:tc>
              <w:tc>
                <w:tcPr>
                  <w:tcW w:w="377" w:type="pct"/>
                  <w:noWrap w:val="0"/>
                  <w:vAlign w:val="center"/>
                </w:tcPr>
                <w:p w14:paraId="790B027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年发生频次/次</w:t>
                  </w:r>
                </w:p>
              </w:tc>
              <w:tc>
                <w:tcPr>
                  <w:tcW w:w="871" w:type="pct"/>
                  <w:noWrap w:val="0"/>
                  <w:vAlign w:val="center"/>
                </w:tcPr>
                <w:p w14:paraId="01C9523A">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应对措施</w:t>
                  </w:r>
                </w:p>
              </w:tc>
            </w:tr>
            <w:tr w14:paraId="5ECD4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434" w:type="pct"/>
                  <w:vMerge w:val="restart"/>
                  <w:noWrap w:val="0"/>
                  <w:vAlign w:val="center"/>
                </w:tcPr>
                <w:p w14:paraId="502EDC5E">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DA00</w:t>
                  </w:r>
                  <w:r>
                    <w:rPr>
                      <w:rFonts w:hint="eastAsia" w:cs="Times New Roman"/>
                      <w:color w:val="auto"/>
                      <w:szCs w:val="21"/>
                      <w:highlight w:val="none"/>
                      <w:lang w:val="en-US" w:eastAsia="zh-CN"/>
                    </w:rPr>
                    <w:t>6</w:t>
                  </w:r>
                </w:p>
              </w:tc>
              <w:tc>
                <w:tcPr>
                  <w:tcW w:w="569" w:type="pct"/>
                  <w:vMerge w:val="restart"/>
                  <w:noWrap w:val="0"/>
                  <w:vAlign w:val="center"/>
                </w:tcPr>
                <w:p w14:paraId="32DFB107">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废气处理设施故障</w:t>
                  </w:r>
                </w:p>
              </w:tc>
              <w:tc>
                <w:tcPr>
                  <w:tcW w:w="733" w:type="pct"/>
                  <w:noWrap w:val="0"/>
                  <w:vAlign w:val="center"/>
                </w:tcPr>
                <w:p w14:paraId="0195CAD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颗粒物</w:t>
                  </w:r>
                </w:p>
              </w:tc>
              <w:tc>
                <w:tcPr>
                  <w:tcW w:w="814" w:type="pct"/>
                  <w:shd w:val="clear" w:color="auto" w:fill="auto"/>
                  <w:noWrap w:val="0"/>
                  <w:vAlign w:val="center"/>
                </w:tcPr>
                <w:p w14:paraId="2137875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0.9533</w:t>
                  </w:r>
                </w:p>
              </w:tc>
              <w:tc>
                <w:tcPr>
                  <w:tcW w:w="616" w:type="pct"/>
                  <w:shd w:val="clear" w:color="auto" w:fill="auto"/>
                  <w:noWrap w:val="0"/>
                  <w:vAlign w:val="center"/>
                </w:tcPr>
                <w:p w14:paraId="5276C1F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095</w:t>
                  </w:r>
                </w:p>
              </w:tc>
              <w:tc>
                <w:tcPr>
                  <w:tcW w:w="582" w:type="pct"/>
                  <w:vMerge w:val="restart"/>
                  <w:noWrap w:val="0"/>
                  <w:vAlign w:val="center"/>
                </w:tcPr>
                <w:p w14:paraId="68F38AFE">
                  <w:pPr>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0.5</w:t>
                  </w:r>
                </w:p>
              </w:tc>
              <w:tc>
                <w:tcPr>
                  <w:tcW w:w="377" w:type="pct"/>
                  <w:vMerge w:val="restart"/>
                  <w:noWrap w:val="0"/>
                  <w:vAlign w:val="center"/>
                </w:tcPr>
                <w:p w14:paraId="02C5840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871" w:type="pct"/>
                  <w:vMerge w:val="restart"/>
                  <w:noWrap w:val="0"/>
                  <w:vAlign w:val="center"/>
                </w:tcPr>
                <w:p w14:paraId="5EFF6D5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加强在岗人员培训，按规定及时对设备维修保养，保证处理效率</w:t>
                  </w:r>
                </w:p>
              </w:tc>
            </w:tr>
            <w:tr w14:paraId="381A4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434" w:type="pct"/>
                  <w:vMerge w:val="continue"/>
                  <w:noWrap w:val="0"/>
                  <w:vAlign w:val="center"/>
                </w:tcPr>
                <w:p w14:paraId="05CED966">
                  <w:pPr>
                    <w:jc w:val="center"/>
                    <w:rPr>
                      <w:rFonts w:hint="default" w:ascii="Times New Roman" w:hAnsi="Times New Roman" w:cs="Times New Roman"/>
                      <w:color w:val="FF0000"/>
                      <w:szCs w:val="21"/>
                      <w:highlight w:val="none"/>
                    </w:rPr>
                  </w:pPr>
                </w:p>
              </w:tc>
              <w:tc>
                <w:tcPr>
                  <w:tcW w:w="569" w:type="pct"/>
                  <w:vMerge w:val="continue"/>
                  <w:noWrap w:val="0"/>
                  <w:vAlign w:val="center"/>
                </w:tcPr>
                <w:p w14:paraId="4AEA28C6">
                  <w:pPr>
                    <w:jc w:val="center"/>
                    <w:rPr>
                      <w:rFonts w:hint="default" w:ascii="Times New Roman" w:hAnsi="Times New Roman" w:cs="Times New Roman"/>
                      <w:bCs/>
                      <w:color w:val="FF0000"/>
                      <w:szCs w:val="21"/>
                      <w:highlight w:val="none"/>
                    </w:rPr>
                  </w:pPr>
                </w:p>
              </w:tc>
              <w:tc>
                <w:tcPr>
                  <w:tcW w:w="733" w:type="pct"/>
                  <w:noWrap w:val="0"/>
                  <w:vAlign w:val="center"/>
                </w:tcPr>
                <w:p w14:paraId="7A6BB4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SO</w:t>
                  </w:r>
                  <w:r>
                    <w:rPr>
                      <w:rFonts w:hint="default" w:ascii="Times New Roman" w:hAnsi="Times New Roman" w:cs="Times New Roman"/>
                      <w:i w:val="0"/>
                      <w:iCs w:val="0"/>
                      <w:color w:val="auto"/>
                      <w:kern w:val="0"/>
                      <w:sz w:val="21"/>
                      <w:szCs w:val="21"/>
                      <w:highlight w:val="none"/>
                      <w:u w:val="none"/>
                      <w:vertAlign w:val="subscript"/>
                      <w:lang w:val="en-US" w:eastAsia="zh-CN" w:bidi="ar"/>
                    </w:rPr>
                    <w:t>2</w:t>
                  </w:r>
                </w:p>
              </w:tc>
              <w:tc>
                <w:tcPr>
                  <w:tcW w:w="814" w:type="pct"/>
                  <w:shd w:val="clear" w:color="auto" w:fill="auto"/>
                  <w:noWrap w:val="0"/>
                  <w:vAlign w:val="center"/>
                </w:tcPr>
                <w:p w14:paraId="605149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1333</w:t>
                  </w:r>
                </w:p>
              </w:tc>
              <w:tc>
                <w:tcPr>
                  <w:tcW w:w="616" w:type="pct"/>
                  <w:shd w:val="clear" w:color="auto" w:fill="auto"/>
                  <w:noWrap w:val="0"/>
                  <w:vAlign w:val="center"/>
                </w:tcPr>
                <w:p w14:paraId="63FDB3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13</w:t>
                  </w:r>
                </w:p>
              </w:tc>
              <w:tc>
                <w:tcPr>
                  <w:tcW w:w="582" w:type="pct"/>
                  <w:vMerge w:val="continue"/>
                  <w:noWrap w:val="0"/>
                  <w:vAlign w:val="center"/>
                </w:tcPr>
                <w:p w14:paraId="050C2631">
                  <w:pPr>
                    <w:jc w:val="center"/>
                    <w:rPr>
                      <w:rFonts w:hint="default" w:ascii="Times New Roman" w:hAnsi="Times New Roman" w:cs="Times New Roman"/>
                      <w:color w:val="FF0000"/>
                      <w:szCs w:val="21"/>
                      <w:highlight w:val="none"/>
                    </w:rPr>
                  </w:pPr>
                </w:p>
              </w:tc>
              <w:tc>
                <w:tcPr>
                  <w:tcW w:w="377" w:type="pct"/>
                  <w:vMerge w:val="continue"/>
                  <w:noWrap w:val="0"/>
                  <w:vAlign w:val="center"/>
                </w:tcPr>
                <w:p w14:paraId="3F272A61">
                  <w:pPr>
                    <w:jc w:val="center"/>
                    <w:rPr>
                      <w:rFonts w:hint="default" w:ascii="Times New Roman" w:hAnsi="Times New Roman" w:cs="Times New Roman"/>
                      <w:color w:val="FF0000"/>
                      <w:szCs w:val="21"/>
                      <w:highlight w:val="none"/>
                    </w:rPr>
                  </w:pPr>
                </w:p>
              </w:tc>
              <w:tc>
                <w:tcPr>
                  <w:tcW w:w="871" w:type="pct"/>
                  <w:vMerge w:val="continue"/>
                  <w:noWrap w:val="0"/>
                  <w:vAlign w:val="center"/>
                </w:tcPr>
                <w:p w14:paraId="0E2FAB3A">
                  <w:pPr>
                    <w:jc w:val="center"/>
                    <w:rPr>
                      <w:rFonts w:hint="default" w:ascii="Times New Roman" w:hAnsi="Times New Roman" w:cs="Times New Roman"/>
                      <w:color w:val="FF0000"/>
                      <w:szCs w:val="21"/>
                      <w:highlight w:val="none"/>
                    </w:rPr>
                  </w:pPr>
                </w:p>
              </w:tc>
            </w:tr>
            <w:tr w14:paraId="10A51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434" w:type="pct"/>
                  <w:vMerge w:val="continue"/>
                  <w:noWrap w:val="0"/>
                  <w:vAlign w:val="center"/>
                </w:tcPr>
                <w:p w14:paraId="6C822748">
                  <w:pPr>
                    <w:jc w:val="center"/>
                    <w:rPr>
                      <w:rFonts w:hint="default" w:ascii="Times New Roman" w:hAnsi="Times New Roman" w:cs="Times New Roman"/>
                      <w:color w:val="FF0000"/>
                      <w:szCs w:val="21"/>
                      <w:highlight w:val="none"/>
                    </w:rPr>
                  </w:pPr>
                </w:p>
              </w:tc>
              <w:tc>
                <w:tcPr>
                  <w:tcW w:w="569" w:type="pct"/>
                  <w:vMerge w:val="continue"/>
                  <w:noWrap w:val="0"/>
                  <w:vAlign w:val="center"/>
                </w:tcPr>
                <w:p w14:paraId="4BD99422">
                  <w:pPr>
                    <w:jc w:val="center"/>
                    <w:rPr>
                      <w:rFonts w:hint="default" w:ascii="Times New Roman" w:hAnsi="Times New Roman" w:cs="Times New Roman"/>
                      <w:bCs/>
                      <w:color w:val="FF0000"/>
                      <w:szCs w:val="21"/>
                      <w:highlight w:val="none"/>
                    </w:rPr>
                  </w:pPr>
                </w:p>
              </w:tc>
              <w:tc>
                <w:tcPr>
                  <w:tcW w:w="733" w:type="pct"/>
                  <w:noWrap w:val="0"/>
                  <w:vAlign w:val="center"/>
                </w:tcPr>
                <w:p w14:paraId="61A0A74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NOx</w:t>
                  </w:r>
                </w:p>
              </w:tc>
              <w:tc>
                <w:tcPr>
                  <w:tcW w:w="814" w:type="pct"/>
                  <w:shd w:val="clear" w:color="auto" w:fill="auto"/>
                  <w:noWrap w:val="0"/>
                  <w:vAlign w:val="center"/>
                </w:tcPr>
                <w:p w14:paraId="32450AE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3.1167</w:t>
                  </w:r>
                </w:p>
              </w:tc>
              <w:tc>
                <w:tcPr>
                  <w:tcW w:w="616" w:type="pct"/>
                  <w:shd w:val="clear" w:color="auto" w:fill="auto"/>
                  <w:noWrap w:val="0"/>
                  <w:vAlign w:val="center"/>
                </w:tcPr>
                <w:p w14:paraId="0C63744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w:t>
                  </w:r>
                  <w:r>
                    <w:rPr>
                      <w:rFonts w:hint="eastAsia" w:cs="Times New Roman"/>
                      <w:i w:val="0"/>
                      <w:iCs w:val="0"/>
                      <w:color w:val="auto"/>
                      <w:kern w:val="0"/>
                      <w:sz w:val="21"/>
                      <w:szCs w:val="21"/>
                      <w:u w:val="none"/>
                      <w:lang w:val="en-US" w:eastAsia="zh-CN" w:bidi="ar"/>
                    </w:rPr>
                    <w:t>12</w:t>
                  </w:r>
                </w:p>
              </w:tc>
              <w:tc>
                <w:tcPr>
                  <w:tcW w:w="582" w:type="pct"/>
                  <w:vMerge w:val="continue"/>
                  <w:noWrap w:val="0"/>
                  <w:vAlign w:val="center"/>
                </w:tcPr>
                <w:p w14:paraId="59782DBC">
                  <w:pPr>
                    <w:jc w:val="center"/>
                    <w:rPr>
                      <w:rFonts w:hint="default" w:ascii="Times New Roman" w:hAnsi="Times New Roman" w:cs="Times New Roman"/>
                      <w:color w:val="FF0000"/>
                      <w:szCs w:val="21"/>
                      <w:highlight w:val="none"/>
                    </w:rPr>
                  </w:pPr>
                </w:p>
              </w:tc>
              <w:tc>
                <w:tcPr>
                  <w:tcW w:w="377" w:type="pct"/>
                  <w:vMerge w:val="continue"/>
                  <w:noWrap w:val="0"/>
                  <w:vAlign w:val="center"/>
                </w:tcPr>
                <w:p w14:paraId="46FE23AA">
                  <w:pPr>
                    <w:jc w:val="center"/>
                    <w:rPr>
                      <w:rFonts w:hint="default" w:ascii="Times New Roman" w:hAnsi="Times New Roman" w:cs="Times New Roman"/>
                      <w:color w:val="FF0000"/>
                      <w:szCs w:val="21"/>
                      <w:highlight w:val="none"/>
                    </w:rPr>
                  </w:pPr>
                </w:p>
              </w:tc>
              <w:tc>
                <w:tcPr>
                  <w:tcW w:w="871" w:type="pct"/>
                  <w:vMerge w:val="continue"/>
                  <w:noWrap w:val="0"/>
                  <w:vAlign w:val="center"/>
                </w:tcPr>
                <w:p w14:paraId="6350ADAD">
                  <w:pPr>
                    <w:jc w:val="center"/>
                    <w:rPr>
                      <w:rFonts w:hint="default" w:ascii="Times New Roman" w:hAnsi="Times New Roman" w:cs="Times New Roman"/>
                      <w:color w:val="FF0000"/>
                      <w:szCs w:val="21"/>
                      <w:highlight w:val="none"/>
                    </w:rPr>
                  </w:pPr>
                </w:p>
              </w:tc>
            </w:tr>
            <w:tr w14:paraId="4B5A7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434" w:type="pct"/>
                  <w:vMerge w:val="continue"/>
                  <w:noWrap w:val="0"/>
                  <w:vAlign w:val="center"/>
                </w:tcPr>
                <w:p w14:paraId="5DF3522C">
                  <w:pPr>
                    <w:jc w:val="center"/>
                    <w:rPr>
                      <w:rFonts w:hint="default" w:ascii="Times New Roman" w:hAnsi="Times New Roman" w:cs="Times New Roman"/>
                      <w:color w:val="FF0000"/>
                      <w:szCs w:val="21"/>
                      <w:highlight w:val="none"/>
                    </w:rPr>
                  </w:pPr>
                </w:p>
              </w:tc>
              <w:tc>
                <w:tcPr>
                  <w:tcW w:w="569" w:type="pct"/>
                  <w:vMerge w:val="continue"/>
                  <w:noWrap w:val="0"/>
                  <w:vAlign w:val="center"/>
                </w:tcPr>
                <w:p w14:paraId="037BC24D">
                  <w:pPr>
                    <w:jc w:val="center"/>
                    <w:rPr>
                      <w:rFonts w:hint="default" w:ascii="Times New Roman" w:hAnsi="Times New Roman" w:cs="Times New Roman"/>
                      <w:bCs/>
                      <w:color w:val="FF0000"/>
                      <w:szCs w:val="21"/>
                      <w:highlight w:val="none"/>
                    </w:rPr>
                  </w:pPr>
                </w:p>
              </w:tc>
              <w:tc>
                <w:tcPr>
                  <w:tcW w:w="733" w:type="pct"/>
                  <w:noWrap w:val="0"/>
                  <w:vAlign w:val="center"/>
                </w:tcPr>
                <w:p w14:paraId="3B333B94">
                  <w:pPr>
                    <w:keepNext w:val="0"/>
                    <w:keepLines w:val="0"/>
                    <w:widowControl/>
                    <w:suppressLineNumbers w:val="0"/>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非甲烷总烃</w:t>
                  </w:r>
                </w:p>
              </w:tc>
              <w:tc>
                <w:tcPr>
                  <w:tcW w:w="814" w:type="pct"/>
                  <w:shd w:val="clear" w:color="auto" w:fill="auto"/>
                  <w:noWrap w:val="0"/>
                  <w:vAlign w:val="center"/>
                </w:tcPr>
                <w:p w14:paraId="293284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1.3667</w:t>
                  </w:r>
                </w:p>
              </w:tc>
              <w:tc>
                <w:tcPr>
                  <w:tcW w:w="616" w:type="pct"/>
                  <w:shd w:val="clear" w:color="auto" w:fill="auto"/>
                  <w:noWrap w:val="0"/>
                  <w:vAlign w:val="center"/>
                </w:tcPr>
                <w:p w14:paraId="129F2B4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137</w:t>
                  </w:r>
                </w:p>
              </w:tc>
              <w:tc>
                <w:tcPr>
                  <w:tcW w:w="582" w:type="pct"/>
                  <w:vMerge w:val="continue"/>
                  <w:noWrap w:val="0"/>
                  <w:vAlign w:val="center"/>
                </w:tcPr>
                <w:p w14:paraId="46D49D57">
                  <w:pPr>
                    <w:jc w:val="center"/>
                    <w:rPr>
                      <w:rFonts w:hint="default" w:ascii="Times New Roman" w:hAnsi="Times New Roman" w:cs="Times New Roman"/>
                      <w:color w:val="FF0000"/>
                      <w:szCs w:val="21"/>
                      <w:highlight w:val="none"/>
                    </w:rPr>
                  </w:pPr>
                </w:p>
              </w:tc>
              <w:tc>
                <w:tcPr>
                  <w:tcW w:w="377" w:type="pct"/>
                  <w:vMerge w:val="continue"/>
                  <w:noWrap w:val="0"/>
                  <w:vAlign w:val="center"/>
                </w:tcPr>
                <w:p w14:paraId="20194980">
                  <w:pPr>
                    <w:jc w:val="center"/>
                    <w:rPr>
                      <w:rFonts w:hint="default" w:ascii="Times New Roman" w:hAnsi="Times New Roman" w:cs="Times New Roman"/>
                      <w:color w:val="FF0000"/>
                      <w:szCs w:val="21"/>
                      <w:highlight w:val="none"/>
                    </w:rPr>
                  </w:pPr>
                </w:p>
              </w:tc>
              <w:tc>
                <w:tcPr>
                  <w:tcW w:w="871" w:type="pct"/>
                  <w:vMerge w:val="continue"/>
                  <w:noWrap w:val="0"/>
                  <w:vAlign w:val="center"/>
                </w:tcPr>
                <w:p w14:paraId="59AE30DA">
                  <w:pPr>
                    <w:jc w:val="center"/>
                    <w:rPr>
                      <w:rFonts w:hint="default" w:ascii="Times New Roman" w:hAnsi="Times New Roman" w:cs="Times New Roman"/>
                      <w:color w:val="FF0000"/>
                      <w:szCs w:val="21"/>
                      <w:highlight w:val="none"/>
                    </w:rPr>
                  </w:pPr>
                </w:p>
              </w:tc>
            </w:tr>
          </w:tbl>
          <w:p w14:paraId="250A16C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由表4-13可知，事故状态下排气筒</w:t>
            </w:r>
            <w:r>
              <w:rPr>
                <w:rFonts w:hint="eastAsia" w:cs="Times New Roman"/>
                <w:color w:val="auto"/>
                <w:szCs w:val="21"/>
                <w:highlight w:val="none"/>
                <w:lang w:val="en-US" w:eastAsia="zh-CN"/>
              </w:rPr>
              <w:t>DA006</w:t>
            </w:r>
            <w:r>
              <w:rPr>
                <w:rFonts w:hint="default" w:ascii="Times New Roman" w:hAnsi="Times New Roman" w:cs="Times New Roman"/>
                <w:color w:val="auto"/>
                <w:szCs w:val="21"/>
                <w:highlight w:val="none"/>
              </w:rPr>
              <w:t>的</w:t>
            </w:r>
            <w:r>
              <w:rPr>
                <w:rFonts w:hint="eastAsia" w:cs="Times New Roman"/>
                <w:color w:val="auto"/>
                <w:szCs w:val="21"/>
                <w:highlight w:val="none"/>
                <w:lang w:val="en-US" w:eastAsia="zh-CN"/>
              </w:rPr>
              <w:t>污染物非甲烷总烃</w:t>
            </w:r>
            <w:r>
              <w:rPr>
                <w:rFonts w:hint="default" w:ascii="Times New Roman" w:hAnsi="Times New Roman" w:cs="Times New Roman"/>
                <w:color w:val="auto"/>
                <w:szCs w:val="21"/>
                <w:highlight w:val="none"/>
              </w:rPr>
              <w:t>排放浓度和排放速率均显著增加，对周围大气环境影响显著增加。针对非正常工况，建设单位应加强对废气处理设施及其他环保设施的巡查、维护和保养，一旦发现设施运行异常，应暂停生产，迅速抢修或更换，待废气处理设施运行正常后恢复生产。</w:t>
            </w:r>
          </w:p>
          <w:p w14:paraId="325E064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项目建设运行后，企业应加强在岗人员培训，按规定及时对设备维修保养，保证处理效率，尽量降低、避免非正常情况的发生，确保生产废气达标排放。</w:t>
            </w:r>
          </w:p>
          <w:p w14:paraId="5C8D7EE7">
            <w:pPr>
              <w:pStyle w:val="5"/>
              <w:spacing w:line="360" w:lineRule="auto"/>
              <w:ind w:firstLine="422"/>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1.7</w:t>
            </w:r>
            <w:r>
              <w:rPr>
                <w:rFonts w:hint="eastAsia" w:asci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大气环境影响分析结论</w:t>
            </w:r>
          </w:p>
          <w:p w14:paraId="420BFB8F">
            <w:pPr>
              <w:pStyle w:val="5"/>
              <w:spacing w:line="36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建设项目位于江苏省</w:t>
            </w:r>
            <w:r>
              <w:rPr>
                <w:rFonts w:hint="default" w:ascii="Times New Roman" w:hAnsi="Times New Roman" w:cs="Times New Roman"/>
                <w:color w:val="auto"/>
                <w:sz w:val="21"/>
                <w:szCs w:val="21"/>
                <w:highlight w:val="none"/>
                <w:lang w:val="en-US" w:eastAsia="zh-CN"/>
              </w:rPr>
              <w:t>宿迁市泗阳县李口镇全民创业园广州路3号</w:t>
            </w:r>
            <w:r>
              <w:rPr>
                <w:rFonts w:hint="default" w:ascii="Times New Roman" w:hAnsi="Times New Roman" w:cs="Times New Roman"/>
                <w:color w:val="auto"/>
                <w:sz w:val="21"/>
                <w:szCs w:val="21"/>
                <w:highlight w:val="none"/>
              </w:rPr>
              <w:t>，项目</w:t>
            </w:r>
            <w:r>
              <w:rPr>
                <w:rFonts w:hint="default" w:ascii="Times New Roman" w:hAnsi="Times New Roman" w:cs="Times New Roman"/>
                <w:color w:val="auto"/>
                <w:sz w:val="21"/>
                <w:szCs w:val="21"/>
                <w:highlight w:val="none"/>
                <w:lang w:val="en-US" w:eastAsia="zh-CN"/>
              </w:rPr>
              <w:t>周边</w:t>
            </w:r>
            <w:r>
              <w:rPr>
                <w:rFonts w:hint="default" w:ascii="Times New Roman" w:hAnsi="Times New Roman" w:cs="Times New Roman"/>
                <w:color w:val="auto"/>
                <w:sz w:val="21"/>
                <w:szCs w:val="21"/>
                <w:highlight w:val="none"/>
              </w:rPr>
              <w:t>500m范围</w:t>
            </w:r>
            <w:r>
              <w:rPr>
                <w:rFonts w:hint="default" w:ascii="Times New Roman" w:hAnsi="Times New Roman" w:cs="Times New Roman"/>
                <w:color w:val="auto"/>
                <w:sz w:val="21"/>
                <w:szCs w:val="21"/>
                <w:highlight w:val="none"/>
                <w:lang w:val="en-US" w:eastAsia="zh-CN"/>
              </w:rPr>
              <w:t>内有7处</w:t>
            </w:r>
            <w:r>
              <w:rPr>
                <w:rFonts w:hint="default" w:ascii="Times New Roman" w:hAnsi="Times New Roman" w:cs="Times New Roman"/>
                <w:color w:val="auto"/>
                <w:sz w:val="21"/>
                <w:szCs w:val="21"/>
                <w:highlight w:val="none"/>
              </w:rPr>
              <w:t>敏感目标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分别为曹葛庄（东侧15m）；葛庄社区（东南侧68m），李口镇小学（东南侧445m）、丽舍名都（南侧132m）、丽舍名都幼儿园（南侧45m）、谢庄（西南侧60m）、小葛庄（北侧230m）</w:t>
            </w:r>
            <w:r>
              <w:rPr>
                <w:rFonts w:hint="default" w:ascii="Times New Roman" w:hAnsi="Times New Roman" w:cs="Times New Roman"/>
                <w:color w:val="auto"/>
                <w:sz w:val="21"/>
                <w:szCs w:val="21"/>
                <w:highlight w:val="none"/>
              </w:rPr>
              <w:t>。项目区域大气环境中</w:t>
            </w:r>
            <w:r>
              <w:rPr>
                <w:rFonts w:hint="eastAsia" w:ascii="Times New Roman" w:cs="Times New Roman"/>
                <w:color w:val="auto"/>
                <w:sz w:val="21"/>
                <w:szCs w:val="21"/>
                <w:highlight w:val="none"/>
                <w:lang w:val="en-US" w:eastAsia="zh-CN"/>
              </w:rPr>
              <w:t>PM</w:t>
            </w:r>
            <w:r>
              <w:rPr>
                <w:rFonts w:hint="eastAsia" w:ascii="Times New Roman" w:cs="Times New Roman"/>
                <w:color w:val="auto"/>
                <w:sz w:val="21"/>
                <w:szCs w:val="21"/>
                <w:highlight w:val="none"/>
                <w:vertAlign w:val="subscript"/>
                <w:lang w:val="en-US" w:eastAsia="zh-CN"/>
              </w:rPr>
              <w:t>2.5</w:t>
            </w:r>
            <w:r>
              <w:rPr>
                <w:rFonts w:hint="eastAsia" w:asci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超出《环境空气质量标准》（GB3095-2012）二级标准限值。项目</w:t>
            </w:r>
            <w:r>
              <w:rPr>
                <w:rFonts w:hint="eastAsia" w:ascii="Times New Roman" w:cs="Times New Roman"/>
                <w:color w:val="auto"/>
                <w:sz w:val="21"/>
                <w:szCs w:val="21"/>
                <w:highlight w:val="none"/>
                <w:lang w:val="en-US" w:eastAsia="zh-CN"/>
              </w:rPr>
              <w:t>喷塑废气经旋风除尘器+布袋除尘器处理后</w:t>
            </w:r>
            <w:r>
              <w:rPr>
                <w:rFonts w:hint="default" w:ascii="宋体"/>
                <w:color w:val="auto"/>
                <w:sz w:val="21"/>
                <w:szCs w:val="21"/>
              </w:rPr>
              <w:t>于喷塑工序循环使用</w:t>
            </w:r>
            <w:r>
              <w:rPr>
                <w:rFonts w:hint="eastAsia" w:ascii="宋体"/>
                <w:color w:val="auto"/>
                <w:sz w:val="21"/>
                <w:szCs w:val="21"/>
                <w:lang w:val="en-US" w:eastAsia="zh-CN"/>
              </w:rPr>
              <w:t>不外排</w:t>
            </w:r>
            <w:r>
              <w:rPr>
                <w:rFonts w:hint="eastAsia" w:ascii="Times New Roman" w:cs="Times New Roman"/>
                <w:color w:val="auto"/>
                <w:sz w:val="21"/>
                <w:szCs w:val="21"/>
                <w:highlight w:val="none"/>
                <w:lang w:val="en-US" w:eastAsia="zh-CN"/>
              </w:rPr>
              <w:t>，项目粉末固化废气采用风冷装置+二级活性炭吸附装置处理，天然气烘干炉采用低氮燃烧技术，处理后的粉末固化废气和天然气燃烧废气一起经15m高DA006排气筒排放</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项目</w:t>
            </w:r>
            <w:r>
              <w:rPr>
                <w:rFonts w:hint="eastAsia" w:ascii="Times New Roman" w:cs="Times New Roman"/>
                <w:color w:val="auto"/>
                <w:sz w:val="21"/>
                <w:szCs w:val="21"/>
                <w:highlight w:val="none"/>
                <w:lang w:val="en-US" w:eastAsia="zh-CN"/>
              </w:rPr>
              <w:t>产生的非甲烷总烃经</w:t>
            </w:r>
            <w:r>
              <w:rPr>
                <w:rFonts w:hint="default" w:ascii="Times New Roman" w:hAnsi="Times New Roman" w:cs="Times New Roman"/>
                <w:color w:val="auto"/>
                <w:sz w:val="21"/>
                <w:szCs w:val="21"/>
                <w:highlight w:val="none"/>
              </w:rPr>
              <w:t>相应处理措施处理后非甲烷总烃</w:t>
            </w:r>
            <w:r>
              <w:rPr>
                <w:rFonts w:hint="default" w:ascii="Times New Roman" w:hAnsi="Times New Roman" w:cs="Times New Roman"/>
                <w:color w:val="auto"/>
                <w:sz w:val="21"/>
                <w:szCs w:val="21"/>
                <w:highlight w:val="none"/>
                <w:lang w:val="en-US" w:eastAsia="zh-CN"/>
              </w:rPr>
              <w:t>可达到</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工业涂装工序</w:t>
            </w:r>
            <w:r>
              <w:rPr>
                <w:rFonts w:hint="default" w:ascii="Times New Roman" w:hAnsi="Times New Roman" w:cs="Times New Roman"/>
                <w:color w:val="auto"/>
                <w:sz w:val="21"/>
                <w:szCs w:val="21"/>
                <w:highlight w:val="none"/>
              </w:rPr>
              <w:t>大气污染物排放标准》（DB32/4</w:t>
            </w:r>
            <w:r>
              <w:rPr>
                <w:rFonts w:hint="default" w:ascii="Times New Roman" w:hAnsi="Times New Roman" w:cs="Times New Roman"/>
                <w:color w:val="auto"/>
                <w:sz w:val="21"/>
                <w:szCs w:val="21"/>
                <w:highlight w:val="none"/>
                <w:lang w:val="en-US" w:eastAsia="zh-CN"/>
              </w:rPr>
              <w:t>439</w:t>
            </w: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、DA006排气筒有组织</w:t>
            </w:r>
            <w:r>
              <w:rPr>
                <w:rFonts w:hint="default" w:ascii="Times New Roman" w:hAnsi="Times New Roman" w:cs="Times New Roman"/>
                <w:color w:val="auto"/>
                <w:sz w:val="21"/>
                <w:szCs w:val="21"/>
                <w:highlight w:val="none"/>
              </w:rPr>
              <w:t>排放的</w:t>
            </w:r>
            <w:r>
              <w:rPr>
                <w:rFonts w:hint="default" w:ascii="Times New Roman" w:hAnsi="Times New Roman" w:cs="Times New Roman"/>
                <w:color w:val="auto"/>
                <w:sz w:val="21"/>
                <w:szCs w:val="21"/>
                <w:highlight w:val="none"/>
                <w:lang w:val="en-US" w:eastAsia="zh-CN"/>
              </w:rPr>
              <w:t>颗粒物</w:t>
            </w:r>
            <w:r>
              <w:rPr>
                <w:rFonts w:hint="eastAsia" w:asci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、NOx</w:t>
            </w:r>
            <w:r>
              <w:rPr>
                <w:rFonts w:hint="default" w:ascii="Times New Roman" w:hAnsi="Times New Roman" w:cs="Times New Roman"/>
                <w:color w:val="auto"/>
                <w:sz w:val="21"/>
                <w:szCs w:val="21"/>
                <w:highlight w:val="none"/>
              </w:rPr>
              <w:t>可达到</w:t>
            </w:r>
            <w:r>
              <w:rPr>
                <w:rFonts w:hint="default" w:ascii="Times New Roman" w:hAnsi="Times New Roman" w:cs="Times New Roman"/>
                <w:color w:val="auto"/>
                <w:sz w:val="21"/>
                <w:szCs w:val="21"/>
                <w:highlight w:val="none"/>
                <w:lang w:val="en-US" w:eastAsia="zh-CN"/>
              </w:rPr>
              <w:t>《工业炉窑大气污染物排放标准》</w:t>
            </w:r>
            <w:r>
              <w:rPr>
                <w:rFonts w:hint="default" w:ascii="Times New Roman" w:hAnsi="Times New Roman" w:cs="Times New Roman"/>
                <w:color w:val="auto"/>
                <w:sz w:val="21"/>
                <w:szCs w:val="21"/>
                <w:highlight w:val="none"/>
              </w:rPr>
              <w:t>（DB32/</w:t>
            </w:r>
            <w:r>
              <w:rPr>
                <w:rFonts w:hint="default" w:ascii="Times New Roman" w:hAnsi="Times New Roman" w:cs="Times New Roman"/>
                <w:color w:val="auto"/>
                <w:sz w:val="21"/>
                <w:szCs w:val="21"/>
                <w:highlight w:val="none"/>
                <w:lang w:val="en-US" w:eastAsia="zh-CN"/>
              </w:rPr>
              <w:t>3728</w:t>
            </w:r>
            <w:r>
              <w:rPr>
                <w:rFonts w:hint="default" w:ascii="Times New Roman" w:hAnsi="Times New Roman" w:cs="Times New Roman"/>
                <w:color w:val="auto"/>
                <w:sz w:val="21"/>
                <w:szCs w:val="21"/>
                <w:highlight w:val="none"/>
              </w:rPr>
              <w:t>-20</w:t>
            </w: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w:t>
            </w:r>
          </w:p>
          <w:p w14:paraId="2D343EA4">
            <w:pPr>
              <w:pStyle w:val="5"/>
              <w:spacing w:line="36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建设项目废气污染物达标排放，对周围大气环境影响较小。</w:t>
            </w:r>
          </w:p>
          <w:p w14:paraId="2F6D4B07">
            <w:pPr>
              <w:spacing w:line="360" w:lineRule="auto"/>
              <w:ind w:firstLine="422" w:firstLineChars="20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二、运营期地表水环境影响及保护措施</w:t>
            </w:r>
          </w:p>
          <w:p w14:paraId="24999AE5">
            <w:pPr>
              <w:spacing w:line="360" w:lineRule="auto"/>
              <w:ind w:firstLine="422" w:firstLineChars="200"/>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2.1 废水污染源产生源强分析</w:t>
            </w:r>
          </w:p>
          <w:p w14:paraId="1B3A3A1C">
            <w:pPr>
              <w:spacing w:line="360" w:lineRule="auto"/>
              <w:ind w:firstLine="420" w:firstLineChars="200"/>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废水源强核算见水平衡章节核算内容。</w:t>
            </w:r>
            <w:r>
              <w:rPr>
                <w:rFonts w:hint="eastAsia" w:ascii="Times New Roman" w:hAnsi="Times New Roman" w:eastAsia="宋体" w:cs="Times New Roman"/>
                <w:color w:val="auto"/>
                <w:sz w:val="21"/>
                <w:szCs w:val="21"/>
                <w:highlight w:val="none"/>
                <w:lang w:val="en-US" w:eastAsia="zh-CN"/>
              </w:rPr>
              <w:t>本项目废水主要为预脱脂废水、脱脂后水洗废水、皮膜后水洗废水。</w:t>
            </w:r>
          </w:p>
          <w:p w14:paraId="33423A73">
            <w:pPr>
              <w:spacing w:line="360" w:lineRule="auto"/>
              <w:ind w:firstLine="420" w:firstLineChars="200"/>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生活污水经化粪池处置达到李口镇污水处理厂接管标准后排入市政污水管网，生产废水经厂区污水处理站处理达标后排入污水管网，进入李口镇污水处理厂集中处理。</w:t>
            </w:r>
            <w:r>
              <w:rPr>
                <w:rFonts w:ascii="Times New Roman" w:hAnsi="Times New Roman" w:eastAsia="宋体" w:cs="Times New Roman"/>
                <w:color w:val="000000"/>
                <w:sz w:val="21"/>
                <w:szCs w:val="21"/>
                <w:highlight w:val="none"/>
              </w:rPr>
              <w:t>废水排放情况见下表。</w:t>
            </w:r>
          </w:p>
          <w:p w14:paraId="1F50BCD4">
            <w:pPr>
              <w:spacing w:line="360" w:lineRule="auto"/>
              <w:ind w:firstLine="480" w:firstLineChars="200"/>
              <w:rPr>
                <w:rFonts w:hint="default" w:ascii="Times New Roman" w:hAnsi="Times New Roman" w:cs="Times New Roman"/>
                <w:color w:val="FF0000"/>
                <w:sz w:val="24"/>
                <w:szCs w:val="22"/>
                <w:highlight w:val="none"/>
              </w:rPr>
            </w:pPr>
          </w:p>
        </w:tc>
      </w:tr>
    </w:tbl>
    <w:p w14:paraId="43185F66">
      <w:pPr>
        <w:adjustRightInd w:val="0"/>
        <w:snapToGrid w:val="0"/>
        <w:spacing w:line="360" w:lineRule="auto"/>
        <w:rPr>
          <w:rFonts w:ascii="宋体" w:cs="宋体"/>
          <w:b/>
          <w:color w:val="FF0000"/>
          <w:kern w:val="0"/>
          <w:sz w:val="28"/>
          <w:szCs w:val="28"/>
          <w:highlight w:val="none"/>
        </w:rPr>
      </w:pPr>
    </w:p>
    <w:p w14:paraId="2D57B8C4">
      <w:pPr>
        <w:adjustRightInd w:val="0"/>
        <w:snapToGrid w:val="0"/>
        <w:spacing w:line="360" w:lineRule="auto"/>
        <w:rPr>
          <w:rFonts w:ascii="宋体" w:hAnsi="Times New Roman" w:eastAsia="宋体" w:cs="宋体"/>
          <w:b/>
          <w:color w:val="FF0000"/>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1"/>
        <w:tblW w:w="13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2818"/>
      </w:tblGrid>
      <w:tr w14:paraId="1539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 w:type="dxa"/>
            <w:vAlign w:val="center"/>
          </w:tcPr>
          <w:p w14:paraId="10DB6058">
            <w:pPr>
              <w:keepNext w:val="0"/>
              <w:keepLines w:val="0"/>
              <w:suppressLineNumbers w:val="0"/>
              <w:spacing w:before="0" w:beforeAutospacing="0" w:after="0" w:afterAutospacing="0"/>
              <w:ind w:left="0" w:right="0"/>
              <w:jc w:val="center"/>
              <w:rPr>
                <w:color w:val="FF0000"/>
                <w:sz w:val="24"/>
                <w:szCs w:val="22"/>
                <w:highlight w:val="none"/>
              </w:rPr>
            </w:pPr>
          </w:p>
        </w:tc>
        <w:tc>
          <w:tcPr>
            <w:tcW w:w="8498" w:type="dxa"/>
            <w:vAlign w:val="center"/>
          </w:tcPr>
          <w:p w14:paraId="7D329C94">
            <w:pPr>
              <w:widowControl w:val="0"/>
              <w:spacing w:line="300" w:lineRule="auto"/>
              <w:jc w:val="center"/>
              <w:rPr>
                <w:rFonts w:ascii="Times New Roman" w:hAnsi="Times New Roman" w:eastAsia="宋体" w:cs="Times New Roman"/>
                <w:b/>
                <w:bCs/>
                <w:color w:val="auto"/>
                <w:kern w:val="2"/>
                <w:sz w:val="21"/>
                <w:szCs w:val="20"/>
                <w:highlight w:val="none"/>
                <w:lang w:val="en-US" w:eastAsia="zh-CN" w:bidi="ar-SA"/>
              </w:rPr>
            </w:pPr>
            <w:r>
              <w:rPr>
                <w:rFonts w:hint="eastAsia"/>
                <w:b/>
                <w:bCs/>
                <w:color w:val="auto"/>
                <w:szCs w:val="21"/>
                <w:highlight w:val="none"/>
              </w:rPr>
              <w:t>表</w:t>
            </w:r>
            <w:r>
              <w:rPr>
                <w:b/>
                <w:bCs/>
                <w:color w:val="auto"/>
                <w:szCs w:val="21"/>
                <w:highlight w:val="none"/>
              </w:rPr>
              <w:t>4-1</w:t>
            </w:r>
            <w:r>
              <w:rPr>
                <w:rFonts w:hint="eastAsia"/>
                <w:b/>
                <w:bCs/>
                <w:color w:val="auto"/>
                <w:szCs w:val="21"/>
                <w:highlight w:val="none"/>
                <w:lang w:val="en-US" w:eastAsia="zh-CN"/>
              </w:rPr>
              <w:t>6</w:t>
            </w:r>
            <w:r>
              <w:rPr>
                <w:rFonts w:hint="eastAsia"/>
                <w:b/>
                <w:bCs/>
                <w:color w:val="auto"/>
                <w:szCs w:val="21"/>
                <w:highlight w:val="none"/>
              </w:rPr>
              <w:t xml:space="preserve"> 本项目废水类别及污染防治设施情况表</w:t>
            </w:r>
            <w:r>
              <w:rPr>
                <w:rFonts w:hint="eastAsia" w:ascii="Times New Roman" w:hAnsi="Times New Roman" w:eastAsia="宋体" w:cs="Times New Roman"/>
                <w:b/>
                <w:bCs/>
                <w:color w:val="auto"/>
                <w:kern w:val="2"/>
                <w:sz w:val="21"/>
                <w:szCs w:val="20"/>
                <w:highlight w:val="none"/>
                <w:lang w:val="en-US" w:eastAsia="zh-CN" w:bidi="ar-SA"/>
              </w:rPr>
              <w:t>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17"/>
              <w:gridCol w:w="1110"/>
              <w:gridCol w:w="1965"/>
              <w:gridCol w:w="1803"/>
              <w:gridCol w:w="1854"/>
              <w:gridCol w:w="1458"/>
              <w:gridCol w:w="2106"/>
              <w:gridCol w:w="669"/>
              <w:gridCol w:w="510"/>
              <w:gridCol w:w="710"/>
            </w:tblGrid>
            <w:tr w14:paraId="45BE5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5" w:type="pct"/>
                  <w:gridSpan w:val="2"/>
                  <w:vMerge w:val="restart"/>
                  <w:noWrap w:val="0"/>
                  <w:vAlign w:val="center"/>
                </w:tcPr>
                <w:p w14:paraId="73A845A0">
                  <w:pPr>
                    <w:widowControl w:val="0"/>
                    <w:jc w:val="center"/>
                    <w:rPr>
                      <w:rFonts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废水类别</w:t>
                  </w:r>
                </w:p>
              </w:tc>
              <w:tc>
                <w:tcPr>
                  <w:tcW w:w="779" w:type="pct"/>
                  <w:vMerge w:val="restart"/>
                  <w:noWrap w:val="0"/>
                  <w:vAlign w:val="center"/>
                </w:tcPr>
                <w:p w14:paraId="2B9AC6FD">
                  <w:pPr>
                    <w:widowControl w:val="0"/>
                    <w:jc w:val="center"/>
                    <w:rPr>
                      <w:rFonts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主要产污环节</w:t>
                  </w:r>
                </w:p>
              </w:tc>
              <w:tc>
                <w:tcPr>
                  <w:tcW w:w="715" w:type="pct"/>
                  <w:vMerge w:val="restart"/>
                  <w:noWrap w:val="0"/>
                  <w:vAlign w:val="center"/>
                </w:tcPr>
                <w:p w14:paraId="569E688C">
                  <w:pPr>
                    <w:widowControl w:val="0"/>
                    <w:jc w:val="center"/>
                    <w:rPr>
                      <w:rFonts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污染物项目</w:t>
                  </w:r>
                </w:p>
              </w:tc>
              <w:tc>
                <w:tcPr>
                  <w:tcW w:w="2415" w:type="pct"/>
                  <w:gridSpan w:val="4"/>
                  <w:noWrap w:val="0"/>
                  <w:vAlign w:val="center"/>
                </w:tcPr>
                <w:p w14:paraId="1F88E7A7">
                  <w:pPr>
                    <w:widowControl w:val="0"/>
                    <w:jc w:val="center"/>
                    <w:rPr>
                      <w:rFonts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污染防治设施</w:t>
                  </w:r>
                </w:p>
              </w:tc>
              <w:tc>
                <w:tcPr>
                  <w:tcW w:w="202" w:type="pct"/>
                  <w:vMerge w:val="restart"/>
                  <w:noWrap w:val="0"/>
                  <w:vAlign w:val="center"/>
                </w:tcPr>
                <w:p w14:paraId="2883FBA8">
                  <w:pPr>
                    <w:widowControl w:val="0"/>
                    <w:jc w:val="center"/>
                    <w:rPr>
                      <w:rFonts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排放方式</w:t>
                  </w:r>
                </w:p>
              </w:tc>
              <w:tc>
                <w:tcPr>
                  <w:tcW w:w="281" w:type="pct"/>
                  <w:vMerge w:val="restart"/>
                  <w:noWrap w:val="0"/>
                  <w:vAlign w:val="center"/>
                </w:tcPr>
                <w:p w14:paraId="004730AE">
                  <w:pPr>
                    <w:widowControl w:val="0"/>
                    <w:jc w:val="center"/>
                    <w:rPr>
                      <w:rFonts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排放去向</w:t>
                  </w:r>
                </w:p>
              </w:tc>
            </w:tr>
            <w:tr w14:paraId="46BF1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5" w:type="pct"/>
                  <w:gridSpan w:val="2"/>
                  <w:vMerge w:val="continue"/>
                  <w:noWrap w:val="0"/>
                  <w:vAlign w:val="center"/>
                </w:tcPr>
                <w:p w14:paraId="0F21F72E">
                  <w:pPr>
                    <w:widowControl w:val="0"/>
                    <w:jc w:val="center"/>
                    <w:rPr>
                      <w:rFonts w:ascii="Times New Roman" w:hAnsi="Times New Roman" w:eastAsia="宋体" w:cs="Times New Roman"/>
                      <w:color w:val="auto"/>
                      <w:kern w:val="2"/>
                      <w:sz w:val="21"/>
                      <w:szCs w:val="22"/>
                      <w:highlight w:val="none"/>
                      <w:lang w:val="en-US" w:eastAsia="zh-CN" w:bidi="ar-SA"/>
                    </w:rPr>
                  </w:pPr>
                </w:p>
              </w:tc>
              <w:tc>
                <w:tcPr>
                  <w:tcW w:w="779" w:type="pct"/>
                  <w:vMerge w:val="continue"/>
                  <w:noWrap w:val="0"/>
                  <w:vAlign w:val="center"/>
                </w:tcPr>
                <w:p w14:paraId="68163BD4">
                  <w:pPr>
                    <w:widowControl w:val="0"/>
                    <w:jc w:val="center"/>
                    <w:rPr>
                      <w:rFonts w:ascii="Times New Roman" w:hAnsi="Times New Roman" w:eastAsia="宋体" w:cs="Times New Roman"/>
                      <w:color w:val="auto"/>
                      <w:kern w:val="2"/>
                      <w:sz w:val="21"/>
                      <w:szCs w:val="22"/>
                      <w:highlight w:val="none"/>
                      <w:lang w:val="en-US" w:eastAsia="zh-CN" w:bidi="ar-SA"/>
                    </w:rPr>
                  </w:pPr>
                </w:p>
              </w:tc>
              <w:tc>
                <w:tcPr>
                  <w:tcW w:w="715" w:type="pct"/>
                  <w:vMerge w:val="continue"/>
                  <w:noWrap w:val="0"/>
                  <w:vAlign w:val="center"/>
                </w:tcPr>
                <w:p w14:paraId="2FE6E564">
                  <w:pPr>
                    <w:widowControl w:val="0"/>
                    <w:jc w:val="center"/>
                    <w:rPr>
                      <w:rFonts w:ascii="Times New Roman" w:hAnsi="Times New Roman" w:eastAsia="宋体" w:cs="Times New Roman"/>
                      <w:color w:val="auto"/>
                      <w:kern w:val="2"/>
                      <w:sz w:val="21"/>
                      <w:szCs w:val="22"/>
                      <w:highlight w:val="none"/>
                      <w:lang w:val="en-US" w:eastAsia="zh-CN" w:bidi="ar-SA"/>
                    </w:rPr>
                  </w:pPr>
                </w:p>
              </w:tc>
              <w:tc>
                <w:tcPr>
                  <w:tcW w:w="735" w:type="pct"/>
                  <w:noWrap w:val="0"/>
                  <w:vAlign w:val="center"/>
                </w:tcPr>
                <w:p w14:paraId="4F0C24E7">
                  <w:pPr>
                    <w:widowControl w:val="0"/>
                    <w:jc w:val="center"/>
                    <w:rPr>
                      <w:rFonts w:hint="eastAsia"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治理设施及处理工艺</w:t>
                  </w:r>
                </w:p>
              </w:tc>
              <w:tc>
                <w:tcPr>
                  <w:tcW w:w="578" w:type="pct"/>
                  <w:noWrap w:val="0"/>
                  <w:vAlign w:val="center"/>
                </w:tcPr>
                <w:p w14:paraId="0EC94BD2">
                  <w:pPr>
                    <w:widowControl w:val="0"/>
                    <w:jc w:val="center"/>
                    <w:rPr>
                      <w:rFonts w:hint="eastAsia"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处理能力</w:t>
                  </w:r>
                </w:p>
              </w:tc>
              <w:tc>
                <w:tcPr>
                  <w:tcW w:w="835" w:type="pct"/>
                  <w:noWrap w:val="0"/>
                  <w:vAlign w:val="center"/>
                </w:tcPr>
                <w:p w14:paraId="341DD072">
                  <w:pPr>
                    <w:widowControl w:val="0"/>
                    <w:jc w:val="center"/>
                    <w:rPr>
                      <w:rFonts w:hint="eastAsia"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治理效率</w:t>
                  </w:r>
                </w:p>
              </w:tc>
              <w:tc>
                <w:tcPr>
                  <w:tcW w:w="265" w:type="pct"/>
                  <w:noWrap w:val="0"/>
                  <w:vAlign w:val="center"/>
                </w:tcPr>
                <w:p w14:paraId="0B863741">
                  <w:pPr>
                    <w:widowControl w:val="0"/>
                    <w:jc w:val="center"/>
                    <w:rPr>
                      <w:rFonts w:hint="eastAsia" w:ascii="Times New Roman" w:hAnsi="Times New Roman" w:eastAsia="宋体" w:cs="Times New Roman"/>
                      <w:b/>
                      <w:bCs/>
                      <w:color w:val="auto"/>
                      <w:kern w:val="2"/>
                      <w:sz w:val="21"/>
                      <w:szCs w:val="22"/>
                      <w:highlight w:val="none"/>
                      <w:lang w:val="en-US" w:eastAsia="zh-CN" w:bidi="ar-SA"/>
                    </w:rPr>
                  </w:pPr>
                  <w:r>
                    <w:rPr>
                      <w:rFonts w:hint="eastAsia" w:ascii="Times New Roman" w:hAnsi="Times New Roman" w:eastAsia="宋体" w:cs="Times New Roman"/>
                      <w:b/>
                      <w:bCs/>
                      <w:color w:val="auto"/>
                      <w:kern w:val="2"/>
                      <w:sz w:val="21"/>
                      <w:szCs w:val="22"/>
                      <w:highlight w:val="none"/>
                      <w:lang w:val="en-US" w:eastAsia="zh-CN" w:bidi="ar-SA"/>
                    </w:rPr>
                    <w:t>是否为可行技术</w:t>
                  </w:r>
                </w:p>
              </w:tc>
              <w:tc>
                <w:tcPr>
                  <w:tcW w:w="202" w:type="pct"/>
                  <w:vMerge w:val="continue"/>
                  <w:noWrap w:val="0"/>
                  <w:vAlign w:val="top"/>
                </w:tcPr>
                <w:p w14:paraId="70382F15">
                  <w:pPr>
                    <w:widowControl w:val="0"/>
                    <w:jc w:val="center"/>
                    <w:rPr>
                      <w:rFonts w:ascii="Times New Roman" w:hAnsi="Times New Roman" w:eastAsia="宋体" w:cs="Times New Roman"/>
                      <w:color w:val="auto"/>
                      <w:kern w:val="2"/>
                      <w:sz w:val="21"/>
                      <w:szCs w:val="22"/>
                      <w:highlight w:val="none"/>
                      <w:lang w:val="en-US" w:eastAsia="zh-CN" w:bidi="ar-SA"/>
                    </w:rPr>
                  </w:pPr>
                </w:p>
              </w:tc>
              <w:tc>
                <w:tcPr>
                  <w:tcW w:w="281" w:type="pct"/>
                  <w:vMerge w:val="continue"/>
                  <w:noWrap w:val="0"/>
                  <w:vAlign w:val="top"/>
                </w:tcPr>
                <w:p w14:paraId="79F2D8EE">
                  <w:pPr>
                    <w:widowControl w:val="0"/>
                    <w:jc w:val="center"/>
                    <w:rPr>
                      <w:rFonts w:ascii="Times New Roman" w:hAnsi="Times New Roman" w:eastAsia="宋体" w:cs="Times New Roman"/>
                      <w:color w:val="auto"/>
                      <w:kern w:val="2"/>
                      <w:sz w:val="21"/>
                      <w:szCs w:val="22"/>
                      <w:highlight w:val="none"/>
                      <w:lang w:val="en-US" w:eastAsia="zh-CN" w:bidi="ar-SA"/>
                    </w:rPr>
                  </w:pPr>
                </w:p>
              </w:tc>
            </w:tr>
            <w:tr w14:paraId="48BDA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5" w:type="pct"/>
                  <w:gridSpan w:val="2"/>
                  <w:noWrap w:val="0"/>
                  <w:vAlign w:val="center"/>
                </w:tcPr>
                <w:p w14:paraId="3A5C0EDE">
                  <w:pPr>
                    <w:widowControl w:val="0"/>
                    <w:jc w:val="center"/>
                    <w:rPr>
                      <w:rFonts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生活污水</w:t>
                  </w:r>
                </w:p>
              </w:tc>
              <w:tc>
                <w:tcPr>
                  <w:tcW w:w="779" w:type="pct"/>
                  <w:noWrap w:val="0"/>
                  <w:vAlign w:val="center"/>
                </w:tcPr>
                <w:p w14:paraId="0B7039D0">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职工生活</w:t>
                  </w:r>
                </w:p>
              </w:tc>
              <w:tc>
                <w:tcPr>
                  <w:tcW w:w="715" w:type="pct"/>
                  <w:noWrap w:val="0"/>
                  <w:vAlign w:val="center"/>
                </w:tcPr>
                <w:p w14:paraId="549CA7AA">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1"/>
                      <w:highlight w:val="none"/>
                      <w:lang w:val="en-US" w:eastAsia="zh-CN"/>
                    </w:rPr>
                    <w:t>pH、</w:t>
                  </w:r>
                  <w:r>
                    <w:rPr>
                      <w:rFonts w:hint="eastAsia" w:ascii="Times New Roman" w:hAnsi="Times New Roman" w:eastAsia="宋体" w:cs="Times New Roman"/>
                      <w:color w:val="auto"/>
                      <w:kern w:val="2"/>
                      <w:sz w:val="21"/>
                      <w:szCs w:val="22"/>
                      <w:highlight w:val="none"/>
                      <w:lang w:val="en-US" w:eastAsia="zh-CN" w:bidi="ar-SA"/>
                    </w:rPr>
                    <w:t>COD、BOD</w:t>
                  </w:r>
                  <w:r>
                    <w:rPr>
                      <w:rFonts w:hint="eastAsia" w:ascii="Times New Roman" w:hAnsi="Times New Roman" w:eastAsia="宋体" w:cs="Times New Roman"/>
                      <w:color w:val="auto"/>
                      <w:kern w:val="2"/>
                      <w:sz w:val="21"/>
                      <w:szCs w:val="22"/>
                      <w:highlight w:val="none"/>
                      <w:vertAlign w:val="subscript"/>
                      <w:lang w:val="en-US" w:eastAsia="zh-CN" w:bidi="ar-SA"/>
                    </w:rPr>
                    <w:t>5</w:t>
                  </w:r>
                  <w:r>
                    <w:rPr>
                      <w:rFonts w:hint="eastAsia" w:ascii="Times New Roman" w:hAnsi="Times New Roman" w:eastAsia="宋体" w:cs="Times New Roman"/>
                      <w:color w:val="auto"/>
                      <w:kern w:val="2"/>
                      <w:sz w:val="21"/>
                      <w:szCs w:val="22"/>
                      <w:highlight w:val="none"/>
                      <w:lang w:val="en-US" w:eastAsia="zh-CN" w:bidi="ar-SA"/>
                    </w:rPr>
                    <w:t>、SS、氨氮、总氮、总磷</w:t>
                  </w:r>
                </w:p>
              </w:tc>
              <w:tc>
                <w:tcPr>
                  <w:tcW w:w="735" w:type="pct"/>
                  <w:noWrap w:val="0"/>
                  <w:vAlign w:val="center"/>
                </w:tcPr>
                <w:p w14:paraId="5AE3D141">
                  <w:pPr>
                    <w:widowControl w:val="0"/>
                    <w:jc w:val="center"/>
                    <w:rPr>
                      <w:rFonts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化粪池</w:t>
                  </w:r>
                </w:p>
              </w:tc>
              <w:tc>
                <w:tcPr>
                  <w:tcW w:w="578" w:type="pct"/>
                  <w:noWrap w:val="0"/>
                  <w:vAlign w:val="center"/>
                </w:tcPr>
                <w:p w14:paraId="256782F5">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化粪池15m</w:t>
                  </w:r>
                  <w:r>
                    <w:rPr>
                      <w:rFonts w:hint="eastAsia" w:ascii="Times New Roman" w:hAnsi="Times New Roman" w:eastAsia="宋体" w:cs="Times New Roman"/>
                      <w:color w:val="auto"/>
                      <w:kern w:val="2"/>
                      <w:sz w:val="21"/>
                      <w:szCs w:val="22"/>
                      <w:highlight w:val="none"/>
                      <w:vertAlign w:val="superscript"/>
                      <w:lang w:val="en-US" w:eastAsia="zh-CN" w:bidi="ar-SA"/>
                    </w:rPr>
                    <w:t>3</w:t>
                  </w:r>
                  <w:r>
                    <w:rPr>
                      <w:rFonts w:hint="eastAsia" w:ascii="Times New Roman" w:hAnsi="Times New Roman" w:eastAsia="宋体" w:cs="Times New Roman"/>
                      <w:color w:val="auto"/>
                      <w:kern w:val="2"/>
                      <w:sz w:val="21"/>
                      <w:szCs w:val="22"/>
                      <w:highlight w:val="none"/>
                      <w:lang w:val="en-US" w:eastAsia="zh-CN" w:bidi="ar-SA"/>
                    </w:rPr>
                    <w:t>/d</w:t>
                  </w:r>
                </w:p>
              </w:tc>
              <w:tc>
                <w:tcPr>
                  <w:tcW w:w="835" w:type="pct"/>
                  <w:noWrap w:val="0"/>
                  <w:vAlign w:val="center"/>
                </w:tcPr>
                <w:p w14:paraId="26D20FB7">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COD4.8%、SS12.5%</w:t>
                  </w:r>
                </w:p>
              </w:tc>
              <w:tc>
                <w:tcPr>
                  <w:tcW w:w="265" w:type="pct"/>
                  <w:noWrap w:val="0"/>
                  <w:vAlign w:val="center"/>
                </w:tcPr>
                <w:p w14:paraId="37AF430F">
                  <w:pPr>
                    <w:widowControl w:val="0"/>
                    <w:jc w:val="center"/>
                    <w:rPr>
                      <w:rFonts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是</w:t>
                  </w:r>
                </w:p>
              </w:tc>
              <w:tc>
                <w:tcPr>
                  <w:tcW w:w="202" w:type="pct"/>
                  <w:noWrap w:val="0"/>
                  <w:vAlign w:val="center"/>
                </w:tcPr>
                <w:p w14:paraId="38A37844">
                  <w:pPr>
                    <w:widowControl w:val="0"/>
                    <w:jc w:val="center"/>
                    <w:rPr>
                      <w:rFonts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间接排放</w:t>
                  </w:r>
                </w:p>
              </w:tc>
              <w:tc>
                <w:tcPr>
                  <w:tcW w:w="281" w:type="pct"/>
                  <w:vMerge w:val="restart"/>
                  <w:noWrap w:val="0"/>
                  <w:vAlign w:val="center"/>
                </w:tcPr>
                <w:p w14:paraId="406D55E0">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i w:val="0"/>
                      <w:iCs w:val="0"/>
                      <w:color w:val="auto"/>
                      <w:sz w:val="21"/>
                      <w:szCs w:val="21"/>
                      <w:highlight w:val="none"/>
                      <w:u w:val="none"/>
                      <w:lang w:val="en-US" w:eastAsia="zh-CN"/>
                    </w:rPr>
                    <w:t>李口镇污水处理厂</w:t>
                  </w:r>
                </w:p>
              </w:tc>
            </w:tr>
            <w:tr w14:paraId="30587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 w:type="pct"/>
                  <w:vMerge w:val="restart"/>
                  <w:noWrap w:val="0"/>
                  <w:vAlign w:val="center"/>
                </w:tcPr>
                <w:p w14:paraId="2FD5380B">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生产废水</w:t>
                  </w:r>
                </w:p>
              </w:tc>
              <w:tc>
                <w:tcPr>
                  <w:tcW w:w="440" w:type="pct"/>
                  <w:noWrap w:val="0"/>
                  <w:vAlign w:val="center"/>
                </w:tcPr>
                <w:p w14:paraId="010F7EFD">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预脱脂废水</w:t>
                  </w:r>
                </w:p>
              </w:tc>
              <w:tc>
                <w:tcPr>
                  <w:tcW w:w="779" w:type="pct"/>
                  <w:noWrap w:val="0"/>
                  <w:vAlign w:val="center"/>
                </w:tcPr>
                <w:p w14:paraId="2BF1D876">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预脱脂</w:t>
                  </w:r>
                </w:p>
              </w:tc>
              <w:tc>
                <w:tcPr>
                  <w:tcW w:w="715" w:type="pct"/>
                  <w:noWrap w:val="0"/>
                  <w:vAlign w:val="center"/>
                </w:tcPr>
                <w:p w14:paraId="2A90784B">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1"/>
                      <w:highlight w:val="none"/>
                      <w:lang w:val="en-US" w:eastAsia="zh-CN"/>
                    </w:rPr>
                    <w:t>pH、</w:t>
                  </w:r>
                  <w:r>
                    <w:rPr>
                      <w:rFonts w:hint="default" w:ascii="Times New Roman" w:hAnsi="Times New Roman" w:eastAsia="宋体" w:cs="Times New Roman"/>
                      <w:color w:val="auto"/>
                      <w:sz w:val="21"/>
                      <w:szCs w:val="21"/>
                      <w:highlight w:val="none"/>
                    </w:rPr>
                    <w:t>COD、</w:t>
                  </w:r>
                  <w:r>
                    <w:rPr>
                      <w:rFonts w:hint="eastAsia" w:ascii="Times New Roman" w:hAnsi="Times New Roman" w:eastAsia="宋体" w:cs="Times New Roman"/>
                      <w:color w:val="auto"/>
                      <w:kern w:val="2"/>
                      <w:sz w:val="21"/>
                      <w:szCs w:val="22"/>
                      <w:highlight w:val="none"/>
                      <w:lang w:val="en-US" w:eastAsia="zh-CN" w:bidi="ar-SA"/>
                    </w:rPr>
                    <w:t>BOD</w:t>
                  </w:r>
                  <w:r>
                    <w:rPr>
                      <w:rFonts w:hint="eastAsia" w:ascii="Times New Roman" w:hAnsi="Times New Roman" w:eastAsia="宋体" w:cs="Times New Roman"/>
                      <w:color w:val="auto"/>
                      <w:kern w:val="2"/>
                      <w:sz w:val="21"/>
                      <w:szCs w:val="22"/>
                      <w:highlight w:val="none"/>
                      <w:vertAlign w:val="subscript"/>
                      <w:lang w:val="en-US" w:eastAsia="zh-CN" w:bidi="ar-SA"/>
                    </w:rPr>
                    <w:t>5</w:t>
                  </w:r>
                  <w:r>
                    <w:rPr>
                      <w:rFonts w:hint="eastAsia" w:ascii="Times New Roman" w:hAnsi="Times New Roman" w:eastAsia="宋体" w:cs="Times New Roman"/>
                      <w:color w:val="auto"/>
                      <w:kern w:val="2"/>
                      <w:sz w:val="21"/>
                      <w:szCs w:val="22"/>
                      <w:highlight w:val="none"/>
                      <w:lang w:val="en-US" w:eastAsia="zh-CN" w:bidi="ar-SA"/>
                    </w:rPr>
                    <w:t>、</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-N、TN、TP</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石油类</w:t>
                  </w:r>
                </w:p>
              </w:tc>
              <w:tc>
                <w:tcPr>
                  <w:tcW w:w="735" w:type="pct"/>
                  <w:vMerge w:val="restart"/>
                  <w:noWrap w:val="0"/>
                  <w:vAlign w:val="center"/>
                </w:tcPr>
                <w:p w14:paraId="798DF9F0">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污水处理</w:t>
                  </w:r>
                  <w:r>
                    <w:rPr>
                      <w:rFonts w:hint="eastAsia" w:cs="Times New Roman"/>
                      <w:color w:val="auto"/>
                      <w:kern w:val="2"/>
                      <w:sz w:val="21"/>
                      <w:szCs w:val="22"/>
                      <w:highlight w:val="none"/>
                      <w:lang w:val="en-US" w:eastAsia="zh-CN" w:bidi="ar-SA"/>
                    </w:rPr>
                    <w:t>站TW002（</w:t>
                  </w:r>
                  <w:r>
                    <w:rPr>
                      <w:rFonts w:hint="eastAsia" w:eastAsia="宋体"/>
                      <w:color w:val="auto"/>
                      <w:sz w:val="21"/>
                      <w:szCs w:val="21"/>
                    </w:rPr>
                    <w:t>隔油+中和+絮凝+斜管沉淀+</w:t>
                  </w:r>
                  <w:r>
                    <w:rPr>
                      <w:rFonts w:hint="eastAsia"/>
                      <w:color w:val="auto"/>
                      <w:sz w:val="21"/>
                      <w:szCs w:val="21"/>
                      <w:lang w:eastAsia="zh-CN"/>
                    </w:rPr>
                    <w:t>过滤器</w:t>
                  </w:r>
                  <w:r>
                    <w:rPr>
                      <w:rFonts w:hint="eastAsia" w:eastAsia="宋体"/>
                      <w:color w:val="auto"/>
                      <w:sz w:val="21"/>
                      <w:szCs w:val="21"/>
                    </w:rPr>
                    <w:t>处理</w:t>
                  </w:r>
                  <w:r>
                    <w:rPr>
                      <w:rFonts w:hint="eastAsia"/>
                      <w:color w:val="auto"/>
                      <w:sz w:val="21"/>
                      <w:szCs w:val="21"/>
                      <w:lang w:val="en-US" w:eastAsia="zh-CN"/>
                    </w:rPr>
                    <w:t>工艺</w:t>
                  </w:r>
                  <w:r>
                    <w:rPr>
                      <w:rFonts w:hint="eastAsia" w:cs="Times New Roman"/>
                      <w:color w:val="auto"/>
                      <w:kern w:val="2"/>
                      <w:sz w:val="21"/>
                      <w:szCs w:val="22"/>
                      <w:highlight w:val="none"/>
                      <w:lang w:val="en-US" w:eastAsia="zh-CN" w:bidi="ar-SA"/>
                    </w:rPr>
                    <w:t>）</w:t>
                  </w:r>
                </w:p>
              </w:tc>
              <w:tc>
                <w:tcPr>
                  <w:tcW w:w="578" w:type="pct"/>
                  <w:vMerge w:val="restart"/>
                  <w:noWrap w:val="0"/>
                  <w:vAlign w:val="center"/>
                </w:tcPr>
                <w:p w14:paraId="5E9D5EDE">
                  <w:pPr>
                    <w:widowControl w:val="0"/>
                    <w:jc w:val="center"/>
                    <w:rPr>
                      <w:rFonts w:hint="eastAsia" w:ascii="Times New Roman" w:hAnsi="Times New Roman" w:eastAsia="宋体" w:cs="Times New Roman"/>
                      <w:color w:val="auto"/>
                      <w:kern w:val="2"/>
                      <w:sz w:val="21"/>
                      <w:szCs w:val="22"/>
                      <w:highlight w:val="none"/>
                      <w:lang w:val="en-US" w:eastAsia="zh-CN" w:bidi="ar-SA"/>
                    </w:rPr>
                  </w:pPr>
                  <w:r>
                    <w:rPr>
                      <w:rFonts w:hint="eastAsia" w:cs="Times New Roman"/>
                      <w:color w:val="auto"/>
                      <w:kern w:val="0"/>
                      <w:szCs w:val="21"/>
                      <w:highlight w:val="none"/>
                      <w:lang w:val="en-US" w:eastAsia="zh-CN"/>
                    </w:rPr>
                    <w:t>1</w:t>
                  </w:r>
                  <w:r>
                    <w:rPr>
                      <w:rFonts w:hint="eastAsia" w:ascii="Times New Roman" w:hAnsi="Times New Roman" w:cs="Times New Roman"/>
                      <w:color w:val="auto"/>
                      <w:kern w:val="0"/>
                      <w:szCs w:val="21"/>
                      <w:highlight w:val="none"/>
                      <w:lang w:val="en-US" w:eastAsia="zh-CN"/>
                    </w:rPr>
                    <w:t>0</w:t>
                  </w:r>
                  <w:r>
                    <w:rPr>
                      <w:rFonts w:hint="eastAsia" w:ascii="Times New Roman" w:hAnsi="Times New Roman" w:cs="Times New Roman"/>
                      <w:color w:val="auto"/>
                      <w:kern w:val="0"/>
                      <w:sz w:val="21"/>
                      <w:szCs w:val="21"/>
                      <w:highlight w:val="none"/>
                      <w:lang w:val="en-US" w:eastAsia="zh-CN" w:bidi="ar-SA"/>
                    </w:rPr>
                    <w:t>m</w:t>
                  </w:r>
                  <w:r>
                    <w:rPr>
                      <w:rFonts w:hint="eastAsia" w:ascii="Times New Roman" w:hAnsi="Times New Roman" w:cs="Times New Roman"/>
                      <w:color w:val="auto"/>
                      <w:kern w:val="0"/>
                      <w:sz w:val="21"/>
                      <w:szCs w:val="21"/>
                      <w:highlight w:val="none"/>
                      <w:vertAlign w:val="superscript"/>
                      <w:lang w:val="en-US" w:eastAsia="zh-CN" w:bidi="ar-SA"/>
                    </w:rPr>
                    <w:t>3</w:t>
                  </w:r>
                  <w:r>
                    <w:rPr>
                      <w:rFonts w:hint="eastAsia" w:ascii="Times New Roman" w:hAnsi="Times New Roman" w:cs="Times New Roman"/>
                      <w:color w:val="auto"/>
                      <w:kern w:val="0"/>
                      <w:sz w:val="21"/>
                      <w:szCs w:val="21"/>
                      <w:highlight w:val="none"/>
                      <w:lang w:val="en-US" w:eastAsia="zh-CN" w:bidi="ar-SA"/>
                    </w:rPr>
                    <w:t>/d</w:t>
                  </w:r>
                </w:p>
              </w:tc>
              <w:tc>
                <w:tcPr>
                  <w:tcW w:w="835" w:type="pct"/>
                  <w:vMerge w:val="restart"/>
                  <w:noWrap w:val="0"/>
                  <w:vAlign w:val="center"/>
                </w:tcPr>
                <w:p w14:paraId="2B685EAC">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COD50.58%、SS63.32%、BOD</w:t>
                  </w:r>
                  <w:r>
                    <w:rPr>
                      <w:rFonts w:hint="eastAsia" w:ascii="Times New Roman" w:hAnsi="Times New Roman" w:eastAsia="宋体" w:cs="Times New Roman"/>
                      <w:color w:val="auto"/>
                      <w:kern w:val="2"/>
                      <w:sz w:val="21"/>
                      <w:szCs w:val="22"/>
                      <w:highlight w:val="none"/>
                      <w:vertAlign w:val="subscript"/>
                      <w:lang w:val="en-US" w:eastAsia="zh-CN" w:bidi="ar-SA"/>
                    </w:rPr>
                    <w:t>5</w:t>
                  </w:r>
                  <w:r>
                    <w:rPr>
                      <w:rFonts w:hint="eastAsia" w:ascii="Times New Roman" w:hAnsi="Times New Roman" w:eastAsia="宋体" w:cs="Times New Roman"/>
                      <w:color w:val="auto"/>
                      <w:kern w:val="2"/>
                      <w:sz w:val="21"/>
                      <w:szCs w:val="22"/>
                      <w:highlight w:val="none"/>
                      <w:lang w:val="en-US" w:eastAsia="zh-CN" w:bidi="ar-SA"/>
                    </w:rPr>
                    <w:t>43.29%、总磷85.03%、石油类94.75%，总氮54.46%、总锌90.89%</w:t>
                  </w:r>
                </w:p>
              </w:tc>
              <w:tc>
                <w:tcPr>
                  <w:tcW w:w="265" w:type="pct"/>
                  <w:vMerge w:val="restart"/>
                  <w:noWrap w:val="0"/>
                  <w:vAlign w:val="center"/>
                </w:tcPr>
                <w:p w14:paraId="1B245EC6">
                  <w:pPr>
                    <w:widowControl w:val="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是</w:t>
                  </w:r>
                </w:p>
              </w:tc>
              <w:tc>
                <w:tcPr>
                  <w:tcW w:w="202" w:type="pct"/>
                  <w:vMerge w:val="restart"/>
                  <w:noWrap w:val="0"/>
                  <w:vAlign w:val="center"/>
                </w:tcPr>
                <w:p w14:paraId="42777D05">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间接排放</w:t>
                  </w:r>
                </w:p>
              </w:tc>
              <w:tc>
                <w:tcPr>
                  <w:tcW w:w="281" w:type="pct"/>
                  <w:vMerge w:val="continue"/>
                  <w:noWrap w:val="0"/>
                  <w:vAlign w:val="center"/>
                </w:tcPr>
                <w:p w14:paraId="5300D7EE">
                  <w:pPr>
                    <w:widowControl w:val="0"/>
                    <w:jc w:val="center"/>
                    <w:rPr>
                      <w:rFonts w:hint="default" w:ascii="Times New Roman" w:hAnsi="Times New Roman" w:eastAsia="宋体" w:cs="Times New Roman"/>
                      <w:color w:val="auto"/>
                      <w:kern w:val="2"/>
                      <w:sz w:val="21"/>
                      <w:szCs w:val="22"/>
                      <w:highlight w:val="none"/>
                      <w:lang w:val="en-US" w:eastAsia="zh-CN" w:bidi="ar-SA"/>
                    </w:rPr>
                  </w:pPr>
                </w:p>
              </w:tc>
            </w:tr>
            <w:tr w14:paraId="4F842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 w:type="pct"/>
                  <w:vMerge w:val="continue"/>
                  <w:noWrap w:val="0"/>
                  <w:vAlign w:val="center"/>
                </w:tcPr>
                <w:p w14:paraId="0E0FA72E">
                  <w:pPr>
                    <w:widowControl w:val="0"/>
                    <w:jc w:val="center"/>
                    <w:rPr>
                      <w:rFonts w:hint="eastAsia" w:ascii="Times New Roman" w:hAnsi="Times New Roman" w:eastAsia="宋体" w:cs="Times New Roman"/>
                      <w:color w:val="auto"/>
                      <w:kern w:val="2"/>
                      <w:sz w:val="21"/>
                      <w:szCs w:val="22"/>
                      <w:highlight w:val="none"/>
                      <w:lang w:val="en-US" w:eastAsia="zh-CN" w:bidi="ar-SA"/>
                    </w:rPr>
                  </w:pPr>
                </w:p>
              </w:tc>
              <w:tc>
                <w:tcPr>
                  <w:tcW w:w="440" w:type="pct"/>
                  <w:noWrap w:val="0"/>
                  <w:vAlign w:val="center"/>
                </w:tcPr>
                <w:p w14:paraId="55CA5338">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脱脂后清洗废水</w:t>
                  </w:r>
                </w:p>
              </w:tc>
              <w:tc>
                <w:tcPr>
                  <w:tcW w:w="779" w:type="pct"/>
                  <w:noWrap w:val="0"/>
                  <w:vAlign w:val="center"/>
                </w:tcPr>
                <w:p w14:paraId="09449C25">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脱脂第一、第二次清洗</w:t>
                  </w:r>
                </w:p>
              </w:tc>
              <w:tc>
                <w:tcPr>
                  <w:tcW w:w="715" w:type="pct"/>
                  <w:noWrap w:val="0"/>
                  <w:vAlign w:val="center"/>
                </w:tcPr>
                <w:p w14:paraId="68546892">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1"/>
                      <w:highlight w:val="none"/>
                      <w:lang w:val="en-US" w:eastAsia="zh-CN"/>
                    </w:rPr>
                    <w:t>pH、</w:t>
                  </w:r>
                  <w:r>
                    <w:rPr>
                      <w:rFonts w:hint="default" w:ascii="Times New Roman" w:hAnsi="Times New Roman" w:eastAsia="宋体" w:cs="Times New Roman"/>
                      <w:color w:val="auto"/>
                      <w:sz w:val="21"/>
                      <w:szCs w:val="21"/>
                      <w:highlight w:val="none"/>
                    </w:rPr>
                    <w:t>COD、</w:t>
                  </w:r>
                  <w:r>
                    <w:rPr>
                      <w:rFonts w:hint="eastAsia" w:ascii="Times New Roman" w:hAnsi="Times New Roman" w:eastAsia="宋体" w:cs="Times New Roman"/>
                      <w:color w:val="auto"/>
                      <w:kern w:val="2"/>
                      <w:sz w:val="21"/>
                      <w:szCs w:val="22"/>
                      <w:highlight w:val="none"/>
                      <w:lang w:val="en-US" w:eastAsia="zh-CN" w:bidi="ar-SA"/>
                    </w:rPr>
                    <w:t>BOD</w:t>
                  </w:r>
                  <w:r>
                    <w:rPr>
                      <w:rFonts w:hint="eastAsia" w:ascii="Times New Roman" w:hAnsi="Times New Roman" w:eastAsia="宋体" w:cs="Times New Roman"/>
                      <w:color w:val="auto"/>
                      <w:kern w:val="2"/>
                      <w:sz w:val="21"/>
                      <w:szCs w:val="22"/>
                      <w:highlight w:val="none"/>
                      <w:vertAlign w:val="subscript"/>
                      <w:lang w:val="en-US" w:eastAsia="zh-CN" w:bidi="ar-SA"/>
                    </w:rPr>
                    <w:t>5</w:t>
                  </w:r>
                  <w:r>
                    <w:rPr>
                      <w:rFonts w:hint="eastAsia" w:ascii="Times New Roman" w:hAnsi="Times New Roman" w:eastAsia="宋体" w:cs="Times New Roman"/>
                      <w:color w:val="auto"/>
                      <w:kern w:val="2"/>
                      <w:sz w:val="21"/>
                      <w:szCs w:val="22"/>
                      <w:highlight w:val="none"/>
                      <w:lang w:val="en-US" w:eastAsia="zh-CN" w:bidi="ar-SA"/>
                    </w:rPr>
                    <w:t>、</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-N、TN、TP</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石油类</w:t>
                  </w:r>
                </w:p>
              </w:tc>
              <w:tc>
                <w:tcPr>
                  <w:tcW w:w="735" w:type="pct"/>
                  <w:vMerge w:val="continue"/>
                  <w:noWrap w:val="0"/>
                  <w:vAlign w:val="center"/>
                </w:tcPr>
                <w:p w14:paraId="2CE06E42">
                  <w:pPr>
                    <w:widowControl w:val="0"/>
                    <w:jc w:val="center"/>
                    <w:rPr>
                      <w:rFonts w:hint="eastAsia" w:ascii="Times New Roman" w:hAnsi="Times New Roman" w:eastAsia="宋体" w:cs="Times New Roman"/>
                      <w:color w:val="auto"/>
                      <w:kern w:val="2"/>
                      <w:sz w:val="21"/>
                      <w:szCs w:val="22"/>
                      <w:highlight w:val="none"/>
                      <w:lang w:val="en-US" w:eastAsia="zh-CN" w:bidi="ar-SA"/>
                    </w:rPr>
                  </w:pPr>
                </w:p>
              </w:tc>
              <w:tc>
                <w:tcPr>
                  <w:tcW w:w="578" w:type="pct"/>
                  <w:vMerge w:val="continue"/>
                  <w:noWrap w:val="0"/>
                  <w:vAlign w:val="center"/>
                </w:tcPr>
                <w:p w14:paraId="15B78DE4">
                  <w:pPr>
                    <w:widowControl w:val="0"/>
                    <w:jc w:val="center"/>
                    <w:rPr>
                      <w:rFonts w:hint="eastAsia" w:ascii="Times New Roman" w:hAnsi="Times New Roman" w:eastAsia="宋体" w:cs="Times New Roman"/>
                      <w:color w:val="auto"/>
                      <w:kern w:val="2"/>
                      <w:sz w:val="21"/>
                      <w:szCs w:val="22"/>
                      <w:highlight w:val="none"/>
                      <w:lang w:val="en-US" w:eastAsia="zh-CN" w:bidi="ar-SA"/>
                    </w:rPr>
                  </w:pPr>
                </w:p>
              </w:tc>
              <w:tc>
                <w:tcPr>
                  <w:tcW w:w="835" w:type="pct"/>
                  <w:vMerge w:val="continue"/>
                  <w:noWrap w:val="0"/>
                  <w:vAlign w:val="center"/>
                </w:tcPr>
                <w:p w14:paraId="428AB752">
                  <w:pPr>
                    <w:widowControl w:val="0"/>
                    <w:jc w:val="center"/>
                    <w:rPr>
                      <w:rFonts w:hint="default" w:ascii="Times New Roman" w:hAnsi="Times New Roman" w:eastAsia="宋体" w:cs="Times New Roman"/>
                      <w:color w:val="auto"/>
                      <w:kern w:val="2"/>
                      <w:sz w:val="21"/>
                      <w:szCs w:val="22"/>
                      <w:highlight w:val="none"/>
                      <w:lang w:val="en-US" w:eastAsia="zh-CN" w:bidi="ar-SA"/>
                    </w:rPr>
                  </w:pPr>
                </w:p>
              </w:tc>
              <w:tc>
                <w:tcPr>
                  <w:tcW w:w="265" w:type="pct"/>
                  <w:vMerge w:val="continue"/>
                  <w:noWrap w:val="0"/>
                  <w:vAlign w:val="center"/>
                </w:tcPr>
                <w:p w14:paraId="4E374BF4">
                  <w:pPr>
                    <w:widowControl w:val="0"/>
                    <w:jc w:val="center"/>
                    <w:rPr>
                      <w:rFonts w:hint="eastAsia" w:ascii="Times New Roman" w:hAnsi="Times New Roman" w:eastAsia="宋体" w:cs="Times New Roman"/>
                      <w:color w:val="auto"/>
                      <w:kern w:val="2"/>
                      <w:sz w:val="21"/>
                      <w:szCs w:val="22"/>
                      <w:highlight w:val="none"/>
                      <w:lang w:val="en-US" w:eastAsia="zh-CN" w:bidi="ar-SA"/>
                    </w:rPr>
                  </w:pPr>
                </w:p>
              </w:tc>
              <w:tc>
                <w:tcPr>
                  <w:tcW w:w="202" w:type="pct"/>
                  <w:vMerge w:val="continue"/>
                  <w:noWrap w:val="0"/>
                  <w:vAlign w:val="center"/>
                </w:tcPr>
                <w:p w14:paraId="5530ACBA">
                  <w:pPr>
                    <w:widowControl w:val="0"/>
                    <w:jc w:val="center"/>
                    <w:rPr>
                      <w:rFonts w:hint="eastAsia" w:ascii="Times New Roman" w:hAnsi="Times New Roman" w:eastAsia="宋体" w:cs="Times New Roman"/>
                      <w:color w:val="auto"/>
                      <w:kern w:val="2"/>
                      <w:sz w:val="21"/>
                      <w:szCs w:val="22"/>
                      <w:highlight w:val="none"/>
                      <w:lang w:val="en-US" w:eastAsia="zh-CN" w:bidi="ar-SA"/>
                    </w:rPr>
                  </w:pPr>
                </w:p>
                <w:p w14:paraId="5F23671B">
                  <w:pPr>
                    <w:widowControl w:val="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是</w:t>
                  </w:r>
                </w:p>
                <w:p w14:paraId="3CD451F2">
                  <w:pPr>
                    <w:widowControl w:val="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是</w:t>
                  </w:r>
                </w:p>
                <w:p w14:paraId="73AB4720">
                  <w:pPr>
                    <w:widowControl w:val="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是</w:t>
                  </w:r>
                </w:p>
                <w:p w14:paraId="670AC3B2">
                  <w:pPr>
                    <w:widowControl w:val="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是</w:t>
                  </w:r>
                </w:p>
                <w:p w14:paraId="7E95273B">
                  <w:pPr>
                    <w:widowControl w:val="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是</w:t>
                  </w:r>
                </w:p>
                <w:p w14:paraId="2415812E">
                  <w:pPr>
                    <w:widowControl w:val="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是</w:t>
                  </w:r>
                </w:p>
              </w:tc>
              <w:tc>
                <w:tcPr>
                  <w:tcW w:w="281" w:type="pct"/>
                  <w:vMerge w:val="continue"/>
                  <w:noWrap w:val="0"/>
                  <w:vAlign w:val="center"/>
                </w:tcPr>
                <w:p w14:paraId="37A6D8BF">
                  <w:pPr>
                    <w:widowControl w:val="0"/>
                    <w:jc w:val="center"/>
                    <w:rPr>
                      <w:rFonts w:hint="eastAsia" w:ascii="Times New Roman" w:hAnsi="Times New Roman" w:eastAsia="宋体" w:cs="Times New Roman"/>
                      <w:color w:val="auto"/>
                      <w:kern w:val="2"/>
                      <w:sz w:val="21"/>
                      <w:szCs w:val="22"/>
                      <w:highlight w:val="none"/>
                      <w:lang w:val="en-US" w:eastAsia="zh-CN" w:bidi="ar-SA"/>
                    </w:rPr>
                  </w:pPr>
                </w:p>
              </w:tc>
            </w:tr>
            <w:tr w14:paraId="3D9D6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 w:type="pct"/>
                  <w:vMerge w:val="continue"/>
                  <w:noWrap w:val="0"/>
                  <w:vAlign w:val="center"/>
                </w:tcPr>
                <w:p w14:paraId="3DE8088D">
                  <w:pPr>
                    <w:widowControl w:val="0"/>
                    <w:jc w:val="center"/>
                    <w:rPr>
                      <w:rFonts w:hint="eastAsia" w:ascii="Times New Roman" w:hAnsi="Times New Roman" w:eastAsia="宋体" w:cs="Times New Roman"/>
                      <w:color w:val="auto"/>
                      <w:kern w:val="2"/>
                      <w:sz w:val="21"/>
                      <w:szCs w:val="22"/>
                      <w:highlight w:val="none"/>
                      <w:lang w:val="en-US" w:eastAsia="zh-CN" w:bidi="ar-SA"/>
                    </w:rPr>
                  </w:pPr>
                </w:p>
              </w:tc>
              <w:tc>
                <w:tcPr>
                  <w:tcW w:w="440" w:type="pct"/>
                  <w:noWrap w:val="0"/>
                  <w:vAlign w:val="center"/>
                </w:tcPr>
                <w:p w14:paraId="6879C6F0">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皮膜后清洗废水</w:t>
                  </w:r>
                </w:p>
              </w:tc>
              <w:tc>
                <w:tcPr>
                  <w:tcW w:w="779" w:type="pct"/>
                  <w:noWrap w:val="0"/>
                  <w:vAlign w:val="center"/>
                </w:tcPr>
                <w:p w14:paraId="43548CBF">
                  <w:pPr>
                    <w:widowControl w:val="0"/>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皮膜</w:t>
                  </w:r>
                  <w:r>
                    <w:rPr>
                      <w:rFonts w:hint="eastAsia" w:ascii="Times New Roman" w:hAnsi="Times New Roman" w:eastAsia="宋体" w:cs="Times New Roman"/>
                      <w:color w:val="auto"/>
                      <w:kern w:val="2"/>
                      <w:sz w:val="21"/>
                      <w:szCs w:val="22"/>
                      <w:highlight w:val="none"/>
                      <w:lang w:val="en-US" w:eastAsia="zh-CN" w:bidi="ar-SA"/>
                    </w:rPr>
                    <w:t>后第一、第二次清洗</w:t>
                  </w:r>
                </w:p>
              </w:tc>
              <w:tc>
                <w:tcPr>
                  <w:tcW w:w="715" w:type="pct"/>
                  <w:noWrap w:val="0"/>
                  <w:vAlign w:val="center"/>
                </w:tcPr>
                <w:p w14:paraId="23505952">
                  <w:pPr>
                    <w:widowControl w:val="0"/>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1"/>
                      <w:highlight w:val="none"/>
                      <w:lang w:val="en-US" w:eastAsia="zh-CN"/>
                    </w:rPr>
                    <w:t>pH、</w:t>
                  </w:r>
                  <w:r>
                    <w:rPr>
                      <w:rFonts w:hint="default" w:ascii="Times New Roman" w:hAnsi="Times New Roman" w:eastAsia="宋体" w:cs="Times New Roman"/>
                      <w:color w:val="auto"/>
                      <w:sz w:val="21"/>
                      <w:szCs w:val="21"/>
                      <w:highlight w:val="none"/>
                    </w:rPr>
                    <w:t>COD、</w:t>
                  </w:r>
                  <w:r>
                    <w:rPr>
                      <w:rFonts w:hint="eastAsia" w:ascii="Times New Roman" w:hAnsi="Times New Roman" w:eastAsia="宋体" w:cs="Times New Roman"/>
                      <w:color w:val="auto"/>
                      <w:kern w:val="2"/>
                      <w:sz w:val="21"/>
                      <w:szCs w:val="22"/>
                      <w:highlight w:val="none"/>
                      <w:lang w:val="en-US" w:eastAsia="zh-CN" w:bidi="ar-SA"/>
                    </w:rPr>
                    <w:t>BOD</w:t>
                  </w:r>
                  <w:r>
                    <w:rPr>
                      <w:rFonts w:hint="eastAsia" w:ascii="Times New Roman" w:hAnsi="Times New Roman" w:eastAsia="宋体" w:cs="Times New Roman"/>
                      <w:color w:val="auto"/>
                      <w:kern w:val="2"/>
                      <w:sz w:val="21"/>
                      <w:szCs w:val="22"/>
                      <w:highlight w:val="none"/>
                      <w:vertAlign w:val="subscript"/>
                      <w:lang w:val="en-US" w:eastAsia="zh-CN" w:bidi="ar-SA"/>
                    </w:rPr>
                    <w:t>5</w:t>
                  </w:r>
                  <w:r>
                    <w:rPr>
                      <w:rFonts w:hint="eastAsia" w:ascii="Times New Roman" w:hAnsi="Times New Roman" w:eastAsia="宋体" w:cs="Times New Roman"/>
                      <w:color w:val="auto"/>
                      <w:kern w:val="2"/>
                      <w:sz w:val="21"/>
                      <w:szCs w:val="22"/>
                      <w:highlight w:val="none"/>
                      <w:lang w:val="en-US" w:eastAsia="zh-CN" w:bidi="ar-SA"/>
                    </w:rPr>
                    <w:t>、</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-N、TN、TP</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总锌</w:t>
                  </w:r>
                </w:p>
              </w:tc>
              <w:tc>
                <w:tcPr>
                  <w:tcW w:w="735" w:type="pct"/>
                  <w:vMerge w:val="continue"/>
                  <w:noWrap w:val="0"/>
                  <w:vAlign w:val="center"/>
                </w:tcPr>
                <w:p w14:paraId="03B42E76">
                  <w:pPr>
                    <w:widowControl w:val="0"/>
                    <w:jc w:val="center"/>
                    <w:rPr>
                      <w:rFonts w:hint="eastAsia" w:ascii="Times New Roman" w:hAnsi="Times New Roman" w:eastAsia="宋体" w:cs="Times New Roman"/>
                      <w:color w:val="auto"/>
                      <w:kern w:val="2"/>
                      <w:sz w:val="21"/>
                      <w:szCs w:val="22"/>
                      <w:highlight w:val="none"/>
                      <w:lang w:val="en-US" w:eastAsia="zh-CN" w:bidi="ar-SA"/>
                    </w:rPr>
                  </w:pPr>
                </w:p>
              </w:tc>
              <w:tc>
                <w:tcPr>
                  <w:tcW w:w="578" w:type="pct"/>
                  <w:vMerge w:val="continue"/>
                  <w:noWrap w:val="0"/>
                  <w:vAlign w:val="center"/>
                </w:tcPr>
                <w:p w14:paraId="2D077A22">
                  <w:pPr>
                    <w:widowControl w:val="0"/>
                    <w:jc w:val="center"/>
                    <w:rPr>
                      <w:rFonts w:hint="eastAsia" w:ascii="Times New Roman" w:hAnsi="Times New Roman" w:eastAsia="宋体" w:cs="Times New Roman"/>
                      <w:color w:val="auto"/>
                      <w:kern w:val="2"/>
                      <w:sz w:val="21"/>
                      <w:szCs w:val="22"/>
                      <w:highlight w:val="none"/>
                      <w:lang w:val="en-US" w:eastAsia="zh-CN" w:bidi="ar-SA"/>
                    </w:rPr>
                  </w:pPr>
                </w:p>
              </w:tc>
              <w:tc>
                <w:tcPr>
                  <w:tcW w:w="835" w:type="pct"/>
                  <w:vMerge w:val="continue"/>
                  <w:noWrap w:val="0"/>
                  <w:vAlign w:val="center"/>
                </w:tcPr>
                <w:p w14:paraId="73437CF7">
                  <w:pPr>
                    <w:widowControl w:val="0"/>
                    <w:jc w:val="center"/>
                    <w:rPr>
                      <w:rFonts w:hint="default" w:ascii="Times New Roman" w:hAnsi="Times New Roman" w:eastAsia="宋体" w:cs="Times New Roman"/>
                      <w:color w:val="auto"/>
                      <w:kern w:val="2"/>
                      <w:sz w:val="21"/>
                      <w:szCs w:val="22"/>
                      <w:highlight w:val="none"/>
                      <w:lang w:val="en-US" w:eastAsia="zh-CN" w:bidi="ar-SA"/>
                    </w:rPr>
                  </w:pPr>
                </w:p>
              </w:tc>
              <w:tc>
                <w:tcPr>
                  <w:tcW w:w="265" w:type="pct"/>
                  <w:vMerge w:val="continue"/>
                  <w:noWrap w:val="0"/>
                  <w:vAlign w:val="center"/>
                </w:tcPr>
                <w:p w14:paraId="6D13386A">
                  <w:pPr>
                    <w:widowControl w:val="0"/>
                    <w:jc w:val="center"/>
                    <w:rPr>
                      <w:rFonts w:hint="eastAsia" w:ascii="Times New Roman" w:hAnsi="Times New Roman" w:eastAsia="宋体" w:cs="Times New Roman"/>
                      <w:color w:val="auto"/>
                      <w:kern w:val="2"/>
                      <w:sz w:val="21"/>
                      <w:szCs w:val="22"/>
                      <w:highlight w:val="none"/>
                      <w:lang w:val="en-US" w:eastAsia="zh-CN" w:bidi="ar-SA"/>
                    </w:rPr>
                  </w:pPr>
                </w:p>
              </w:tc>
              <w:tc>
                <w:tcPr>
                  <w:tcW w:w="202" w:type="pct"/>
                  <w:vMerge w:val="continue"/>
                  <w:noWrap w:val="0"/>
                  <w:vAlign w:val="center"/>
                </w:tcPr>
                <w:p w14:paraId="2CD3BE9C">
                  <w:pPr>
                    <w:widowControl w:val="0"/>
                    <w:jc w:val="center"/>
                    <w:rPr>
                      <w:rFonts w:hint="eastAsia" w:ascii="Times New Roman" w:hAnsi="Times New Roman" w:eastAsia="宋体" w:cs="Times New Roman"/>
                      <w:color w:val="auto"/>
                      <w:kern w:val="2"/>
                      <w:sz w:val="21"/>
                      <w:szCs w:val="22"/>
                      <w:highlight w:val="none"/>
                      <w:lang w:val="en-US" w:eastAsia="zh-CN" w:bidi="ar-SA"/>
                    </w:rPr>
                  </w:pPr>
                </w:p>
              </w:tc>
              <w:tc>
                <w:tcPr>
                  <w:tcW w:w="281" w:type="pct"/>
                  <w:vMerge w:val="continue"/>
                  <w:noWrap w:val="0"/>
                  <w:vAlign w:val="center"/>
                </w:tcPr>
                <w:p w14:paraId="6951B354">
                  <w:pPr>
                    <w:widowControl w:val="0"/>
                    <w:jc w:val="center"/>
                    <w:rPr>
                      <w:rFonts w:hint="eastAsia" w:ascii="Times New Roman" w:hAnsi="Times New Roman" w:eastAsia="宋体" w:cs="Times New Roman"/>
                      <w:color w:val="auto"/>
                      <w:kern w:val="2"/>
                      <w:sz w:val="21"/>
                      <w:szCs w:val="22"/>
                      <w:highlight w:val="none"/>
                      <w:lang w:val="en-US" w:eastAsia="zh-CN" w:bidi="ar-SA"/>
                    </w:rPr>
                  </w:pPr>
                </w:p>
              </w:tc>
            </w:tr>
          </w:tbl>
          <w:p w14:paraId="244DDE33">
            <w:pPr>
              <w:pStyle w:val="7"/>
              <w:pageBreakBefore w:val="0"/>
              <w:shd w:val="clear" w:color="auto" w:fill="auto"/>
              <w:kinsoku/>
              <w:wordWrap/>
              <w:overflowPunct/>
              <w:topLinePunct w:val="0"/>
              <w:autoSpaceDE/>
              <w:autoSpaceDN/>
              <w:bidi w:val="0"/>
              <w:adjustRightInd/>
              <w:snapToGrid/>
              <w:spacing w:before="0" w:after="0" w:line="360" w:lineRule="auto"/>
              <w:ind w:firstLine="420" w:firstLineChars="20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r>
              <w:rPr>
                <w:rFonts w:hint="default" w:ascii="Times New Roman" w:hAnsi="Times New Roman" w:eastAsia="宋体" w:cs="Times New Roman"/>
                <w:b w:val="0"/>
                <w:bCs w:val="0"/>
                <w:color w:val="auto"/>
                <w:kern w:val="2"/>
                <w:sz w:val="21"/>
                <w:szCs w:val="21"/>
                <w:highlight w:val="none"/>
                <w:lang w:val="en-US" w:eastAsia="zh-CN" w:bidi="ar-SA"/>
              </w:rPr>
              <w:t>生活污水</w:t>
            </w:r>
          </w:p>
          <w:p w14:paraId="1A31C79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根据水平衡分析。生活污水产生量为</w:t>
            </w:r>
            <w:r>
              <w:rPr>
                <w:rFonts w:hint="eastAsia" w:cs="Times New Roman"/>
                <w:color w:val="auto"/>
                <w:sz w:val="21"/>
                <w:szCs w:val="21"/>
                <w:highlight w:val="none"/>
                <w:lang w:val="en-US" w:eastAsia="zh-CN"/>
              </w:rPr>
              <w:t>240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/a。生活污水中主要污染物和浓度分别为COD</w:t>
            </w:r>
            <w:r>
              <w:rPr>
                <w:rFonts w:hint="eastAsia" w:ascii="Times New Roman" w:hAnsi="Times New Roman" w:cs="Times New Roman"/>
                <w:color w:val="auto"/>
                <w:sz w:val="21"/>
                <w:szCs w:val="21"/>
                <w:highlight w:val="none"/>
                <w:lang w:val="en-US" w:eastAsia="zh-CN"/>
              </w:rPr>
              <w:t>42</w:t>
            </w:r>
            <w:r>
              <w:rPr>
                <w:rFonts w:hint="default" w:ascii="Times New Roman" w:hAnsi="Times New Roman" w:cs="Times New Roman"/>
                <w:color w:val="auto"/>
                <w:sz w:val="21"/>
                <w:szCs w:val="21"/>
                <w:highlight w:val="none"/>
                <w:lang w:val="en-US" w:eastAsia="zh-CN"/>
              </w:rPr>
              <w:t>0mg/L、</w:t>
            </w:r>
            <w:r>
              <w:rPr>
                <w:rFonts w:hint="eastAsia" w:ascii="Times New Roman" w:hAnsi="Times New Roman" w:cs="Times New Roman"/>
                <w:color w:val="auto"/>
                <w:sz w:val="21"/>
                <w:szCs w:val="21"/>
                <w:highlight w:val="none"/>
                <w:lang w:val="en-US" w:eastAsia="zh-CN"/>
              </w:rPr>
              <w:t>BOD</w:t>
            </w:r>
            <w:r>
              <w:rPr>
                <w:rFonts w:hint="eastAsia" w:ascii="Times New Roman" w:hAnsi="Times New Roman" w:cs="Times New Roman"/>
                <w:color w:val="auto"/>
                <w:sz w:val="21"/>
                <w:szCs w:val="21"/>
                <w:highlight w:val="none"/>
                <w:vertAlign w:val="subscript"/>
                <w:lang w:val="en-US" w:eastAsia="zh-CN"/>
              </w:rPr>
              <w:t>5</w:t>
            </w:r>
            <w:r>
              <w:rPr>
                <w:rFonts w:hint="eastAsia" w:ascii="Times New Roman" w:hAnsi="Times New Roman" w:cs="Times New Roman"/>
                <w:color w:val="auto"/>
                <w:sz w:val="21"/>
                <w:szCs w:val="21"/>
                <w:highlight w:val="none"/>
                <w:lang w:val="en-US" w:eastAsia="zh-CN"/>
              </w:rPr>
              <w:t>180mg/L、</w:t>
            </w:r>
            <w:r>
              <w:rPr>
                <w:rFonts w:hint="default" w:ascii="Times New Roman" w:hAnsi="Times New Roman" w:cs="Times New Roman"/>
                <w:color w:val="auto"/>
                <w:sz w:val="21"/>
                <w:szCs w:val="21"/>
                <w:highlight w:val="none"/>
                <w:lang w:val="en-US" w:eastAsia="zh-CN"/>
              </w:rPr>
              <w:t>SS</w:t>
            </w:r>
            <w:r>
              <w:rPr>
                <w:rFonts w:hint="eastAsia" w:ascii="Times New Roman" w:hAnsi="Times New Roman" w:cs="Times New Roman"/>
                <w:color w:val="auto"/>
                <w:sz w:val="21"/>
                <w:szCs w:val="21"/>
                <w:highlight w:val="none"/>
                <w:lang w:val="en-US" w:eastAsia="zh-CN"/>
              </w:rPr>
              <w:t>32</w:t>
            </w:r>
            <w:r>
              <w:rPr>
                <w:rFonts w:hint="default" w:ascii="Times New Roman" w:hAnsi="Times New Roman" w:cs="Times New Roman"/>
                <w:color w:val="auto"/>
                <w:sz w:val="21"/>
                <w:szCs w:val="21"/>
                <w:highlight w:val="none"/>
                <w:lang w:val="en-US" w:eastAsia="zh-CN"/>
              </w:rPr>
              <w:t>0mg/L、NH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mg/L、总氮3</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mg/L、总磷</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mg/L。生活污水经化粪池预处理达接管标准后，通过污水管网进入</w:t>
            </w:r>
            <w:r>
              <w:rPr>
                <w:rFonts w:hint="eastAsia" w:ascii="Times New Roman" w:hAnsi="Times New Roman" w:cs="Times New Roman"/>
                <w:color w:val="auto"/>
                <w:sz w:val="21"/>
                <w:szCs w:val="21"/>
                <w:highlight w:val="none"/>
                <w:lang w:val="en-US" w:eastAsia="zh-CN"/>
              </w:rPr>
              <w:t>李口镇污水处理厂</w:t>
            </w:r>
            <w:r>
              <w:rPr>
                <w:rFonts w:hint="default" w:ascii="Times New Roman" w:hAnsi="Times New Roman" w:cs="Times New Roman"/>
                <w:color w:val="auto"/>
                <w:sz w:val="21"/>
                <w:szCs w:val="21"/>
                <w:highlight w:val="none"/>
                <w:lang w:val="en-US" w:eastAsia="zh-CN"/>
              </w:rPr>
              <w:t>集中处理。</w:t>
            </w:r>
          </w:p>
          <w:p w14:paraId="053F29C2">
            <w:pPr>
              <w:keepNext w:val="0"/>
              <w:keepLines w:val="0"/>
              <w:suppressLineNumbers w:val="0"/>
              <w:spacing w:before="0" w:beforeAutospacing="0" w:after="0" w:afterAutospacing="0" w:line="300" w:lineRule="auto"/>
              <w:ind w:left="0" w:right="0"/>
              <w:jc w:val="center"/>
              <w:rPr>
                <w:b/>
                <w:bCs/>
                <w:color w:val="0000FF"/>
                <w:szCs w:val="21"/>
                <w:highlight w:val="none"/>
              </w:rPr>
            </w:pPr>
            <w:r>
              <w:rPr>
                <w:rFonts w:hint="eastAsia"/>
                <w:b/>
                <w:bCs/>
                <w:color w:val="0000FF"/>
                <w:szCs w:val="21"/>
                <w:highlight w:val="none"/>
              </w:rPr>
              <w:t>表</w:t>
            </w:r>
            <w:r>
              <w:rPr>
                <w:b/>
                <w:bCs/>
                <w:color w:val="0000FF"/>
                <w:szCs w:val="21"/>
                <w:highlight w:val="none"/>
              </w:rPr>
              <w:t>4-</w:t>
            </w:r>
            <w:r>
              <w:rPr>
                <w:rFonts w:hint="eastAsia"/>
                <w:b/>
                <w:bCs/>
                <w:color w:val="0000FF"/>
                <w:szCs w:val="21"/>
                <w:highlight w:val="none"/>
                <w:lang w:val="en-US" w:eastAsia="zh-CN"/>
              </w:rPr>
              <w:t>17</w:t>
            </w:r>
            <w:r>
              <w:rPr>
                <w:rFonts w:hint="eastAsia"/>
                <w:b/>
                <w:bCs/>
                <w:color w:val="0000FF"/>
                <w:szCs w:val="21"/>
                <w:highlight w:val="none"/>
              </w:rPr>
              <w:t xml:space="preserve"> 本项目废水类别及污染防治设施情况表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7"/>
              <w:gridCol w:w="959"/>
              <w:gridCol w:w="714"/>
              <w:gridCol w:w="1115"/>
              <w:gridCol w:w="1271"/>
              <w:gridCol w:w="959"/>
              <w:gridCol w:w="797"/>
              <w:gridCol w:w="800"/>
              <w:gridCol w:w="794"/>
              <w:gridCol w:w="1270"/>
              <w:gridCol w:w="1270"/>
              <w:gridCol w:w="1117"/>
              <w:gridCol w:w="829"/>
            </w:tblGrid>
            <w:tr w14:paraId="7C8AE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restart"/>
                  <w:vAlign w:val="center"/>
                </w:tcPr>
                <w:p w14:paraId="03A2FF2B">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废水类别</w:t>
                  </w:r>
                </w:p>
              </w:tc>
              <w:tc>
                <w:tcPr>
                  <w:tcW w:w="380" w:type="pct"/>
                  <w:vMerge w:val="restart"/>
                  <w:vAlign w:val="center"/>
                </w:tcPr>
                <w:p w14:paraId="2F45E7A0">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污染物项目</w:t>
                  </w:r>
                </w:p>
              </w:tc>
              <w:tc>
                <w:tcPr>
                  <w:tcW w:w="1610" w:type="pct"/>
                  <w:gridSpan w:val="4"/>
                  <w:vAlign w:val="center"/>
                </w:tcPr>
                <w:p w14:paraId="25F23F24">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污染物产生量</w:t>
                  </w:r>
                </w:p>
              </w:tc>
              <w:tc>
                <w:tcPr>
                  <w:tcW w:w="633" w:type="pct"/>
                  <w:gridSpan w:val="2"/>
                  <w:vAlign w:val="center"/>
                </w:tcPr>
                <w:p w14:paraId="700E023B">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预处理措施</w:t>
                  </w:r>
                </w:p>
              </w:tc>
              <w:tc>
                <w:tcPr>
                  <w:tcW w:w="1765" w:type="pct"/>
                  <w:gridSpan w:val="4"/>
                  <w:vAlign w:val="center"/>
                </w:tcPr>
                <w:p w14:paraId="7DD0150B">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污染物排放</w:t>
                  </w:r>
                </w:p>
              </w:tc>
              <w:tc>
                <w:tcPr>
                  <w:tcW w:w="328" w:type="pct"/>
                  <w:vMerge w:val="restart"/>
                  <w:tcMar>
                    <w:left w:w="0" w:type="dxa"/>
                    <w:right w:w="0" w:type="dxa"/>
                  </w:tcMar>
                  <w:vAlign w:val="center"/>
                </w:tcPr>
                <w:p w14:paraId="6318F13A">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排放</w:t>
                  </w:r>
                </w:p>
                <w:p w14:paraId="41205559">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时间/（h）</w:t>
                  </w:r>
                </w:p>
              </w:tc>
            </w:tr>
            <w:tr w14:paraId="6CCC2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continue"/>
                  <w:vAlign w:val="center"/>
                </w:tcPr>
                <w:p w14:paraId="5DB85299">
                  <w:pPr>
                    <w:keepNext w:val="0"/>
                    <w:keepLines w:val="0"/>
                    <w:suppressLineNumbers w:val="0"/>
                    <w:spacing w:before="0" w:beforeAutospacing="0" w:after="0" w:afterAutospacing="0"/>
                    <w:ind w:left="0" w:right="0"/>
                    <w:jc w:val="center"/>
                    <w:rPr>
                      <w:color w:val="0000FF"/>
                      <w:sz w:val="21"/>
                      <w:szCs w:val="21"/>
                      <w:highlight w:val="none"/>
                    </w:rPr>
                  </w:pPr>
                </w:p>
              </w:tc>
              <w:tc>
                <w:tcPr>
                  <w:tcW w:w="380" w:type="pct"/>
                  <w:vMerge w:val="continue"/>
                  <w:vAlign w:val="center"/>
                </w:tcPr>
                <w:p w14:paraId="146653F3">
                  <w:pPr>
                    <w:keepNext w:val="0"/>
                    <w:keepLines w:val="0"/>
                    <w:suppressLineNumbers w:val="0"/>
                    <w:spacing w:before="0" w:beforeAutospacing="0" w:after="0" w:afterAutospacing="0"/>
                    <w:ind w:left="0" w:right="0"/>
                    <w:jc w:val="center"/>
                    <w:rPr>
                      <w:color w:val="0000FF"/>
                      <w:sz w:val="21"/>
                      <w:szCs w:val="21"/>
                      <w:highlight w:val="none"/>
                    </w:rPr>
                  </w:pPr>
                </w:p>
              </w:tc>
              <w:tc>
                <w:tcPr>
                  <w:tcW w:w="283" w:type="pct"/>
                  <w:vAlign w:val="center"/>
                </w:tcPr>
                <w:p w14:paraId="0C28873E">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核算方法</w:t>
                  </w:r>
                </w:p>
              </w:tc>
              <w:tc>
                <w:tcPr>
                  <w:tcW w:w="442" w:type="pct"/>
                  <w:vAlign w:val="center"/>
                </w:tcPr>
                <w:p w14:paraId="0C00A5AA">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产生废水量/(m</w:t>
                  </w:r>
                  <w:r>
                    <w:rPr>
                      <w:rFonts w:hint="eastAsia"/>
                      <w:b/>
                      <w:bCs/>
                      <w:color w:val="0000FF"/>
                      <w:sz w:val="21"/>
                      <w:szCs w:val="21"/>
                      <w:highlight w:val="none"/>
                      <w:vertAlign w:val="superscript"/>
                    </w:rPr>
                    <w:t>3</w:t>
                  </w:r>
                  <w:r>
                    <w:rPr>
                      <w:rFonts w:hint="eastAsia"/>
                      <w:b/>
                      <w:bCs/>
                      <w:color w:val="0000FF"/>
                      <w:sz w:val="21"/>
                      <w:szCs w:val="21"/>
                      <w:highlight w:val="none"/>
                    </w:rPr>
                    <w:t>/a)</w:t>
                  </w:r>
                </w:p>
              </w:tc>
              <w:tc>
                <w:tcPr>
                  <w:tcW w:w="504" w:type="pct"/>
                  <w:vAlign w:val="center"/>
                </w:tcPr>
                <w:p w14:paraId="128EF7DE">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产生浓度/(mg/L)</w:t>
                  </w:r>
                </w:p>
              </w:tc>
              <w:tc>
                <w:tcPr>
                  <w:tcW w:w="380" w:type="pct"/>
                  <w:vAlign w:val="center"/>
                </w:tcPr>
                <w:p w14:paraId="0BEA383E">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产生量/(t/a)</w:t>
                  </w:r>
                </w:p>
              </w:tc>
              <w:tc>
                <w:tcPr>
                  <w:tcW w:w="316" w:type="pct"/>
                  <w:vAlign w:val="center"/>
                </w:tcPr>
                <w:p w14:paraId="20E106EB">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工艺</w:t>
                  </w:r>
                </w:p>
              </w:tc>
              <w:tc>
                <w:tcPr>
                  <w:tcW w:w="317" w:type="pct"/>
                  <w:vAlign w:val="center"/>
                </w:tcPr>
                <w:p w14:paraId="08A7DA18">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效率/%</w:t>
                  </w:r>
                </w:p>
              </w:tc>
              <w:tc>
                <w:tcPr>
                  <w:tcW w:w="315" w:type="pct"/>
                  <w:vAlign w:val="center"/>
                </w:tcPr>
                <w:p w14:paraId="2FE94F7A">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核算方法</w:t>
                  </w:r>
                </w:p>
              </w:tc>
              <w:tc>
                <w:tcPr>
                  <w:tcW w:w="503" w:type="pct"/>
                  <w:vAlign w:val="center"/>
                </w:tcPr>
                <w:p w14:paraId="083E4FDE">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排放废水量/(m</w:t>
                  </w:r>
                  <w:r>
                    <w:rPr>
                      <w:rFonts w:hint="eastAsia"/>
                      <w:b/>
                      <w:bCs/>
                      <w:color w:val="0000FF"/>
                      <w:sz w:val="21"/>
                      <w:szCs w:val="21"/>
                      <w:highlight w:val="none"/>
                      <w:vertAlign w:val="superscript"/>
                    </w:rPr>
                    <w:t>3</w:t>
                  </w:r>
                  <w:r>
                    <w:rPr>
                      <w:rFonts w:hint="eastAsia"/>
                      <w:b/>
                      <w:bCs/>
                      <w:color w:val="0000FF"/>
                      <w:sz w:val="21"/>
                      <w:szCs w:val="21"/>
                      <w:highlight w:val="none"/>
                    </w:rPr>
                    <w:t>/a)</w:t>
                  </w:r>
                </w:p>
              </w:tc>
              <w:tc>
                <w:tcPr>
                  <w:tcW w:w="503" w:type="pct"/>
                  <w:vAlign w:val="center"/>
                </w:tcPr>
                <w:p w14:paraId="69F6D67F">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排放浓度/(mg/L)</w:t>
                  </w:r>
                </w:p>
              </w:tc>
              <w:tc>
                <w:tcPr>
                  <w:tcW w:w="443" w:type="pct"/>
                  <w:vAlign w:val="center"/>
                </w:tcPr>
                <w:p w14:paraId="327E93F5">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排放量/(t/a)</w:t>
                  </w:r>
                </w:p>
              </w:tc>
              <w:tc>
                <w:tcPr>
                  <w:tcW w:w="328" w:type="pct"/>
                  <w:vMerge w:val="continue"/>
                  <w:vAlign w:val="center"/>
                </w:tcPr>
                <w:p w14:paraId="7C94F83D">
                  <w:pPr>
                    <w:keepNext w:val="0"/>
                    <w:keepLines w:val="0"/>
                    <w:suppressLineNumbers w:val="0"/>
                    <w:spacing w:before="0" w:beforeAutospacing="0" w:after="0" w:afterAutospacing="0"/>
                    <w:ind w:left="0" w:right="0"/>
                    <w:jc w:val="center"/>
                    <w:rPr>
                      <w:b/>
                      <w:bCs/>
                      <w:color w:val="0000FF"/>
                      <w:sz w:val="21"/>
                      <w:szCs w:val="21"/>
                      <w:highlight w:val="none"/>
                    </w:rPr>
                  </w:pPr>
                </w:p>
              </w:tc>
            </w:tr>
            <w:tr w14:paraId="2B3A9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restart"/>
                  <w:vAlign w:val="center"/>
                </w:tcPr>
                <w:p w14:paraId="5C1CC761">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生活污水</w:t>
                  </w:r>
                </w:p>
              </w:tc>
              <w:tc>
                <w:tcPr>
                  <w:tcW w:w="380" w:type="pct"/>
                  <w:vAlign w:val="center"/>
                </w:tcPr>
                <w:p w14:paraId="6E3EF1F8">
                  <w:pPr>
                    <w:keepNext w:val="0"/>
                    <w:keepLines w:val="0"/>
                    <w:suppressLineNumbers w:val="0"/>
                    <w:spacing w:before="0" w:beforeAutospacing="0" w:after="0" w:afterAutospacing="0"/>
                    <w:ind w:left="0" w:right="0"/>
                    <w:jc w:val="center"/>
                    <w:rPr>
                      <w:rFonts w:hint="eastAsia" w:eastAsia="宋体"/>
                      <w:color w:val="0000FF"/>
                      <w:sz w:val="21"/>
                      <w:szCs w:val="21"/>
                      <w:highlight w:val="none"/>
                      <w:lang w:val="en-US" w:eastAsia="zh-CN"/>
                    </w:rPr>
                  </w:pPr>
                  <w:r>
                    <w:rPr>
                      <w:rFonts w:hint="eastAsia"/>
                      <w:color w:val="0000FF"/>
                      <w:sz w:val="21"/>
                      <w:szCs w:val="21"/>
                      <w:highlight w:val="none"/>
                      <w:lang w:val="en-US" w:eastAsia="zh-CN"/>
                    </w:rPr>
                    <w:t>pH</w:t>
                  </w:r>
                </w:p>
              </w:tc>
              <w:tc>
                <w:tcPr>
                  <w:tcW w:w="283" w:type="pct"/>
                  <w:vMerge w:val="restart"/>
                  <w:vAlign w:val="center"/>
                </w:tcPr>
                <w:p w14:paraId="5A3984BC">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类比法</w:t>
                  </w:r>
                </w:p>
              </w:tc>
              <w:tc>
                <w:tcPr>
                  <w:tcW w:w="442" w:type="pct"/>
                  <w:vMerge w:val="restart"/>
                  <w:vAlign w:val="center"/>
                </w:tcPr>
                <w:p w14:paraId="5766DC6C">
                  <w:pPr>
                    <w:keepNext w:val="0"/>
                    <w:keepLines w:val="0"/>
                    <w:suppressLineNumbers w:val="0"/>
                    <w:spacing w:before="0" w:beforeAutospacing="0" w:after="0" w:afterAutospacing="0"/>
                    <w:ind w:left="0" w:right="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240</w:t>
                  </w:r>
                </w:p>
              </w:tc>
              <w:tc>
                <w:tcPr>
                  <w:tcW w:w="504" w:type="pct"/>
                  <w:vAlign w:val="center"/>
                </w:tcPr>
                <w:p w14:paraId="56775C36">
                  <w:pPr>
                    <w:keepNext w:val="0"/>
                    <w:keepLines w:val="0"/>
                    <w:suppressLineNumbers w:val="0"/>
                    <w:spacing w:before="0" w:beforeAutospacing="0" w:after="0" w:afterAutospacing="0"/>
                    <w:ind w:left="0" w:right="0"/>
                    <w:jc w:val="center"/>
                    <w:rPr>
                      <w:rFonts w:hint="default" w:eastAsia="宋体"/>
                      <w:b w:val="0"/>
                      <w:bCs w:val="0"/>
                      <w:color w:val="0000FF"/>
                      <w:sz w:val="21"/>
                      <w:szCs w:val="21"/>
                      <w:highlight w:val="none"/>
                      <w:lang w:val="en-US" w:eastAsia="zh-CN"/>
                    </w:rPr>
                  </w:pPr>
                  <w:r>
                    <w:rPr>
                      <w:rFonts w:hint="eastAsia"/>
                      <w:b w:val="0"/>
                      <w:bCs w:val="0"/>
                      <w:color w:val="0000FF"/>
                      <w:sz w:val="21"/>
                      <w:szCs w:val="21"/>
                      <w:highlight w:val="none"/>
                      <w:lang w:val="en-US" w:eastAsia="zh-CN"/>
                    </w:rPr>
                    <w:t>6~9</w:t>
                  </w:r>
                </w:p>
              </w:tc>
              <w:tc>
                <w:tcPr>
                  <w:tcW w:w="380" w:type="pct"/>
                  <w:vAlign w:val="center"/>
                </w:tcPr>
                <w:p w14:paraId="4F683E8E">
                  <w:pPr>
                    <w:keepNext w:val="0"/>
                    <w:keepLines w:val="0"/>
                    <w:suppressLineNumbers w:val="0"/>
                    <w:spacing w:before="0" w:beforeAutospacing="0" w:after="0" w:afterAutospacing="0"/>
                    <w:ind w:left="0" w:right="0"/>
                    <w:jc w:val="center"/>
                    <w:rPr>
                      <w:rFonts w:hint="eastAsia" w:eastAsia="宋体"/>
                      <w:b w:val="0"/>
                      <w:bCs w:val="0"/>
                      <w:color w:val="0000FF"/>
                      <w:sz w:val="21"/>
                      <w:szCs w:val="21"/>
                      <w:highlight w:val="none"/>
                      <w:lang w:val="en-US" w:eastAsia="zh-CN"/>
                    </w:rPr>
                  </w:pPr>
                  <w:r>
                    <w:rPr>
                      <w:rFonts w:hint="eastAsia"/>
                      <w:b w:val="0"/>
                      <w:bCs w:val="0"/>
                      <w:color w:val="0000FF"/>
                      <w:sz w:val="21"/>
                      <w:szCs w:val="21"/>
                      <w:highlight w:val="none"/>
                      <w:lang w:val="en-US" w:eastAsia="zh-CN"/>
                    </w:rPr>
                    <w:t>/</w:t>
                  </w:r>
                </w:p>
              </w:tc>
              <w:tc>
                <w:tcPr>
                  <w:tcW w:w="316" w:type="pct"/>
                  <w:vMerge w:val="restart"/>
                  <w:vAlign w:val="center"/>
                </w:tcPr>
                <w:p w14:paraId="3BB2B701">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化粪池</w:t>
                  </w:r>
                </w:p>
              </w:tc>
              <w:tc>
                <w:tcPr>
                  <w:tcW w:w="317" w:type="pct"/>
                  <w:vAlign w:val="center"/>
                </w:tcPr>
                <w:p w14:paraId="3D353DA2">
                  <w:pPr>
                    <w:keepNext w:val="0"/>
                    <w:keepLines w:val="0"/>
                    <w:suppressLineNumbers w:val="0"/>
                    <w:spacing w:before="0" w:beforeAutospacing="0" w:after="0" w:afterAutospacing="0"/>
                    <w:ind w:left="0" w:right="0"/>
                    <w:jc w:val="center"/>
                    <w:rPr>
                      <w:rFonts w:hint="eastAsia" w:eastAsia="宋体"/>
                      <w:b/>
                      <w:bCs/>
                      <w:color w:val="0000FF"/>
                      <w:sz w:val="21"/>
                      <w:szCs w:val="21"/>
                      <w:highlight w:val="none"/>
                      <w:lang w:val="en-US" w:eastAsia="zh-CN"/>
                    </w:rPr>
                  </w:pPr>
                  <w:r>
                    <w:rPr>
                      <w:rFonts w:hint="eastAsia"/>
                      <w:b/>
                      <w:bCs/>
                      <w:color w:val="0000FF"/>
                      <w:sz w:val="21"/>
                      <w:szCs w:val="21"/>
                      <w:highlight w:val="none"/>
                      <w:lang w:val="en-US" w:eastAsia="zh-CN"/>
                    </w:rPr>
                    <w:t>/</w:t>
                  </w:r>
                </w:p>
              </w:tc>
              <w:tc>
                <w:tcPr>
                  <w:tcW w:w="315" w:type="pct"/>
                  <w:vMerge w:val="restart"/>
                  <w:vAlign w:val="center"/>
                </w:tcPr>
                <w:p w14:paraId="3016DDCC">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类比法</w:t>
                  </w:r>
                </w:p>
              </w:tc>
              <w:tc>
                <w:tcPr>
                  <w:tcW w:w="503" w:type="pct"/>
                  <w:vMerge w:val="restart"/>
                  <w:vAlign w:val="center"/>
                </w:tcPr>
                <w:p w14:paraId="0A86D3AC">
                  <w:pPr>
                    <w:keepNext w:val="0"/>
                    <w:keepLines w:val="0"/>
                    <w:suppressLineNumbers w:val="0"/>
                    <w:spacing w:before="0" w:beforeAutospacing="0" w:after="0" w:afterAutospacing="0"/>
                    <w:ind w:left="0" w:right="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240</w:t>
                  </w:r>
                </w:p>
              </w:tc>
              <w:tc>
                <w:tcPr>
                  <w:tcW w:w="503" w:type="pct"/>
                  <w:vAlign w:val="center"/>
                </w:tcPr>
                <w:p w14:paraId="24D3989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FF"/>
                      <w:kern w:val="2"/>
                      <w:sz w:val="21"/>
                      <w:szCs w:val="21"/>
                      <w:highlight w:val="none"/>
                      <w:lang w:val="en-US" w:eastAsia="zh-CN" w:bidi="ar-SA"/>
                    </w:rPr>
                  </w:pPr>
                  <w:r>
                    <w:rPr>
                      <w:rFonts w:hint="eastAsia"/>
                      <w:b w:val="0"/>
                      <w:bCs w:val="0"/>
                      <w:color w:val="0000FF"/>
                      <w:sz w:val="21"/>
                      <w:szCs w:val="21"/>
                      <w:highlight w:val="none"/>
                      <w:lang w:val="en-US" w:eastAsia="zh-CN"/>
                    </w:rPr>
                    <w:t>6~9</w:t>
                  </w:r>
                </w:p>
              </w:tc>
              <w:tc>
                <w:tcPr>
                  <w:tcW w:w="443" w:type="pct"/>
                  <w:vAlign w:val="center"/>
                </w:tcPr>
                <w:p w14:paraId="426EF9C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FF"/>
                      <w:kern w:val="2"/>
                      <w:sz w:val="21"/>
                      <w:szCs w:val="21"/>
                      <w:highlight w:val="none"/>
                      <w:lang w:val="en-US" w:eastAsia="zh-CN" w:bidi="ar-SA"/>
                    </w:rPr>
                  </w:pPr>
                  <w:r>
                    <w:rPr>
                      <w:rFonts w:hint="eastAsia"/>
                      <w:b w:val="0"/>
                      <w:bCs w:val="0"/>
                      <w:color w:val="0000FF"/>
                      <w:sz w:val="21"/>
                      <w:szCs w:val="21"/>
                      <w:highlight w:val="none"/>
                      <w:lang w:val="en-US" w:eastAsia="zh-CN"/>
                    </w:rPr>
                    <w:t>/</w:t>
                  </w:r>
                </w:p>
              </w:tc>
              <w:tc>
                <w:tcPr>
                  <w:tcW w:w="328" w:type="pct"/>
                  <w:vMerge w:val="restart"/>
                  <w:vAlign w:val="center"/>
                </w:tcPr>
                <w:p w14:paraId="7AE8FA96">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lang w:val="en-US" w:eastAsia="zh-CN"/>
                    </w:rPr>
                    <w:t>30</w:t>
                  </w:r>
                  <w:r>
                    <w:rPr>
                      <w:color w:val="0000FF"/>
                      <w:sz w:val="21"/>
                      <w:szCs w:val="21"/>
                      <w:highlight w:val="none"/>
                    </w:rPr>
                    <w:t>00</w:t>
                  </w:r>
                </w:p>
              </w:tc>
            </w:tr>
            <w:tr w14:paraId="3861E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continue"/>
                  <w:vAlign w:val="center"/>
                </w:tcPr>
                <w:p w14:paraId="65623393">
                  <w:pPr>
                    <w:keepNext w:val="0"/>
                    <w:keepLines w:val="0"/>
                    <w:suppressLineNumbers w:val="0"/>
                    <w:spacing w:before="0" w:beforeAutospacing="0" w:after="0" w:afterAutospacing="0"/>
                    <w:ind w:left="0" w:right="0"/>
                    <w:jc w:val="center"/>
                    <w:rPr>
                      <w:color w:val="0000FF"/>
                      <w:sz w:val="21"/>
                      <w:szCs w:val="21"/>
                      <w:highlight w:val="none"/>
                    </w:rPr>
                  </w:pPr>
                </w:p>
              </w:tc>
              <w:tc>
                <w:tcPr>
                  <w:tcW w:w="380" w:type="pct"/>
                  <w:vAlign w:val="center"/>
                </w:tcPr>
                <w:p w14:paraId="38298BA5">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COD</w:t>
                  </w:r>
                </w:p>
              </w:tc>
              <w:tc>
                <w:tcPr>
                  <w:tcW w:w="283" w:type="pct"/>
                  <w:vMerge w:val="continue"/>
                  <w:vAlign w:val="center"/>
                </w:tcPr>
                <w:p w14:paraId="4D19AE3F">
                  <w:pPr>
                    <w:keepNext w:val="0"/>
                    <w:keepLines w:val="0"/>
                    <w:suppressLineNumbers w:val="0"/>
                    <w:spacing w:before="0" w:beforeAutospacing="0" w:after="0" w:afterAutospacing="0"/>
                    <w:ind w:left="0" w:right="0"/>
                    <w:jc w:val="center"/>
                    <w:rPr>
                      <w:color w:val="0000FF"/>
                      <w:sz w:val="21"/>
                      <w:szCs w:val="21"/>
                      <w:highlight w:val="none"/>
                    </w:rPr>
                  </w:pPr>
                </w:p>
              </w:tc>
              <w:tc>
                <w:tcPr>
                  <w:tcW w:w="442" w:type="pct"/>
                  <w:vMerge w:val="continue"/>
                  <w:vAlign w:val="center"/>
                </w:tcPr>
                <w:p w14:paraId="3E1D9D46">
                  <w:pPr>
                    <w:keepNext w:val="0"/>
                    <w:keepLines w:val="0"/>
                    <w:suppressLineNumbers w:val="0"/>
                    <w:spacing w:before="0" w:beforeAutospacing="0" w:after="0" w:afterAutospacing="0"/>
                    <w:ind w:left="0" w:right="0"/>
                    <w:jc w:val="center"/>
                    <w:rPr>
                      <w:rFonts w:hint="default" w:eastAsia="宋体"/>
                      <w:color w:val="0000FF"/>
                      <w:sz w:val="21"/>
                      <w:szCs w:val="21"/>
                      <w:highlight w:val="none"/>
                      <w:lang w:val="en-US" w:eastAsia="zh-CN"/>
                    </w:rPr>
                  </w:pPr>
                </w:p>
              </w:tc>
              <w:tc>
                <w:tcPr>
                  <w:tcW w:w="504" w:type="pct"/>
                  <w:vAlign w:val="center"/>
                </w:tcPr>
                <w:p w14:paraId="6F5C472A">
                  <w:pPr>
                    <w:keepNext w:val="0"/>
                    <w:keepLines w:val="0"/>
                    <w:widowControl/>
                    <w:suppressLineNumbers w:val="0"/>
                    <w:spacing w:before="0" w:beforeAutospacing="0" w:after="0" w:afterAutospacing="0"/>
                    <w:ind w:left="0" w:right="0"/>
                    <w:jc w:val="center"/>
                    <w:textAlignment w:val="center"/>
                    <w:rPr>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420</w:t>
                  </w:r>
                </w:p>
              </w:tc>
              <w:tc>
                <w:tcPr>
                  <w:tcW w:w="959" w:type="dxa"/>
                  <w:vAlign w:val="center"/>
                </w:tcPr>
                <w:p w14:paraId="7F2FAE13">
                  <w:pPr>
                    <w:keepNext w:val="0"/>
                    <w:keepLines w:val="0"/>
                    <w:widowControl/>
                    <w:suppressLineNumbers w:val="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0.1008</w:t>
                  </w:r>
                </w:p>
              </w:tc>
              <w:tc>
                <w:tcPr>
                  <w:tcW w:w="316" w:type="pct"/>
                  <w:vMerge w:val="continue"/>
                  <w:vAlign w:val="center"/>
                </w:tcPr>
                <w:p w14:paraId="30BBA0B7">
                  <w:pPr>
                    <w:keepNext w:val="0"/>
                    <w:keepLines w:val="0"/>
                    <w:suppressLineNumbers w:val="0"/>
                    <w:spacing w:before="0" w:beforeAutospacing="0" w:after="0" w:afterAutospacing="0"/>
                    <w:ind w:left="0" w:right="0"/>
                    <w:jc w:val="center"/>
                    <w:rPr>
                      <w:color w:val="0000FF"/>
                      <w:sz w:val="21"/>
                      <w:szCs w:val="21"/>
                      <w:highlight w:val="none"/>
                    </w:rPr>
                  </w:pPr>
                </w:p>
              </w:tc>
              <w:tc>
                <w:tcPr>
                  <w:tcW w:w="317" w:type="pct"/>
                  <w:vAlign w:val="center"/>
                </w:tcPr>
                <w:p w14:paraId="4A6DDF25">
                  <w:pPr>
                    <w:keepNext w:val="0"/>
                    <w:keepLines w:val="0"/>
                    <w:suppressLineNumbers w:val="0"/>
                    <w:spacing w:before="0" w:beforeAutospacing="0" w:after="0" w:afterAutospacing="0"/>
                    <w:ind w:left="0" w:right="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33.33</w:t>
                  </w:r>
                </w:p>
              </w:tc>
              <w:tc>
                <w:tcPr>
                  <w:tcW w:w="315" w:type="pct"/>
                  <w:vMerge w:val="continue"/>
                  <w:vAlign w:val="center"/>
                </w:tcPr>
                <w:p w14:paraId="5F7DD995">
                  <w:pPr>
                    <w:keepNext w:val="0"/>
                    <w:keepLines w:val="0"/>
                    <w:suppressLineNumbers w:val="0"/>
                    <w:spacing w:before="0" w:beforeAutospacing="0" w:after="0" w:afterAutospacing="0"/>
                    <w:ind w:left="0" w:right="0"/>
                    <w:jc w:val="center"/>
                    <w:rPr>
                      <w:color w:val="0000FF"/>
                      <w:sz w:val="21"/>
                      <w:szCs w:val="21"/>
                      <w:highlight w:val="none"/>
                    </w:rPr>
                  </w:pPr>
                </w:p>
              </w:tc>
              <w:tc>
                <w:tcPr>
                  <w:tcW w:w="503" w:type="pct"/>
                  <w:vMerge w:val="continue"/>
                  <w:vAlign w:val="center"/>
                </w:tcPr>
                <w:p w14:paraId="43E0BAB9">
                  <w:pPr>
                    <w:keepNext w:val="0"/>
                    <w:keepLines w:val="0"/>
                    <w:suppressLineNumbers w:val="0"/>
                    <w:spacing w:before="0" w:beforeAutospacing="0" w:after="0" w:afterAutospacing="0"/>
                    <w:ind w:left="0" w:right="0"/>
                    <w:jc w:val="center"/>
                    <w:rPr>
                      <w:rFonts w:hint="default" w:eastAsia="宋体"/>
                      <w:color w:val="0000FF"/>
                      <w:sz w:val="21"/>
                      <w:szCs w:val="21"/>
                      <w:highlight w:val="none"/>
                      <w:lang w:val="en-US" w:eastAsia="zh-CN"/>
                    </w:rPr>
                  </w:pPr>
                </w:p>
              </w:tc>
              <w:tc>
                <w:tcPr>
                  <w:tcW w:w="503" w:type="pct"/>
                  <w:vAlign w:val="center"/>
                </w:tcPr>
                <w:p w14:paraId="29DEB9D6">
                  <w:pPr>
                    <w:keepNext w:val="0"/>
                    <w:keepLines w:val="0"/>
                    <w:widowControl/>
                    <w:suppressLineNumbers w:val="0"/>
                    <w:spacing w:before="0" w:beforeAutospacing="0" w:after="0" w:afterAutospacing="0"/>
                    <w:ind w:left="0" w:right="0"/>
                    <w:jc w:val="center"/>
                    <w:textAlignment w:val="center"/>
                    <w:rPr>
                      <w:rFonts w:hint="default" w:eastAsia="宋体"/>
                      <w:color w:val="0000FF"/>
                      <w:sz w:val="21"/>
                      <w:szCs w:val="21"/>
                      <w:highlight w:val="none"/>
                      <w:lang w:val="en-US" w:eastAsia="zh-CN"/>
                    </w:rPr>
                  </w:pPr>
                  <w:r>
                    <w:rPr>
                      <w:rFonts w:hint="eastAsia" w:cs="Times New Roman"/>
                      <w:i w:val="0"/>
                      <w:iCs w:val="0"/>
                      <w:color w:val="0000FF"/>
                      <w:kern w:val="0"/>
                      <w:sz w:val="21"/>
                      <w:szCs w:val="21"/>
                      <w:u w:val="none"/>
                      <w:lang w:val="en-US" w:eastAsia="zh-CN" w:bidi="ar"/>
                    </w:rPr>
                    <w:t>28</w:t>
                  </w:r>
                  <w:r>
                    <w:rPr>
                      <w:rFonts w:hint="default" w:ascii="Times New Roman" w:hAnsi="Times New Roman" w:eastAsia="宋体" w:cs="Times New Roman"/>
                      <w:i w:val="0"/>
                      <w:iCs w:val="0"/>
                      <w:color w:val="0000FF"/>
                      <w:kern w:val="0"/>
                      <w:sz w:val="21"/>
                      <w:szCs w:val="21"/>
                      <w:u w:val="none"/>
                      <w:lang w:val="en-US" w:eastAsia="zh-CN" w:bidi="ar"/>
                    </w:rPr>
                    <w:t>0</w:t>
                  </w:r>
                </w:p>
              </w:tc>
              <w:tc>
                <w:tcPr>
                  <w:tcW w:w="1117" w:type="dxa"/>
                  <w:vAlign w:val="center"/>
                </w:tcPr>
                <w:p w14:paraId="2D9138AF">
                  <w:pPr>
                    <w:keepNext w:val="0"/>
                    <w:keepLines w:val="0"/>
                    <w:widowControl/>
                    <w:suppressLineNumbers w:val="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w:t>
                  </w:r>
                  <w:r>
                    <w:rPr>
                      <w:rFonts w:hint="eastAsia" w:cs="Times New Roman"/>
                      <w:i w:val="0"/>
                      <w:iCs w:val="0"/>
                      <w:color w:val="0000FF"/>
                      <w:kern w:val="0"/>
                      <w:sz w:val="21"/>
                      <w:szCs w:val="21"/>
                      <w:u w:val="none"/>
                      <w:lang w:val="en-US" w:eastAsia="zh-CN" w:bidi="ar"/>
                    </w:rPr>
                    <w:t>672</w:t>
                  </w:r>
                </w:p>
              </w:tc>
              <w:tc>
                <w:tcPr>
                  <w:tcW w:w="328" w:type="pct"/>
                  <w:vMerge w:val="continue"/>
                  <w:vAlign w:val="center"/>
                </w:tcPr>
                <w:p w14:paraId="59829FF8">
                  <w:pPr>
                    <w:keepNext w:val="0"/>
                    <w:keepLines w:val="0"/>
                    <w:suppressLineNumbers w:val="0"/>
                    <w:spacing w:before="0" w:beforeAutospacing="0" w:after="0" w:afterAutospacing="0"/>
                    <w:ind w:left="0" w:right="0"/>
                    <w:jc w:val="center"/>
                    <w:rPr>
                      <w:color w:val="0000FF"/>
                      <w:sz w:val="21"/>
                      <w:szCs w:val="21"/>
                      <w:highlight w:val="none"/>
                    </w:rPr>
                  </w:pPr>
                </w:p>
              </w:tc>
            </w:tr>
            <w:tr w14:paraId="6ACA5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continue"/>
                  <w:vAlign w:val="center"/>
                </w:tcPr>
                <w:p w14:paraId="72920F7B">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380" w:type="pct"/>
                  <w:vAlign w:val="center"/>
                </w:tcPr>
                <w:p w14:paraId="1AEF2C68">
                  <w:pPr>
                    <w:keepNext w:val="0"/>
                    <w:keepLines w:val="0"/>
                    <w:suppressLineNumbers w:val="0"/>
                    <w:spacing w:before="0" w:beforeAutospacing="0" w:after="0" w:afterAutospacing="0"/>
                    <w:ind w:left="0" w:right="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BOD</w:t>
                  </w:r>
                  <w:r>
                    <w:rPr>
                      <w:rFonts w:hint="eastAsia"/>
                      <w:color w:val="0000FF"/>
                      <w:sz w:val="21"/>
                      <w:szCs w:val="21"/>
                      <w:highlight w:val="none"/>
                      <w:vertAlign w:val="subscript"/>
                      <w:lang w:val="en-US" w:eastAsia="zh-CN"/>
                    </w:rPr>
                    <w:t>5</w:t>
                  </w:r>
                </w:p>
              </w:tc>
              <w:tc>
                <w:tcPr>
                  <w:tcW w:w="283" w:type="pct"/>
                  <w:vMerge w:val="continue"/>
                  <w:vAlign w:val="center"/>
                </w:tcPr>
                <w:p w14:paraId="0688BD4F">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442" w:type="pct"/>
                  <w:vMerge w:val="continue"/>
                  <w:vAlign w:val="center"/>
                </w:tcPr>
                <w:p w14:paraId="2DA26F11">
                  <w:pPr>
                    <w:keepNext w:val="0"/>
                    <w:keepLines w:val="0"/>
                    <w:suppressLineNumbers w:val="0"/>
                    <w:spacing w:before="0" w:beforeAutospacing="0" w:after="0" w:afterAutospacing="0"/>
                    <w:ind w:left="0" w:right="0"/>
                    <w:jc w:val="center"/>
                    <w:rPr>
                      <w:rFonts w:hint="eastAsia"/>
                      <w:color w:val="0000FF"/>
                      <w:sz w:val="21"/>
                      <w:szCs w:val="21"/>
                      <w:highlight w:val="none"/>
                      <w:lang w:val="en-US" w:eastAsia="zh-CN"/>
                    </w:rPr>
                  </w:pPr>
                </w:p>
              </w:tc>
              <w:tc>
                <w:tcPr>
                  <w:tcW w:w="504" w:type="pct"/>
                  <w:vAlign w:val="center"/>
                </w:tcPr>
                <w:p w14:paraId="090848F8">
                  <w:pPr>
                    <w:keepNext w:val="0"/>
                    <w:keepLines w:val="0"/>
                    <w:widowControl/>
                    <w:suppressLineNumbers w:val="0"/>
                    <w:spacing w:before="0" w:beforeAutospacing="0" w:after="0" w:afterAutospacing="0"/>
                    <w:ind w:left="0" w:right="0"/>
                    <w:jc w:val="center"/>
                    <w:textAlignment w:val="center"/>
                    <w:rPr>
                      <w:rFonts w:hint="eastAsia"/>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180</w:t>
                  </w:r>
                </w:p>
              </w:tc>
              <w:tc>
                <w:tcPr>
                  <w:tcW w:w="959" w:type="dxa"/>
                  <w:vAlign w:val="center"/>
                </w:tcPr>
                <w:p w14:paraId="0FFA0BD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0.0432</w:t>
                  </w:r>
                </w:p>
              </w:tc>
              <w:tc>
                <w:tcPr>
                  <w:tcW w:w="316" w:type="pct"/>
                  <w:vMerge w:val="continue"/>
                  <w:vAlign w:val="center"/>
                </w:tcPr>
                <w:p w14:paraId="4533A143">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317" w:type="pct"/>
                  <w:vAlign w:val="center"/>
                </w:tcPr>
                <w:p w14:paraId="0D56691A">
                  <w:pPr>
                    <w:keepNext w:val="0"/>
                    <w:keepLines w:val="0"/>
                    <w:suppressLineNumbers w:val="0"/>
                    <w:spacing w:before="0" w:beforeAutospacing="0" w:after="0" w:afterAutospacing="0"/>
                    <w:ind w:left="0" w:right="0"/>
                    <w:jc w:val="center"/>
                    <w:rPr>
                      <w:rFonts w:hint="default"/>
                      <w:color w:val="0000FF"/>
                      <w:sz w:val="21"/>
                      <w:szCs w:val="21"/>
                      <w:highlight w:val="none"/>
                      <w:lang w:val="en-US" w:eastAsia="zh-CN"/>
                    </w:rPr>
                  </w:pPr>
                  <w:r>
                    <w:rPr>
                      <w:rFonts w:hint="eastAsia"/>
                      <w:color w:val="0000FF"/>
                      <w:sz w:val="21"/>
                      <w:szCs w:val="21"/>
                      <w:highlight w:val="none"/>
                      <w:lang w:val="en-US" w:eastAsia="zh-CN"/>
                    </w:rPr>
                    <w:t>11.11</w:t>
                  </w:r>
                </w:p>
              </w:tc>
              <w:tc>
                <w:tcPr>
                  <w:tcW w:w="315" w:type="pct"/>
                  <w:vMerge w:val="continue"/>
                  <w:vAlign w:val="center"/>
                </w:tcPr>
                <w:p w14:paraId="6FBDE3BA">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503" w:type="pct"/>
                  <w:vMerge w:val="continue"/>
                  <w:vAlign w:val="center"/>
                </w:tcPr>
                <w:p w14:paraId="7901F95C">
                  <w:pPr>
                    <w:keepNext w:val="0"/>
                    <w:keepLines w:val="0"/>
                    <w:suppressLineNumbers w:val="0"/>
                    <w:spacing w:before="0" w:beforeAutospacing="0" w:after="0" w:afterAutospacing="0"/>
                    <w:ind w:left="0" w:right="0"/>
                    <w:jc w:val="center"/>
                    <w:rPr>
                      <w:rFonts w:hint="eastAsia"/>
                      <w:color w:val="0000FF"/>
                      <w:sz w:val="21"/>
                      <w:szCs w:val="21"/>
                      <w:highlight w:val="none"/>
                      <w:lang w:val="en-US" w:eastAsia="zh-CN"/>
                    </w:rPr>
                  </w:pPr>
                </w:p>
              </w:tc>
              <w:tc>
                <w:tcPr>
                  <w:tcW w:w="503" w:type="pct"/>
                  <w:vAlign w:val="center"/>
                </w:tcPr>
                <w:p w14:paraId="43500650">
                  <w:pPr>
                    <w:keepNext w:val="0"/>
                    <w:keepLines w:val="0"/>
                    <w:widowControl/>
                    <w:suppressLineNumbers w:val="0"/>
                    <w:spacing w:before="0" w:beforeAutospacing="0" w:after="0" w:afterAutospacing="0"/>
                    <w:ind w:left="0" w:right="0"/>
                    <w:jc w:val="center"/>
                    <w:textAlignment w:val="center"/>
                    <w:rPr>
                      <w:rFonts w:hint="eastAsia"/>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cs="Times New Roman"/>
                      <w:i w:val="0"/>
                      <w:iCs w:val="0"/>
                      <w:color w:val="0000FF"/>
                      <w:kern w:val="0"/>
                      <w:sz w:val="21"/>
                      <w:szCs w:val="21"/>
                      <w:u w:val="none"/>
                      <w:lang w:val="en-US" w:eastAsia="zh-CN" w:bidi="ar"/>
                    </w:rPr>
                    <w:t>6</w:t>
                  </w:r>
                  <w:r>
                    <w:rPr>
                      <w:rFonts w:hint="default" w:ascii="Times New Roman" w:hAnsi="Times New Roman" w:eastAsia="宋体" w:cs="Times New Roman"/>
                      <w:i w:val="0"/>
                      <w:iCs w:val="0"/>
                      <w:color w:val="0000FF"/>
                      <w:kern w:val="0"/>
                      <w:sz w:val="21"/>
                      <w:szCs w:val="21"/>
                      <w:u w:val="none"/>
                      <w:lang w:val="en-US" w:eastAsia="zh-CN" w:bidi="ar"/>
                    </w:rPr>
                    <w:t>0</w:t>
                  </w:r>
                </w:p>
              </w:tc>
              <w:tc>
                <w:tcPr>
                  <w:tcW w:w="1117" w:type="dxa"/>
                  <w:vAlign w:val="center"/>
                </w:tcPr>
                <w:p w14:paraId="0C6CC6D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w:t>
                  </w:r>
                  <w:r>
                    <w:rPr>
                      <w:rFonts w:hint="eastAsia" w:cs="Times New Roman"/>
                      <w:i w:val="0"/>
                      <w:iCs w:val="0"/>
                      <w:color w:val="0000FF"/>
                      <w:kern w:val="0"/>
                      <w:sz w:val="21"/>
                      <w:szCs w:val="21"/>
                      <w:u w:val="none"/>
                      <w:lang w:val="en-US" w:eastAsia="zh-CN" w:bidi="ar"/>
                    </w:rPr>
                    <w:t>384</w:t>
                  </w:r>
                </w:p>
              </w:tc>
              <w:tc>
                <w:tcPr>
                  <w:tcW w:w="328" w:type="pct"/>
                  <w:vMerge w:val="continue"/>
                  <w:vAlign w:val="center"/>
                </w:tcPr>
                <w:p w14:paraId="40D9F8CF">
                  <w:pPr>
                    <w:keepNext w:val="0"/>
                    <w:keepLines w:val="0"/>
                    <w:suppressLineNumbers w:val="0"/>
                    <w:spacing w:before="0" w:beforeAutospacing="0" w:after="0" w:afterAutospacing="0"/>
                    <w:ind w:left="0" w:right="0"/>
                    <w:jc w:val="center"/>
                    <w:rPr>
                      <w:rFonts w:hint="eastAsia"/>
                      <w:color w:val="0000FF"/>
                      <w:sz w:val="21"/>
                      <w:szCs w:val="21"/>
                      <w:highlight w:val="none"/>
                      <w:lang w:val="en-US" w:eastAsia="zh-CN"/>
                    </w:rPr>
                  </w:pPr>
                </w:p>
              </w:tc>
            </w:tr>
            <w:tr w14:paraId="21D66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continue"/>
                  <w:vAlign w:val="center"/>
                </w:tcPr>
                <w:p w14:paraId="20D99B29">
                  <w:pPr>
                    <w:keepNext w:val="0"/>
                    <w:keepLines w:val="0"/>
                    <w:suppressLineNumbers w:val="0"/>
                    <w:spacing w:before="0" w:beforeAutospacing="0" w:after="0" w:afterAutospacing="0"/>
                    <w:ind w:left="0" w:right="0"/>
                    <w:jc w:val="center"/>
                    <w:rPr>
                      <w:color w:val="0000FF"/>
                      <w:sz w:val="21"/>
                      <w:szCs w:val="21"/>
                      <w:highlight w:val="none"/>
                    </w:rPr>
                  </w:pPr>
                </w:p>
              </w:tc>
              <w:tc>
                <w:tcPr>
                  <w:tcW w:w="380" w:type="pct"/>
                  <w:vAlign w:val="center"/>
                </w:tcPr>
                <w:p w14:paraId="4B0FE614">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SS</w:t>
                  </w:r>
                </w:p>
              </w:tc>
              <w:tc>
                <w:tcPr>
                  <w:tcW w:w="283" w:type="pct"/>
                  <w:vMerge w:val="continue"/>
                  <w:vAlign w:val="center"/>
                </w:tcPr>
                <w:p w14:paraId="3341F604">
                  <w:pPr>
                    <w:keepNext w:val="0"/>
                    <w:keepLines w:val="0"/>
                    <w:suppressLineNumbers w:val="0"/>
                    <w:spacing w:before="0" w:beforeAutospacing="0" w:after="0" w:afterAutospacing="0"/>
                    <w:ind w:left="0" w:right="0"/>
                    <w:jc w:val="center"/>
                    <w:rPr>
                      <w:color w:val="0000FF"/>
                      <w:sz w:val="21"/>
                      <w:szCs w:val="21"/>
                      <w:highlight w:val="none"/>
                    </w:rPr>
                  </w:pPr>
                </w:p>
              </w:tc>
              <w:tc>
                <w:tcPr>
                  <w:tcW w:w="442" w:type="pct"/>
                  <w:vMerge w:val="continue"/>
                  <w:vAlign w:val="center"/>
                </w:tcPr>
                <w:p w14:paraId="6C428498">
                  <w:pPr>
                    <w:keepNext w:val="0"/>
                    <w:keepLines w:val="0"/>
                    <w:suppressLineNumbers w:val="0"/>
                    <w:spacing w:before="0" w:beforeAutospacing="0" w:after="0" w:afterAutospacing="0"/>
                    <w:ind w:left="0" w:right="0"/>
                    <w:jc w:val="center"/>
                    <w:rPr>
                      <w:color w:val="0000FF"/>
                      <w:sz w:val="21"/>
                      <w:szCs w:val="21"/>
                      <w:highlight w:val="none"/>
                    </w:rPr>
                  </w:pPr>
                </w:p>
              </w:tc>
              <w:tc>
                <w:tcPr>
                  <w:tcW w:w="504" w:type="pct"/>
                  <w:vAlign w:val="center"/>
                </w:tcPr>
                <w:p w14:paraId="771D5574">
                  <w:pPr>
                    <w:keepNext w:val="0"/>
                    <w:keepLines w:val="0"/>
                    <w:widowControl/>
                    <w:suppressLineNumbers w:val="0"/>
                    <w:spacing w:before="0" w:beforeAutospacing="0" w:after="0" w:afterAutospacing="0"/>
                    <w:ind w:left="0" w:right="0"/>
                    <w:jc w:val="center"/>
                    <w:textAlignment w:val="center"/>
                    <w:rPr>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320</w:t>
                  </w:r>
                </w:p>
              </w:tc>
              <w:tc>
                <w:tcPr>
                  <w:tcW w:w="959" w:type="dxa"/>
                  <w:vAlign w:val="center"/>
                </w:tcPr>
                <w:p w14:paraId="0C65E3AE">
                  <w:pPr>
                    <w:keepNext w:val="0"/>
                    <w:keepLines w:val="0"/>
                    <w:widowControl/>
                    <w:suppressLineNumbers w:val="0"/>
                    <w:jc w:val="center"/>
                    <w:textAlignment w:val="center"/>
                    <w:rPr>
                      <w:rFonts w:hint="eastAsia" w:eastAsia="宋体"/>
                      <w:color w:val="0000FF"/>
                      <w:sz w:val="21"/>
                      <w:szCs w:val="21"/>
                      <w:highlight w:val="none"/>
                      <w:lang w:eastAsia="zh-CN"/>
                    </w:rPr>
                  </w:pPr>
                  <w:r>
                    <w:rPr>
                      <w:rFonts w:hint="default" w:ascii="Times New Roman" w:hAnsi="Times New Roman" w:eastAsia="宋体" w:cs="Times New Roman"/>
                      <w:i w:val="0"/>
                      <w:iCs w:val="0"/>
                      <w:color w:val="0000FF"/>
                      <w:kern w:val="0"/>
                      <w:sz w:val="21"/>
                      <w:szCs w:val="21"/>
                      <w:u w:val="none"/>
                      <w:lang w:val="en-US" w:eastAsia="zh-CN" w:bidi="ar"/>
                    </w:rPr>
                    <w:t>0.0768</w:t>
                  </w:r>
                </w:p>
              </w:tc>
              <w:tc>
                <w:tcPr>
                  <w:tcW w:w="316" w:type="pct"/>
                  <w:vMerge w:val="continue"/>
                  <w:vAlign w:val="center"/>
                </w:tcPr>
                <w:p w14:paraId="7F52300D">
                  <w:pPr>
                    <w:keepNext w:val="0"/>
                    <w:keepLines w:val="0"/>
                    <w:suppressLineNumbers w:val="0"/>
                    <w:spacing w:before="0" w:beforeAutospacing="0" w:after="0" w:afterAutospacing="0"/>
                    <w:ind w:left="0" w:right="0"/>
                    <w:jc w:val="center"/>
                    <w:rPr>
                      <w:color w:val="0000FF"/>
                      <w:sz w:val="21"/>
                      <w:szCs w:val="21"/>
                      <w:highlight w:val="none"/>
                    </w:rPr>
                  </w:pPr>
                </w:p>
              </w:tc>
              <w:tc>
                <w:tcPr>
                  <w:tcW w:w="317" w:type="pct"/>
                  <w:vAlign w:val="center"/>
                </w:tcPr>
                <w:p w14:paraId="36F199A8">
                  <w:pPr>
                    <w:keepNext w:val="0"/>
                    <w:keepLines w:val="0"/>
                    <w:suppressLineNumbers w:val="0"/>
                    <w:spacing w:before="0" w:beforeAutospacing="0" w:after="0" w:afterAutospacing="0"/>
                    <w:ind w:left="0" w:right="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43.75</w:t>
                  </w:r>
                </w:p>
              </w:tc>
              <w:tc>
                <w:tcPr>
                  <w:tcW w:w="315" w:type="pct"/>
                  <w:vMerge w:val="continue"/>
                  <w:vAlign w:val="center"/>
                </w:tcPr>
                <w:p w14:paraId="4FE3C3B3">
                  <w:pPr>
                    <w:keepNext w:val="0"/>
                    <w:keepLines w:val="0"/>
                    <w:suppressLineNumbers w:val="0"/>
                    <w:spacing w:before="0" w:beforeAutospacing="0" w:after="0" w:afterAutospacing="0"/>
                    <w:ind w:left="0" w:right="0"/>
                    <w:jc w:val="center"/>
                    <w:rPr>
                      <w:color w:val="0000FF"/>
                      <w:sz w:val="21"/>
                      <w:szCs w:val="21"/>
                      <w:highlight w:val="none"/>
                    </w:rPr>
                  </w:pPr>
                </w:p>
              </w:tc>
              <w:tc>
                <w:tcPr>
                  <w:tcW w:w="503" w:type="pct"/>
                  <w:vMerge w:val="continue"/>
                  <w:vAlign w:val="center"/>
                </w:tcPr>
                <w:p w14:paraId="5B8CBD43">
                  <w:pPr>
                    <w:keepNext w:val="0"/>
                    <w:keepLines w:val="0"/>
                    <w:suppressLineNumbers w:val="0"/>
                    <w:spacing w:before="0" w:beforeAutospacing="0" w:after="0" w:afterAutospacing="0"/>
                    <w:ind w:left="0" w:right="0"/>
                    <w:jc w:val="center"/>
                    <w:rPr>
                      <w:color w:val="0000FF"/>
                      <w:sz w:val="21"/>
                      <w:szCs w:val="21"/>
                      <w:highlight w:val="none"/>
                    </w:rPr>
                  </w:pPr>
                </w:p>
              </w:tc>
              <w:tc>
                <w:tcPr>
                  <w:tcW w:w="503" w:type="pct"/>
                  <w:vAlign w:val="center"/>
                </w:tcPr>
                <w:p w14:paraId="69BC3849">
                  <w:pPr>
                    <w:keepNext w:val="0"/>
                    <w:keepLines w:val="0"/>
                    <w:widowControl/>
                    <w:suppressLineNumbers w:val="0"/>
                    <w:spacing w:before="0" w:beforeAutospacing="0" w:after="0" w:afterAutospacing="0"/>
                    <w:ind w:left="0" w:right="0"/>
                    <w:jc w:val="center"/>
                    <w:textAlignment w:val="center"/>
                    <w:rPr>
                      <w:rFonts w:hint="default" w:eastAsia="宋体"/>
                      <w:color w:val="0000FF"/>
                      <w:sz w:val="21"/>
                      <w:szCs w:val="21"/>
                      <w:highlight w:val="none"/>
                      <w:lang w:val="en-US" w:eastAsia="zh-CN"/>
                    </w:rPr>
                  </w:pPr>
                  <w:r>
                    <w:rPr>
                      <w:rFonts w:hint="eastAsia" w:cs="Times New Roman"/>
                      <w:i w:val="0"/>
                      <w:iCs w:val="0"/>
                      <w:color w:val="0000FF"/>
                      <w:kern w:val="0"/>
                      <w:sz w:val="21"/>
                      <w:szCs w:val="21"/>
                      <w:u w:val="none"/>
                      <w:lang w:val="en-US" w:eastAsia="zh-CN" w:bidi="ar"/>
                    </w:rPr>
                    <w:t>1</w:t>
                  </w:r>
                  <w:r>
                    <w:rPr>
                      <w:rFonts w:hint="default" w:ascii="Times New Roman" w:hAnsi="Times New Roman" w:eastAsia="宋体" w:cs="Times New Roman"/>
                      <w:i w:val="0"/>
                      <w:iCs w:val="0"/>
                      <w:color w:val="0000FF"/>
                      <w:kern w:val="0"/>
                      <w:sz w:val="21"/>
                      <w:szCs w:val="21"/>
                      <w:u w:val="none"/>
                      <w:lang w:val="en-US" w:eastAsia="zh-CN" w:bidi="ar"/>
                    </w:rPr>
                    <w:t>80</w:t>
                  </w:r>
                </w:p>
              </w:tc>
              <w:tc>
                <w:tcPr>
                  <w:tcW w:w="1117" w:type="dxa"/>
                  <w:vAlign w:val="center"/>
                </w:tcPr>
                <w:p w14:paraId="139779C4">
                  <w:pPr>
                    <w:keepNext w:val="0"/>
                    <w:keepLines w:val="0"/>
                    <w:widowControl/>
                    <w:suppressLineNumbers w:val="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w:t>
                  </w:r>
                  <w:r>
                    <w:rPr>
                      <w:rFonts w:hint="eastAsia" w:cs="Times New Roman"/>
                      <w:i w:val="0"/>
                      <w:iCs w:val="0"/>
                      <w:color w:val="0000FF"/>
                      <w:kern w:val="0"/>
                      <w:sz w:val="21"/>
                      <w:szCs w:val="21"/>
                      <w:u w:val="none"/>
                      <w:lang w:val="en-US" w:eastAsia="zh-CN" w:bidi="ar"/>
                    </w:rPr>
                    <w:t>432</w:t>
                  </w:r>
                </w:p>
              </w:tc>
              <w:tc>
                <w:tcPr>
                  <w:tcW w:w="328" w:type="pct"/>
                  <w:vMerge w:val="continue"/>
                  <w:vAlign w:val="center"/>
                </w:tcPr>
                <w:p w14:paraId="6F0DA1CB">
                  <w:pPr>
                    <w:keepNext w:val="0"/>
                    <w:keepLines w:val="0"/>
                    <w:suppressLineNumbers w:val="0"/>
                    <w:spacing w:before="0" w:beforeAutospacing="0" w:after="0" w:afterAutospacing="0"/>
                    <w:ind w:left="0" w:right="0"/>
                    <w:jc w:val="center"/>
                    <w:rPr>
                      <w:color w:val="0000FF"/>
                      <w:sz w:val="21"/>
                      <w:szCs w:val="21"/>
                      <w:highlight w:val="none"/>
                    </w:rPr>
                  </w:pPr>
                </w:p>
              </w:tc>
            </w:tr>
            <w:tr w14:paraId="0C3C6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continue"/>
                  <w:vAlign w:val="center"/>
                </w:tcPr>
                <w:p w14:paraId="71B99E02">
                  <w:pPr>
                    <w:keepNext w:val="0"/>
                    <w:keepLines w:val="0"/>
                    <w:suppressLineNumbers w:val="0"/>
                    <w:spacing w:before="0" w:beforeAutospacing="0" w:after="0" w:afterAutospacing="0"/>
                    <w:ind w:left="0" w:right="0"/>
                    <w:jc w:val="center"/>
                    <w:rPr>
                      <w:color w:val="0000FF"/>
                      <w:sz w:val="21"/>
                      <w:szCs w:val="21"/>
                      <w:highlight w:val="none"/>
                    </w:rPr>
                  </w:pPr>
                </w:p>
              </w:tc>
              <w:tc>
                <w:tcPr>
                  <w:tcW w:w="380" w:type="pct"/>
                  <w:vAlign w:val="center"/>
                </w:tcPr>
                <w:p w14:paraId="62D56B90">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氨氮</w:t>
                  </w:r>
                </w:p>
              </w:tc>
              <w:tc>
                <w:tcPr>
                  <w:tcW w:w="283" w:type="pct"/>
                  <w:vMerge w:val="continue"/>
                  <w:vAlign w:val="center"/>
                </w:tcPr>
                <w:p w14:paraId="44D0CFCC">
                  <w:pPr>
                    <w:keepNext w:val="0"/>
                    <w:keepLines w:val="0"/>
                    <w:suppressLineNumbers w:val="0"/>
                    <w:spacing w:before="0" w:beforeAutospacing="0" w:after="0" w:afterAutospacing="0"/>
                    <w:ind w:left="0" w:right="0"/>
                    <w:jc w:val="center"/>
                    <w:rPr>
                      <w:color w:val="0000FF"/>
                      <w:sz w:val="21"/>
                      <w:szCs w:val="21"/>
                      <w:highlight w:val="none"/>
                    </w:rPr>
                  </w:pPr>
                </w:p>
              </w:tc>
              <w:tc>
                <w:tcPr>
                  <w:tcW w:w="442" w:type="pct"/>
                  <w:vMerge w:val="continue"/>
                  <w:vAlign w:val="center"/>
                </w:tcPr>
                <w:p w14:paraId="03832A27">
                  <w:pPr>
                    <w:keepNext w:val="0"/>
                    <w:keepLines w:val="0"/>
                    <w:suppressLineNumbers w:val="0"/>
                    <w:spacing w:before="0" w:beforeAutospacing="0" w:after="0" w:afterAutospacing="0"/>
                    <w:ind w:left="0" w:right="0"/>
                    <w:jc w:val="center"/>
                    <w:rPr>
                      <w:color w:val="0000FF"/>
                      <w:sz w:val="21"/>
                      <w:szCs w:val="21"/>
                      <w:highlight w:val="none"/>
                    </w:rPr>
                  </w:pPr>
                </w:p>
              </w:tc>
              <w:tc>
                <w:tcPr>
                  <w:tcW w:w="504" w:type="pct"/>
                  <w:vAlign w:val="center"/>
                </w:tcPr>
                <w:p w14:paraId="3E842F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959" w:type="dxa"/>
                  <w:vAlign w:val="center"/>
                </w:tcPr>
                <w:p w14:paraId="0369FE2D">
                  <w:pPr>
                    <w:keepNext w:val="0"/>
                    <w:keepLines w:val="0"/>
                    <w:widowControl/>
                    <w:suppressLineNumbers w:val="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0.006</w:t>
                  </w:r>
                </w:p>
              </w:tc>
              <w:tc>
                <w:tcPr>
                  <w:tcW w:w="316" w:type="pct"/>
                  <w:vMerge w:val="continue"/>
                  <w:vAlign w:val="center"/>
                </w:tcPr>
                <w:p w14:paraId="173E76C1">
                  <w:pPr>
                    <w:keepNext w:val="0"/>
                    <w:keepLines w:val="0"/>
                    <w:suppressLineNumbers w:val="0"/>
                    <w:spacing w:before="0" w:beforeAutospacing="0" w:after="0" w:afterAutospacing="0"/>
                    <w:ind w:left="0" w:right="0"/>
                    <w:jc w:val="center"/>
                    <w:rPr>
                      <w:color w:val="0000FF"/>
                      <w:sz w:val="21"/>
                      <w:szCs w:val="21"/>
                      <w:highlight w:val="none"/>
                    </w:rPr>
                  </w:pPr>
                </w:p>
              </w:tc>
              <w:tc>
                <w:tcPr>
                  <w:tcW w:w="317" w:type="pct"/>
                  <w:vAlign w:val="center"/>
                </w:tcPr>
                <w:p w14:paraId="07DC1236">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w:t>
                  </w:r>
                </w:p>
              </w:tc>
              <w:tc>
                <w:tcPr>
                  <w:tcW w:w="315" w:type="pct"/>
                  <w:vMerge w:val="continue"/>
                  <w:vAlign w:val="center"/>
                </w:tcPr>
                <w:p w14:paraId="5290E2C3">
                  <w:pPr>
                    <w:keepNext w:val="0"/>
                    <w:keepLines w:val="0"/>
                    <w:suppressLineNumbers w:val="0"/>
                    <w:spacing w:before="0" w:beforeAutospacing="0" w:after="0" w:afterAutospacing="0"/>
                    <w:ind w:left="0" w:right="0"/>
                    <w:jc w:val="center"/>
                    <w:rPr>
                      <w:color w:val="0000FF"/>
                      <w:sz w:val="21"/>
                      <w:szCs w:val="21"/>
                      <w:highlight w:val="none"/>
                    </w:rPr>
                  </w:pPr>
                </w:p>
              </w:tc>
              <w:tc>
                <w:tcPr>
                  <w:tcW w:w="503" w:type="pct"/>
                  <w:vMerge w:val="continue"/>
                  <w:vAlign w:val="center"/>
                </w:tcPr>
                <w:p w14:paraId="75541129">
                  <w:pPr>
                    <w:keepNext w:val="0"/>
                    <w:keepLines w:val="0"/>
                    <w:suppressLineNumbers w:val="0"/>
                    <w:spacing w:before="0" w:beforeAutospacing="0" w:after="0" w:afterAutospacing="0"/>
                    <w:ind w:left="0" w:right="0"/>
                    <w:jc w:val="center"/>
                    <w:rPr>
                      <w:color w:val="0000FF"/>
                      <w:sz w:val="21"/>
                      <w:szCs w:val="21"/>
                      <w:highlight w:val="none"/>
                    </w:rPr>
                  </w:pPr>
                </w:p>
              </w:tc>
              <w:tc>
                <w:tcPr>
                  <w:tcW w:w="503" w:type="pct"/>
                  <w:vAlign w:val="center"/>
                </w:tcPr>
                <w:p w14:paraId="652D8E31">
                  <w:pPr>
                    <w:keepNext w:val="0"/>
                    <w:keepLines w:val="0"/>
                    <w:widowControl/>
                    <w:suppressLineNumbers w:val="0"/>
                    <w:spacing w:before="0" w:beforeAutospacing="0" w:after="0" w:afterAutospacing="0"/>
                    <w:ind w:left="0" w:right="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1117" w:type="dxa"/>
                  <w:vAlign w:val="center"/>
                </w:tcPr>
                <w:p w14:paraId="17BE2CCA">
                  <w:pPr>
                    <w:keepNext w:val="0"/>
                    <w:keepLines w:val="0"/>
                    <w:widowControl/>
                    <w:suppressLineNumbers w:val="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0.006</w:t>
                  </w:r>
                </w:p>
              </w:tc>
              <w:tc>
                <w:tcPr>
                  <w:tcW w:w="328" w:type="pct"/>
                  <w:vMerge w:val="continue"/>
                  <w:vAlign w:val="center"/>
                </w:tcPr>
                <w:p w14:paraId="49AD2B39">
                  <w:pPr>
                    <w:keepNext w:val="0"/>
                    <w:keepLines w:val="0"/>
                    <w:suppressLineNumbers w:val="0"/>
                    <w:spacing w:before="0" w:beforeAutospacing="0" w:after="0" w:afterAutospacing="0"/>
                    <w:ind w:left="0" w:right="0"/>
                    <w:jc w:val="center"/>
                    <w:rPr>
                      <w:color w:val="0000FF"/>
                      <w:sz w:val="21"/>
                      <w:szCs w:val="21"/>
                      <w:highlight w:val="none"/>
                    </w:rPr>
                  </w:pPr>
                </w:p>
              </w:tc>
            </w:tr>
            <w:tr w14:paraId="734D2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continue"/>
                  <w:vAlign w:val="center"/>
                </w:tcPr>
                <w:p w14:paraId="0AB386DC">
                  <w:pPr>
                    <w:keepNext w:val="0"/>
                    <w:keepLines w:val="0"/>
                    <w:suppressLineNumbers w:val="0"/>
                    <w:spacing w:before="0" w:beforeAutospacing="0" w:after="0" w:afterAutospacing="0"/>
                    <w:ind w:left="0" w:right="0"/>
                    <w:jc w:val="center"/>
                    <w:rPr>
                      <w:color w:val="0000FF"/>
                      <w:sz w:val="21"/>
                      <w:szCs w:val="21"/>
                      <w:highlight w:val="none"/>
                    </w:rPr>
                  </w:pPr>
                </w:p>
              </w:tc>
              <w:tc>
                <w:tcPr>
                  <w:tcW w:w="380" w:type="pct"/>
                  <w:vAlign w:val="center"/>
                </w:tcPr>
                <w:p w14:paraId="48C86DDF">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总氮</w:t>
                  </w:r>
                </w:p>
              </w:tc>
              <w:tc>
                <w:tcPr>
                  <w:tcW w:w="283" w:type="pct"/>
                  <w:vMerge w:val="continue"/>
                  <w:vAlign w:val="center"/>
                </w:tcPr>
                <w:p w14:paraId="36AFF23A">
                  <w:pPr>
                    <w:keepNext w:val="0"/>
                    <w:keepLines w:val="0"/>
                    <w:suppressLineNumbers w:val="0"/>
                    <w:spacing w:before="0" w:beforeAutospacing="0" w:after="0" w:afterAutospacing="0"/>
                    <w:ind w:left="0" w:right="0"/>
                    <w:jc w:val="center"/>
                    <w:rPr>
                      <w:color w:val="0000FF"/>
                      <w:sz w:val="21"/>
                      <w:szCs w:val="21"/>
                      <w:highlight w:val="none"/>
                    </w:rPr>
                  </w:pPr>
                </w:p>
              </w:tc>
              <w:tc>
                <w:tcPr>
                  <w:tcW w:w="442" w:type="pct"/>
                  <w:vMerge w:val="continue"/>
                  <w:vAlign w:val="center"/>
                </w:tcPr>
                <w:p w14:paraId="2F1C8C82">
                  <w:pPr>
                    <w:keepNext w:val="0"/>
                    <w:keepLines w:val="0"/>
                    <w:suppressLineNumbers w:val="0"/>
                    <w:spacing w:before="0" w:beforeAutospacing="0" w:after="0" w:afterAutospacing="0"/>
                    <w:ind w:left="0" w:right="0"/>
                    <w:jc w:val="center"/>
                    <w:rPr>
                      <w:color w:val="0000FF"/>
                      <w:sz w:val="21"/>
                      <w:szCs w:val="21"/>
                      <w:highlight w:val="none"/>
                    </w:rPr>
                  </w:pPr>
                </w:p>
              </w:tc>
              <w:tc>
                <w:tcPr>
                  <w:tcW w:w="504" w:type="pct"/>
                  <w:vAlign w:val="center"/>
                </w:tcPr>
                <w:p w14:paraId="4B1CB9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35</w:t>
                  </w:r>
                </w:p>
              </w:tc>
              <w:tc>
                <w:tcPr>
                  <w:tcW w:w="959" w:type="dxa"/>
                  <w:vAlign w:val="center"/>
                </w:tcPr>
                <w:p w14:paraId="4372A33D">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0.0084</w:t>
                  </w:r>
                </w:p>
              </w:tc>
              <w:tc>
                <w:tcPr>
                  <w:tcW w:w="316" w:type="pct"/>
                  <w:vMerge w:val="continue"/>
                  <w:vAlign w:val="center"/>
                </w:tcPr>
                <w:p w14:paraId="64F61F16">
                  <w:pPr>
                    <w:keepNext w:val="0"/>
                    <w:keepLines w:val="0"/>
                    <w:suppressLineNumbers w:val="0"/>
                    <w:spacing w:before="0" w:beforeAutospacing="0" w:after="0" w:afterAutospacing="0"/>
                    <w:ind w:left="0" w:right="0"/>
                    <w:jc w:val="center"/>
                    <w:rPr>
                      <w:color w:val="0000FF"/>
                      <w:sz w:val="21"/>
                      <w:szCs w:val="21"/>
                      <w:highlight w:val="none"/>
                    </w:rPr>
                  </w:pPr>
                </w:p>
              </w:tc>
              <w:tc>
                <w:tcPr>
                  <w:tcW w:w="317" w:type="pct"/>
                  <w:vAlign w:val="center"/>
                </w:tcPr>
                <w:p w14:paraId="179A957E">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w:t>
                  </w:r>
                </w:p>
              </w:tc>
              <w:tc>
                <w:tcPr>
                  <w:tcW w:w="315" w:type="pct"/>
                  <w:vMerge w:val="continue"/>
                  <w:vAlign w:val="center"/>
                </w:tcPr>
                <w:p w14:paraId="35EFE76C">
                  <w:pPr>
                    <w:keepNext w:val="0"/>
                    <w:keepLines w:val="0"/>
                    <w:suppressLineNumbers w:val="0"/>
                    <w:spacing w:before="0" w:beforeAutospacing="0" w:after="0" w:afterAutospacing="0"/>
                    <w:ind w:left="0" w:right="0"/>
                    <w:jc w:val="center"/>
                    <w:rPr>
                      <w:color w:val="0000FF"/>
                      <w:sz w:val="21"/>
                      <w:szCs w:val="21"/>
                      <w:highlight w:val="none"/>
                    </w:rPr>
                  </w:pPr>
                </w:p>
              </w:tc>
              <w:tc>
                <w:tcPr>
                  <w:tcW w:w="503" w:type="pct"/>
                  <w:vMerge w:val="continue"/>
                  <w:vAlign w:val="center"/>
                </w:tcPr>
                <w:p w14:paraId="008E6D92">
                  <w:pPr>
                    <w:keepNext w:val="0"/>
                    <w:keepLines w:val="0"/>
                    <w:suppressLineNumbers w:val="0"/>
                    <w:spacing w:before="0" w:beforeAutospacing="0" w:after="0" w:afterAutospacing="0"/>
                    <w:ind w:left="0" w:right="0"/>
                    <w:jc w:val="center"/>
                    <w:rPr>
                      <w:color w:val="0000FF"/>
                      <w:sz w:val="21"/>
                      <w:szCs w:val="21"/>
                      <w:highlight w:val="none"/>
                    </w:rPr>
                  </w:pPr>
                </w:p>
              </w:tc>
              <w:tc>
                <w:tcPr>
                  <w:tcW w:w="503" w:type="pct"/>
                  <w:vAlign w:val="center"/>
                </w:tcPr>
                <w:p w14:paraId="31C6A603">
                  <w:pPr>
                    <w:keepNext w:val="0"/>
                    <w:keepLines w:val="0"/>
                    <w:widowControl/>
                    <w:suppressLineNumbers w:val="0"/>
                    <w:spacing w:before="0" w:beforeAutospacing="0" w:after="0" w:afterAutospacing="0"/>
                    <w:ind w:left="0" w:right="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35</w:t>
                  </w:r>
                </w:p>
              </w:tc>
              <w:tc>
                <w:tcPr>
                  <w:tcW w:w="1117" w:type="dxa"/>
                  <w:vAlign w:val="center"/>
                </w:tcPr>
                <w:p w14:paraId="6FD8DCDD">
                  <w:pPr>
                    <w:keepNext w:val="0"/>
                    <w:keepLines w:val="0"/>
                    <w:widowControl/>
                    <w:suppressLineNumbers w:val="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0.0084</w:t>
                  </w:r>
                </w:p>
              </w:tc>
              <w:tc>
                <w:tcPr>
                  <w:tcW w:w="328" w:type="pct"/>
                  <w:vMerge w:val="continue"/>
                  <w:vAlign w:val="center"/>
                </w:tcPr>
                <w:p w14:paraId="14396661">
                  <w:pPr>
                    <w:keepNext w:val="0"/>
                    <w:keepLines w:val="0"/>
                    <w:suppressLineNumbers w:val="0"/>
                    <w:spacing w:before="0" w:beforeAutospacing="0" w:after="0" w:afterAutospacing="0"/>
                    <w:ind w:left="0" w:right="0"/>
                    <w:jc w:val="center"/>
                    <w:rPr>
                      <w:color w:val="0000FF"/>
                      <w:sz w:val="21"/>
                      <w:szCs w:val="21"/>
                      <w:highlight w:val="none"/>
                    </w:rPr>
                  </w:pPr>
                </w:p>
              </w:tc>
            </w:tr>
            <w:tr w14:paraId="0B294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0" w:type="pct"/>
                  <w:vMerge w:val="continue"/>
                  <w:vAlign w:val="center"/>
                </w:tcPr>
                <w:p w14:paraId="1B222050">
                  <w:pPr>
                    <w:keepNext w:val="0"/>
                    <w:keepLines w:val="0"/>
                    <w:suppressLineNumbers w:val="0"/>
                    <w:spacing w:before="0" w:beforeAutospacing="0" w:after="0" w:afterAutospacing="0"/>
                    <w:ind w:left="0" w:right="0"/>
                    <w:jc w:val="center"/>
                    <w:rPr>
                      <w:color w:val="0000FF"/>
                      <w:sz w:val="21"/>
                      <w:szCs w:val="21"/>
                      <w:highlight w:val="none"/>
                    </w:rPr>
                  </w:pPr>
                </w:p>
              </w:tc>
              <w:tc>
                <w:tcPr>
                  <w:tcW w:w="380" w:type="pct"/>
                  <w:vAlign w:val="center"/>
                </w:tcPr>
                <w:p w14:paraId="4344D9A4">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总磷</w:t>
                  </w:r>
                </w:p>
              </w:tc>
              <w:tc>
                <w:tcPr>
                  <w:tcW w:w="283" w:type="pct"/>
                  <w:vMerge w:val="continue"/>
                  <w:vAlign w:val="center"/>
                </w:tcPr>
                <w:p w14:paraId="284BC50C">
                  <w:pPr>
                    <w:keepNext w:val="0"/>
                    <w:keepLines w:val="0"/>
                    <w:suppressLineNumbers w:val="0"/>
                    <w:spacing w:before="0" w:beforeAutospacing="0" w:after="0" w:afterAutospacing="0"/>
                    <w:ind w:left="0" w:right="0"/>
                    <w:jc w:val="center"/>
                    <w:rPr>
                      <w:color w:val="0000FF"/>
                      <w:sz w:val="21"/>
                      <w:szCs w:val="21"/>
                      <w:highlight w:val="none"/>
                    </w:rPr>
                  </w:pPr>
                </w:p>
              </w:tc>
              <w:tc>
                <w:tcPr>
                  <w:tcW w:w="442" w:type="pct"/>
                  <w:vMerge w:val="continue"/>
                  <w:vAlign w:val="center"/>
                </w:tcPr>
                <w:p w14:paraId="0ADC7009">
                  <w:pPr>
                    <w:keepNext w:val="0"/>
                    <w:keepLines w:val="0"/>
                    <w:suppressLineNumbers w:val="0"/>
                    <w:spacing w:before="0" w:beforeAutospacing="0" w:after="0" w:afterAutospacing="0"/>
                    <w:ind w:left="0" w:right="0"/>
                    <w:jc w:val="center"/>
                    <w:rPr>
                      <w:color w:val="0000FF"/>
                      <w:sz w:val="21"/>
                      <w:szCs w:val="21"/>
                      <w:highlight w:val="none"/>
                    </w:rPr>
                  </w:pPr>
                </w:p>
              </w:tc>
              <w:tc>
                <w:tcPr>
                  <w:tcW w:w="504" w:type="pct"/>
                  <w:vAlign w:val="center"/>
                </w:tcPr>
                <w:p w14:paraId="00E0C4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i w:val="0"/>
                      <w:iCs w:val="0"/>
                      <w:color w:val="0000FF"/>
                      <w:kern w:val="0"/>
                      <w:sz w:val="21"/>
                      <w:szCs w:val="21"/>
                      <w:u w:val="none"/>
                      <w:lang w:val="en-US" w:eastAsia="zh-CN" w:bidi="ar"/>
                    </w:rPr>
                    <w:t>3</w:t>
                  </w:r>
                </w:p>
              </w:tc>
              <w:tc>
                <w:tcPr>
                  <w:tcW w:w="959" w:type="dxa"/>
                  <w:vAlign w:val="center"/>
                </w:tcPr>
                <w:p w14:paraId="34F416D1">
                  <w:pPr>
                    <w:keepNext w:val="0"/>
                    <w:keepLines w:val="0"/>
                    <w:widowControl/>
                    <w:suppressLineNumbers w:val="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0.00</w:t>
                  </w:r>
                  <w:r>
                    <w:rPr>
                      <w:rFonts w:hint="eastAsia" w:cs="Times New Roman"/>
                      <w:i w:val="0"/>
                      <w:iCs w:val="0"/>
                      <w:color w:val="0000FF"/>
                      <w:kern w:val="0"/>
                      <w:sz w:val="21"/>
                      <w:szCs w:val="21"/>
                      <w:u w:val="none"/>
                      <w:lang w:val="en-US" w:eastAsia="zh-CN" w:bidi="ar"/>
                    </w:rPr>
                    <w:t>07</w:t>
                  </w:r>
                </w:p>
              </w:tc>
              <w:tc>
                <w:tcPr>
                  <w:tcW w:w="316" w:type="pct"/>
                  <w:vMerge w:val="continue"/>
                  <w:vAlign w:val="center"/>
                </w:tcPr>
                <w:p w14:paraId="7365DB2A">
                  <w:pPr>
                    <w:keepNext w:val="0"/>
                    <w:keepLines w:val="0"/>
                    <w:suppressLineNumbers w:val="0"/>
                    <w:spacing w:before="0" w:beforeAutospacing="0" w:after="0" w:afterAutospacing="0"/>
                    <w:ind w:left="0" w:right="0"/>
                    <w:jc w:val="center"/>
                    <w:rPr>
                      <w:color w:val="0000FF"/>
                      <w:sz w:val="21"/>
                      <w:szCs w:val="21"/>
                      <w:highlight w:val="none"/>
                    </w:rPr>
                  </w:pPr>
                </w:p>
              </w:tc>
              <w:tc>
                <w:tcPr>
                  <w:tcW w:w="317" w:type="pct"/>
                  <w:vAlign w:val="center"/>
                </w:tcPr>
                <w:p w14:paraId="5A27FEE4">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w:t>
                  </w:r>
                </w:p>
              </w:tc>
              <w:tc>
                <w:tcPr>
                  <w:tcW w:w="315" w:type="pct"/>
                  <w:vMerge w:val="continue"/>
                  <w:vAlign w:val="center"/>
                </w:tcPr>
                <w:p w14:paraId="41CEDA73">
                  <w:pPr>
                    <w:keepNext w:val="0"/>
                    <w:keepLines w:val="0"/>
                    <w:suppressLineNumbers w:val="0"/>
                    <w:spacing w:before="0" w:beforeAutospacing="0" w:after="0" w:afterAutospacing="0"/>
                    <w:ind w:left="0" w:right="0"/>
                    <w:jc w:val="center"/>
                    <w:rPr>
                      <w:color w:val="0000FF"/>
                      <w:sz w:val="21"/>
                      <w:szCs w:val="21"/>
                      <w:highlight w:val="none"/>
                    </w:rPr>
                  </w:pPr>
                </w:p>
              </w:tc>
              <w:tc>
                <w:tcPr>
                  <w:tcW w:w="503" w:type="pct"/>
                  <w:vMerge w:val="continue"/>
                  <w:vAlign w:val="center"/>
                </w:tcPr>
                <w:p w14:paraId="7E37081A">
                  <w:pPr>
                    <w:keepNext w:val="0"/>
                    <w:keepLines w:val="0"/>
                    <w:suppressLineNumbers w:val="0"/>
                    <w:spacing w:before="0" w:beforeAutospacing="0" w:after="0" w:afterAutospacing="0"/>
                    <w:ind w:left="0" w:right="0"/>
                    <w:jc w:val="center"/>
                    <w:rPr>
                      <w:color w:val="0000FF"/>
                      <w:sz w:val="21"/>
                      <w:szCs w:val="21"/>
                      <w:highlight w:val="none"/>
                    </w:rPr>
                  </w:pPr>
                </w:p>
              </w:tc>
              <w:tc>
                <w:tcPr>
                  <w:tcW w:w="503" w:type="pct"/>
                  <w:vAlign w:val="center"/>
                </w:tcPr>
                <w:p w14:paraId="05F748A4">
                  <w:pPr>
                    <w:keepNext w:val="0"/>
                    <w:keepLines w:val="0"/>
                    <w:widowControl/>
                    <w:suppressLineNumbers w:val="0"/>
                    <w:spacing w:before="0" w:beforeAutospacing="0" w:after="0" w:afterAutospacing="0"/>
                    <w:ind w:left="0" w:right="0"/>
                    <w:jc w:val="center"/>
                    <w:textAlignment w:val="center"/>
                    <w:rPr>
                      <w:rFonts w:hint="default" w:eastAsia="宋体"/>
                      <w:color w:val="0000FF"/>
                      <w:sz w:val="21"/>
                      <w:szCs w:val="21"/>
                      <w:highlight w:val="none"/>
                      <w:lang w:val="en-US" w:eastAsia="zh-CN"/>
                    </w:rPr>
                  </w:pPr>
                  <w:r>
                    <w:rPr>
                      <w:rFonts w:hint="eastAsia" w:cs="Times New Roman"/>
                      <w:i w:val="0"/>
                      <w:iCs w:val="0"/>
                      <w:color w:val="0000FF"/>
                      <w:kern w:val="0"/>
                      <w:sz w:val="21"/>
                      <w:szCs w:val="21"/>
                      <w:u w:val="none"/>
                      <w:lang w:val="en-US" w:eastAsia="zh-CN" w:bidi="ar"/>
                    </w:rPr>
                    <w:t>3</w:t>
                  </w:r>
                </w:p>
              </w:tc>
              <w:tc>
                <w:tcPr>
                  <w:tcW w:w="1117" w:type="dxa"/>
                  <w:vAlign w:val="center"/>
                </w:tcPr>
                <w:p w14:paraId="6EC5B36B">
                  <w:pPr>
                    <w:keepNext w:val="0"/>
                    <w:keepLines w:val="0"/>
                    <w:widowControl/>
                    <w:suppressLineNumbers w:val="0"/>
                    <w:jc w:val="center"/>
                    <w:textAlignment w:val="center"/>
                    <w:rPr>
                      <w:rFonts w:hint="default" w:eastAsia="宋体"/>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0.00</w:t>
                  </w:r>
                  <w:r>
                    <w:rPr>
                      <w:rFonts w:hint="eastAsia" w:cs="Times New Roman"/>
                      <w:i w:val="0"/>
                      <w:iCs w:val="0"/>
                      <w:color w:val="0000FF"/>
                      <w:kern w:val="0"/>
                      <w:sz w:val="21"/>
                      <w:szCs w:val="21"/>
                      <w:u w:val="none"/>
                      <w:lang w:val="en-US" w:eastAsia="zh-CN" w:bidi="ar"/>
                    </w:rPr>
                    <w:t>07</w:t>
                  </w:r>
                </w:p>
              </w:tc>
              <w:tc>
                <w:tcPr>
                  <w:tcW w:w="328" w:type="pct"/>
                  <w:vMerge w:val="continue"/>
                  <w:vAlign w:val="center"/>
                </w:tcPr>
                <w:p w14:paraId="62EA92CE">
                  <w:pPr>
                    <w:keepNext w:val="0"/>
                    <w:keepLines w:val="0"/>
                    <w:suppressLineNumbers w:val="0"/>
                    <w:spacing w:before="0" w:beforeAutospacing="0" w:after="0" w:afterAutospacing="0"/>
                    <w:ind w:left="0" w:right="0"/>
                    <w:jc w:val="center"/>
                    <w:rPr>
                      <w:color w:val="0000FF"/>
                      <w:sz w:val="21"/>
                      <w:szCs w:val="21"/>
                      <w:highlight w:val="none"/>
                    </w:rPr>
                  </w:pPr>
                </w:p>
              </w:tc>
            </w:tr>
          </w:tbl>
          <w:p w14:paraId="143F5D24">
            <w:pPr>
              <w:pStyle w:val="7"/>
              <w:pageBreakBefore w:val="0"/>
              <w:widowControl w:val="0"/>
              <w:shd w:val="clear" w:color="auto" w:fill="auto"/>
              <w:kinsoku/>
              <w:wordWrap/>
              <w:overflowPunct/>
              <w:topLinePunct w:val="0"/>
              <w:autoSpaceDE/>
              <w:autoSpaceDN/>
              <w:bidi w:val="0"/>
              <w:adjustRightInd/>
              <w:snapToGrid/>
              <w:spacing w:before="0" w:after="0"/>
              <w:ind w:firstLine="420" w:firstLineChars="20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w:t>
            </w:r>
            <w:r>
              <w:rPr>
                <w:rFonts w:hint="default" w:ascii="Times New Roman" w:hAnsi="Times New Roman" w:eastAsia="宋体" w:cs="Times New Roman"/>
                <w:b w:val="0"/>
                <w:bCs w:val="0"/>
                <w:color w:val="auto"/>
                <w:kern w:val="2"/>
                <w:sz w:val="21"/>
                <w:szCs w:val="21"/>
                <w:highlight w:val="none"/>
                <w:lang w:val="en-US" w:eastAsia="zh-CN" w:bidi="ar-SA"/>
              </w:rPr>
              <w:t>生产废水</w:t>
            </w:r>
          </w:p>
          <w:p w14:paraId="22AED32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0000FF"/>
                <w:sz w:val="21"/>
                <w:szCs w:val="21"/>
                <w:highlight w:val="none"/>
                <w:lang w:val="en-US" w:eastAsia="zh-CN"/>
              </w:rPr>
            </w:pPr>
            <w:r>
              <w:rPr>
                <w:rFonts w:hint="default" w:ascii="Times New Roman" w:hAnsi="Times New Roman" w:cs="Times New Roman"/>
                <w:color w:val="auto"/>
                <w:sz w:val="21"/>
                <w:szCs w:val="21"/>
                <w:highlight w:val="none"/>
                <w:lang w:val="en-US" w:eastAsia="zh-CN"/>
              </w:rPr>
              <w:t>根据本项目水平衡分析，生产废水</w:t>
            </w:r>
            <w:r>
              <w:rPr>
                <w:rFonts w:hint="eastAsia" w:ascii="Times New Roman" w:hAnsi="Times New Roman" w:cs="Times New Roman"/>
                <w:color w:val="auto"/>
                <w:sz w:val="21"/>
                <w:szCs w:val="21"/>
                <w:highlight w:val="none"/>
                <w:lang w:val="en-US" w:eastAsia="zh-CN"/>
              </w:rPr>
              <w:t>977</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eastAsia" w:ascii="Times New Roman" w:hAnsi="Times New Roman" w:eastAsia="宋体" w:cs="Times New Roman"/>
                <w:color w:val="auto"/>
                <w:sz w:val="21"/>
                <w:szCs w:val="21"/>
                <w:highlight w:val="none"/>
                <w:lang w:val="en-US" w:eastAsia="zh-CN"/>
              </w:rPr>
              <w:t>分别为预脱脂</w:t>
            </w:r>
            <w:r>
              <w:rPr>
                <w:rFonts w:hint="default" w:ascii="Times New Roman" w:hAnsi="Times New Roman" w:eastAsia="宋体" w:cs="Times New Roman"/>
                <w:color w:val="auto"/>
                <w:sz w:val="21"/>
                <w:szCs w:val="21"/>
                <w:highlight w:val="none"/>
                <w:lang w:val="en-US" w:eastAsia="zh-CN"/>
              </w:rPr>
              <w:t>废水</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与脱脂后清洗</w:t>
            </w:r>
            <w:r>
              <w:rPr>
                <w:rFonts w:hint="default" w:ascii="Times New Roman" w:hAnsi="Times New Roman" w:eastAsia="宋体" w:cs="Times New Roman"/>
                <w:color w:val="auto"/>
                <w:sz w:val="21"/>
                <w:szCs w:val="21"/>
                <w:highlight w:val="none"/>
                <w:lang w:val="en-US" w:eastAsia="zh-CN"/>
              </w:rPr>
              <w:t>废水</w:t>
            </w:r>
            <w:r>
              <w:rPr>
                <w:rFonts w:hint="eastAsia" w:ascii="Times New Roman" w:hAnsi="Times New Roman" w:eastAsia="宋体" w:cs="Times New Roman"/>
                <w:color w:val="auto"/>
                <w:sz w:val="21"/>
                <w:szCs w:val="21"/>
                <w:highlight w:val="none"/>
                <w:lang w:val="en-US" w:eastAsia="zh-CN"/>
              </w:rPr>
              <w:t>570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皮膜后清洗废水</w:t>
            </w:r>
            <w:r>
              <w:rPr>
                <w:rFonts w:hint="default" w:ascii="Times New Roman" w:hAnsi="Times New Roman" w:eastAsia="宋体" w:cs="Times New Roman"/>
                <w:color w:val="auto"/>
                <w:sz w:val="21"/>
                <w:szCs w:val="21"/>
                <w:highlight w:val="none"/>
                <w:lang w:val="en-US" w:eastAsia="zh-CN"/>
              </w:rPr>
              <w:t>废水</w:t>
            </w:r>
            <w:r>
              <w:rPr>
                <w:rFonts w:hint="eastAsia" w:ascii="Times New Roman" w:hAnsi="Times New Roman" w:eastAsia="宋体" w:cs="Times New Roman"/>
                <w:color w:val="auto"/>
                <w:sz w:val="21"/>
                <w:szCs w:val="21"/>
                <w:highlight w:val="none"/>
                <w:lang w:val="en-US" w:eastAsia="zh-CN"/>
              </w:rPr>
              <w:t>330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生产废水经厂区污水处理站处理达到</w:t>
            </w:r>
            <w:r>
              <w:rPr>
                <w:rFonts w:hint="eastAsia" w:ascii="Times New Roman" w:hAnsi="Times New Roman" w:cs="Times New Roman"/>
                <w:color w:val="auto"/>
                <w:sz w:val="21"/>
                <w:szCs w:val="21"/>
                <w:highlight w:val="none"/>
                <w:lang w:val="en-US" w:eastAsia="zh-CN"/>
              </w:rPr>
              <w:t>李口镇</w:t>
            </w:r>
            <w:r>
              <w:rPr>
                <w:rFonts w:hint="default" w:ascii="Times New Roman" w:hAnsi="Times New Roman" w:cs="Times New Roman"/>
                <w:color w:val="auto"/>
                <w:sz w:val="21"/>
                <w:szCs w:val="21"/>
                <w:highlight w:val="none"/>
                <w:lang w:val="en-US" w:eastAsia="zh-CN"/>
              </w:rPr>
              <w:t>污水处理厂接管标准后，经</w:t>
            </w:r>
            <w:r>
              <w:rPr>
                <w:rFonts w:hint="eastAsia" w:ascii="Times New Roman" w:hAnsi="Times New Roman" w:cs="Times New Roman"/>
                <w:color w:val="auto"/>
                <w:sz w:val="21"/>
                <w:szCs w:val="21"/>
                <w:highlight w:val="none"/>
                <w:lang w:val="en-US" w:eastAsia="zh-CN"/>
              </w:rPr>
              <w:t>园区</w:t>
            </w:r>
            <w:r>
              <w:rPr>
                <w:rFonts w:hint="default" w:ascii="Times New Roman" w:hAnsi="Times New Roman" w:cs="Times New Roman"/>
                <w:color w:val="auto"/>
                <w:sz w:val="21"/>
                <w:szCs w:val="21"/>
                <w:highlight w:val="none"/>
                <w:lang w:val="en-US" w:eastAsia="zh-CN"/>
              </w:rPr>
              <w:t>污水管网排入</w:t>
            </w:r>
            <w:r>
              <w:rPr>
                <w:rFonts w:hint="eastAsia" w:ascii="Times New Roman" w:hAnsi="Times New Roman" w:cs="Times New Roman"/>
                <w:color w:val="auto"/>
                <w:sz w:val="21"/>
                <w:szCs w:val="21"/>
                <w:highlight w:val="none"/>
                <w:lang w:val="en-US" w:eastAsia="zh-CN"/>
              </w:rPr>
              <w:t>李口镇污水处理厂</w:t>
            </w:r>
            <w:r>
              <w:rPr>
                <w:rFonts w:hint="default" w:ascii="Times New Roman" w:hAnsi="Times New Roman" w:cs="Times New Roman"/>
                <w:color w:val="auto"/>
                <w:sz w:val="21"/>
                <w:szCs w:val="21"/>
                <w:highlight w:val="none"/>
                <w:lang w:val="en-US" w:eastAsia="zh-CN"/>
              </w:rPr>
              <w:t>深度处理，尾水排入</w:t>
            </w:r>
            <w:r>
              <w:rPr>
                <w:rFonts w:hint="eastAsia" w:cs="Times New Roman"/>
                <w:color w:val="auto"/>
                <w:sz w:val="21"/>
                <w:szCs w:val="21"/>
                <w:highlight w:val="none"/>
                <w:lang w:val="en-US" w:eastAsia="zh-CN"/>
              </w:rPr>
              <w:t>其葛河</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类比现有项目各类废水产生浓度，本项目各类废水各</w:t>
            </w:r>
            <w:r>
              <w:rPr>
                <w:rFonts w:hint="eastAsia" w:cs="Times New Roman"/>
                <w:color w:val="0000FF"/>
                <w:sz w:val="21"/>
                <w:szCs w:val="21"/>
                <w:highlight w:val="none"/>
                <w:lang w:val="en-US" w:eastAsia="zh-CN"/>
              </w:rPr>
              <w:t>污染物浓度如下表。</w:t>
            </w:r>
          </w:p>
          <w:p w14:paraId="5E2F2BDD">
            <w:pPr>
              <w:spacing w:line="300" w:lineRule="auto"/>
              <w:ind w:firstLine="422" w:firstLineChars="200"/>
              <w:jc w:val="center"/>
              <w:rPr>
                <w:rFonts w:hint="eastAsia" w:ascii="Times New Roman" w:hAnsi="Times New Roman" w:eastAsia="宋体" w:cs="Times New Roman"/>
                <w:b/>
                <w:bCs/>
                <w:color w:val="0000FF"/>
                <w:kern w:val="0"/>
                <w:sz w:val="21"/>
                <w:szCs w:val="16"/>
                <w:highlight w:val="none"/>
                <w:lang w:val="en-US" w:eastAsia="zh-CN" w:bidi="ar-SA"/>
              </w:rPr>
            </w:pPr>
            <w:r>
              <w:rPr>
                <w:rFonts w:hint="eastAsia" w:ascii="Times New Roman" w:hAnsi="Times New Roman" w:eastAsia="宋体" w:cs="Times New Roman"/>
                <w:b/>
                <w:bCs/>
                <w:color w:val="0000FF"/>
                <w:kern w:val="0"/>
                <w:sz w:val="21"/>
                <w:szCs w:val="16"/>
                <w:highlight w:val="none"/>
                <w:lang w:val="en-US" w:eastAsia="zh-CN" w:bidi="ar-SA"/>
              </w:rPr>
              <w:t>表4</w:t>
            </w:r>
            <w:r>
              <w:rPr>
                <w:rFonts w:hint="eastAsia" w:cs="Times New Roman"/>
                <w:b/>
                <w:bCs/>
                <w:color w:val="0000FF"/>
                <w:kern w:val="0"/>
                <w:sz w:val="21"/>
                <w:szCs w:val="16"/>
                <w:highlight w:val="none"/>
                <w:lang w:val="en-US" w:eastAsia="zh-CN" w:bidi="ar-SA"/>
              </w:rPr>
              <w:t>-18</w:t>
            </w:r>
            <w:r>
              <w:rPr>
                <w:rFonts w:hint="eastAsia" w:ascii="Times New Roman" w:hAnsi="Times New Roman" w:eastAsia="宋体" w:cs="Times New Roman"/>
                <w:b/>
                <w:bCs/>
                <w:color w:val="0000FF"/>
                <w:kern w:val="0"/>
                <w:sz w:val="21"/>
                <w:szCs w:val="16"/>
                <w:highlight w:val="none"/>
                <w:lang w:val="en-US" w:eastAsia="zh-CN" w:bidi="ar-SA"/>
              </w:rPr>
              <w:t xml:space="preserve"> 本项目生产废水产生</w:t>
            </w:r>
            <w:r>
              <w:rPr>
                <w:rFonts w:hint="eastAsia" w:cs="Times New Roman"/>
                <w:b/>
                <w:bCs/>
                <w:color w:val="0000FF"/>
                <w:kern w:val="0"/>
                <w:sz w:val="21"/>
                <w:szCs w:val="16"/>
                <w:highlight w:val="none"/>
                <w:lang w:val="en-US" w:eastAsia="zh-CN" w:bidi="ar-SA"/>
              </w:rPr>
              <w:t>排放</w:t>
            </w:r>
            <w:r>
              <w:rPr>
                <w:rFonts w:hint="eastAsia" w:ascii="Times New Roman" w:hAnsi="Times New Roman" w:eastAsia="宋体" w:cs="Times New Roman"/>
                <w:b/>
                <w:bCs/>
                <w:color w:val="0000FF"/>
                <w:kern w:val="0"/>
                <w:sz w:val="21"/>
                <w:szCs w:val="16"/>
                <w:highlight w:val="none"/>
                <w:lang w:val="en-US" w:eastAsia="zh-CN" w:bidi="ar-SA"/>
              </w:rPr>
              <w:t>情况</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28" w:type="dxa"/>
                <w:bottom w:w="0" w:type="dxa"/>
                <w:right w:w="28" w:type="dxa"/>
              </w:tblCellMar>
            </w:tblPr>
            <w:tblGrid>
              <w:gridCol w:w="840"/>
              <w:gridCol w:w="840"/>
              <w:gridCol w:w="840"/>
              <w:gridCol w:w="840"/>
              <w:gridCol w:w="972"/>
              <w:gridCol w:w="708"/>
              <w:gridCol w:w="762"/>
              <w:gridCol w:w="918"/>
              <w:gridCol w:w="840"/>
              <w:gridCol w:w="840"/>
              <w:gridCol w:w="762"/>
              <w:gridCol w:w="918"/>
              <w:gridCol w:w="840"/>
              <w:gridCol w:w="942"/>
              <w:gridCol w:w="740"/>
            </w:tblGrid>
            <w:tr w14:paraId="13F109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40" w:hRule="atLeast"/>
                <w:jc w:val="center"/>
              </w:trPr>
              <w:tc>
                <w:tcPr>
                  <w:tcW w:w="840" w:type="dxa"/>
                  <w:vMerge w:val="restart"/>
                  <w:tcBorders>
                    <w:tl2br w:val="nil"/>
                    <w:tr2bl w:val="nil"/>
                  </w:tcBorders>
                  <w:shd w:val="clear" w:color="auto" w:fill="auto"/>
                  <w:vAlign w:val="center"/>
                </w:tcPr>
                <w:p w14:paraId="7852A87E">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废水名称</w:t>
                  </w:r>
                </w:p>
              </w:tc>
              <w:tc>
                <w:tcPr>
                  <w:tcW w:w="840" w:type="dxa"/>
                  <w:vMerge w:val="restart"/>
                  <w:tcBorders>
                    <w:tl2br w:val="nil"/>
                    <w:tr2bl w:val="nil"/>
                  </w:tcBorders>
                  <w:shd w:val="clear" w:color="auto" w:fill="auto"/>
                  <w:vAlign w:val="center"/>
                </w:tcPr>
                <w:p w14:paraId="52454DF4">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废水产生量（</w:t>
                  </w:r>
                  <w:r>
                    <w:rPr>
                      <w:rFonts w:hint="default" w:ascii="Times New Roman" w:hAnsi="Times New Roman" w:eastAsia="宋体" w:cs="Times New Roman"/>
                      <w:b/>
                      <w:bCs/>
                      <w:i w:val="0"/>
                      <w:iCs w:val="0"/>
                      <w:color w:val="0000FF"/>
                      <w:kern w:val="0"/>
                      <w:sz w:val="21"/>
                      <w:szCs w:val="21"/>
                      <w:u w:val="none"/>
                      <w:lang w:val="en-US" w:eastAsia="zh-CN" w:bidi="ar"/>
                    </w:rPr>
                    <w:t>m</w:t>
                  </w:r>
                  <w:r>
                    <w:rPr>
                      <w:rStyle w:val="134"/>
                      <w:rFonts w:eastAsia="宋体"/>
                      <w:color w:val="0000FF"/>
                      <w:lang w:val="en-US" w:eastAsia="zh-CN" w:bidi="ar"/>
                    </w:rPr>
                    <w:t>3</w:t>
                  </w:r>
                  <w:r>
                    <w:rPr>
                      <w:rFonts w:hint="default" w:ascii="Times New Roman" w:hAnsi="Times New Roman" w:eastAsia="宋体" w:cs="Times New Roman"/>
                      <w:b/>
                      <w:bCs/>
                      <w:i w:val="0"/>
                      <w:iCs w:val="0"/>
                      <w:color w:val="0000FF"/>
                      <w:kern w:val="0"/>
                      <w:sz w:val="21"/>
                      <w:szCs w:val="21"/>
                      <w:u w:val="none"/>
                      <w:lang w:val="en-US" w:eastAsia="zh-CN" w:bidi="ar"/>
                    </w:rPr>
                    <w:t>/a</w:t>
                  </w:r>
                  <w:r>
                    <w:rPr>
                      <w:rFonts w:hint="eastAsia" w:ascii="宋体" w:hAnsi="宋体" w:eastAsia="宋体" w:cs="宋体"/>
                      <w:b/>
                      <w:bCs/>
                      <w:i w:val="0"/>
                      <w:iCs w:val="0"/>
                      <w:color w:val="0000FF"/>
                      <w:kern w:val="0"/>
                      <w:sz w:val="21"/>
                      <w:szCs w:val="21"/>
                      <w:u w:val="none"/>
                      <w:lang w:val="en-US" w:eastAsia="zh-CN" w:bidi="ar"/>
                    </w:rPr>
                    <w:t>）</w:t>
                  </w:r>
                </w:p>
              </w:tc>
              <w:tc>
                <w:tcPr>
                  <w:tcW w:w="840" w:type="dxa"/>
                  <w:vMerge w:val="restart"/>
                  <w:tcBorders>
                    <w:tl2br w:val="nil"/>
                    <w:tr2bl w:val="nil"/>
                  </w:tcBorders>
                  <w:shd w:val="clear" w:color="auto" w:fill="auto"/>
                  <w:vAlign w:val="center"/>
                </w:tcPr>
                <w:p w14:paraId="323484B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污染物名称</w:t>
                  </w:r>
                </w:p>
              </w:tc>
              <w:tc>
                <w:tcPr>
                  <w:tcW w:w="1812" w:type="dxa"/>
                  <w:gridSpan w:val="2"/>
                  <w:tcBorders>
                    <w:tl2br w:val="nil"/>
                    <w:tr2bl w:val="nil"/>
                  </w:tcBorders>
                  <w:shd w:val="clear" w:color="auto" w:fill="auto"/>
                  <w:vAlign w:val="center"/>
                </w:tcPr>
                <w:p w14:paraId="66129C10">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污染物产生量</w:t>
                  </w:r>
                </w:p>
              </w:tc>
              <w:tc>
                <w:tcPr>
                  <w:tcW w:w="708" w:type="dxa"/>
                  <w:vMerge w:val="restart"/>
                  <w:tcBorders>
                    <w:tl2br w:val="nil"/>
                    <w:tr2bl w:val="nil"/>
                  </w:tcBorders>
                  <w:shd w:val="clear" w:color="auto" w:fill="auto"/>
                  <w:vAlign w:val="center"/>
                </w:tcPr>
                <w:p w14:paraId="630102A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混合后生产废水量（</w:t>
                  </w:r>
                  <w:r>
                    <w:rPr>
                      <w:rFonts w:hint="default" w:ascii="Times New Roman" w:hAnsi="Times New Roman" w:eastAsia="宋体" w:cs="Times New Roman"/>
                      <w:b/>
                      <w:bCs/>
                      <w:i w:val="0"/>
                      <w:iCs w:val="0"/>
                      <w:color w:val="0000FF"/>
                      <w:kern w:val="0"/>
                      <w:sz w:val="21"/>
                      <w:szCs w:val="21"/>
                      <w:u w:val="none"/>
                      <w:lang w:val="en-US" w:eastAsia="zh-CN" w:bidi="ar"/>
                    </w:rPr>
                    <w:t>m</w:t>
                  </w:r>
                  <w:r>
                    <w:rPr>
                      <w:rStyle w:val="134"/>
                      <w:rFonts w:eastAsia="宋体"/>
                      <w:color w:val="0000FF"/>
                      <w:lang w:val="en-US" w:eastAsia="zh-CN" w:bidi="ar"/>
                    </w:rPr>
                    <w:t>3</w:t>
                  </w:r>
                  <w:r>
                    <w:rPr>
                      <w:rFonts w:hint="default" w:ascii="Times New Roman" w:hAnsi="Times New Roman" w:eastAsia="宋体" w:cs="Times New Roman"/>
                      <w:b/>
                      <w:bCs/>
                      <w:i w:val="0"/>
                      <w:iCs w:val="0"/>
                      <w:color w:val="0000FF"/>
                      <w:kern w:val="0"/>
                      <w:sz w:val="21"/>
                      <w:szCs w:val="21"/>
                      <w:u w:val="none"/>
                      <w:lang w:val="en-US" w:eastAsia="zh-CN" w:bidi="ar"/>
                    </w:rPr>
                    <w:t>/a</w:t>
                  </w:r>
                  <w:r>
                    <w:rPr>
                      <w:rFonts w:hint="eastAsia" w:ascii="宋体" w:hAnsi="宋体" w:eastAsia="宋体" w:cs="宋体"/>
                      <w:b/>
                      <w:bCs/>
                      <w:i w:val="0"/>
                      <w:iCs w:val="0"/>
                      <w:color w:val="0000FF"/>
                      <w:kern w:val="0"/>
                      <w:sz w:val="21"/>
                      <w:szCs w:val="21"/>
                      <w:u w:val="none"/>
                      <w:lang w:val="en-US" w:eastAsia="zh-CN" w:bidi="ar"/>
                    </w:rPr>
                    <w:t>）</w:t>
                  </w:r>
                </w:p>
              </w:tc>
              <w:tc>
                <w:tcPr>
                  <w:tcW w:w="2520" w:type="dxa"/>
                  <w:gridSpan w:val="3"/>
                  <w:tcBorders>
                    <w:tl2br w:val="nil"/>
                    <w:tr2bl w:val="nil"/>
                  </w:tcBorders>
                  <w:shd w:val="clear" w:color="auto" w:fill="auto"/>
                  <w:vAlign w:val="center"/>
                </w:tcPr>
                <w:p w14:paraId="7FEF571F">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cs="宋体"/>
                      <w:b/>
                      <w:bCs/>
                      <w:i w:val="0"/>
                      <w:iCs w:val="0"/>
                      <w:color w:val="0000FF"/>
                      <w:kern w:val="0"/>
                      <w:sz w:val="21"/>
                      <w:szCs w:val="21"/>
                      <w:u w:val="none"/>
                      <w:lang w:val="en-US" w:eastAsia="zh-CN" w:bidi="ar"/>
                    </w:rPr>
                    <w:t>混合</w:t>
                  </w:r>
                  <w:r>
                    <w:rPr>
                      <w:rFonts w:hint="eastAsia" w:ascii="宋体" w:hAnsi="宋体" w:eastAsia="宋体" w:cs="宋体"/>
                      <w:b/>
                      <w:bCs/>
                      <w:i w:val="0"/>
                      <w:iCs w:val="0"/>
                      <w:color w:val="0000FF"/>
                      <w:kern w:val="0"/>
                      <w:sz w:val="21"/>
                      <w:szCs w:val="21"/>
                      <w:u w:val="none"/>
                      <w:lang w:val="en-US" w:eastAsia="zh-CN" w:bidi="ar"/>
                    </w:rPr>
                    <w:t>后污染物</w:t>
                  </w:r>
                  <w:r>
                    <w:rPr>
                      <w:rFonts w:hint="eastAsia" w:ascii="宋体" w:hAnsi="宋体" w:cs="宋体"/>
                      <w:b/>
                      <w:bCs/>
                      <w:i w:val="0"/>
                      <w:iCs w:val="0"/>
                      <w:color w:val="0000FF"/>
                      <w:kern w:val="0"/>
                      <w:sz w:val="21"/>
                      <w:szCs w:val="21"/>
                      <w:u w:val="none"/>
                      <w:lang w:val="en-US" w:eastAsia="zh-CN" w:bidi="ar"/>
                    </w:rPr>
                    <w:t>产生</w:t>
                  </w:r>
                  <w:r>
                    <w:rPr>
                      <w:rFonts w:hint="eastAsia" w:ascii="宋体" w:hAnsi="宋体" w:eastAsia="宋体" w:cs="宋体"/>
                      <w:b/>
                      <w:bCs/>
                      <w:i w:val="0"/>
                      <w:iCs w:val="0"/>
                      <w:color w:val="0000FF"/>
                      <w:kern w:val="0"/>
                      <w:sz w:val="21"/>
                      <w:szCs w:val="21"/>
                      <w:u w:val="none"/>
                      <w:lang w:val="en-US" w:eastAsia="zh-CN" w:bidi="ar"/>
                    </w:rPr>
                    <w:t>情况</w:t>
                  </w:r>
                </w:p>
              </w:tc>
              <w:tc>
                <w:tcPr>
                  <w:tcW w:w="840" w:type="dxa"/>
                  <w:vMerge w:val="restart"/>
                  <w:tcBorders>
                    <w:tl2br w:val="nil"/>
                    <w:tr2bl w:val="nil"/>
                  </w:tcBorders>
                  <w:shd w:val="clear" w:color="auto" w:fill="auto"/>
                  <w:vAlign w:val="center"/>
                </w:tcPr>
                <w:p w14:paraId="1491C026">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处理措施</w:t>
                  </w:r>
                </w:p>
              </w:tc>
              <w:tc>
                <w:tcPr>
                  <w:tcW w:w="762" w:type="dxa"/>
                  <w:vMerge w:val="restart"/>
                  <w:tcBorders>
                    <w:tl2br w:val="nil"/>
                    <w:tr2bl w:val="nil"/>
                  </w:tcBorders>
                  <w:shd w:val="clear" w:color="auto" w:fill="auto"/>
                  <w:vAlign w:val="center"/>
                </w:tcPr>
                <w:p w14:paraId="638D4A25">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lang w:val="en-US"/>
                    </w:rPr>
                  </w:pPr>
                  <w:r>
                    <w:rPr>
                      <w:rFonts w:hint="eastAsia" w:ascii="宋体" w:hAnsi="宋体" w:cs="宋体"/>
                      <w:b/>
                      <w:bCs/>
                      <w:i w:val="0"/>
                      <w:iCs w:val="0"/>
                      <w:color w:val="0000FF"/>
                      <w:kern w:val="0"/>
                      <w:sz w:val="21"/>
                      <w:szCs w:val="21"/>
                      <w:u w:val="none"/>
                      <w:lang w:val="en-US" w:eastAsia="zh-CN" w:bidi="ar"/>
                    </w:rPr>
                    <w:t>出去效率%</w:t>
                  </w:r>
                </w:p>
              </w:tc>
              <w:tc>
                <w:tcPr>
                  <w:tcW w:w="1758" w:type="dxa"/>
                  <w:gridSpan w:val="2"/>
                  <w:tcBorders>
                    <w:tl2br w:val="nil"/>
                    <w:tr2bl w:val="nil"/>
                  </w:tcBorders>
                  <w:shd w:val="clear" w:color="auto" w:fill="auto"/>
                  <w:vAlign w:val="center"/>
                </w:tcPr>
                <w:p w14:paraId="64B44968">
                  <w:pPr>
                    <w:keepNext w:val="0"/>
                    <w:keepLines w:val="0"/>
                    <w:widowControl/>
                    <w:suppressLineNumbers w:val="0"/>
                    <w:jc w:val="center"/>
                    <w:textAlignment w:val="center"/>
                    <w:rPr>
                      <w:rFonts w:hint="eastAsia" w:ascii="宋体" w:hAnsi="宋体" w:eastAsia="宋体" w:cs="宋体"/>
                      <w:b/>
                      <w:bCs/>
                      <w:i w:val="0"/>
                      <w:iCs w:val="0"/>
                      <w:color w:val="0000FF"/>
                      <w:kern w:val="0"/>
                      <w:sz w:val="21"/>
                      <w:szCs w:val="21"/>
                      <w:u w:val="none"/>
                      <w:lang w:val="en-US" w:eastAsia="zh-CN" w:bidi="ar"/>
                    </w:rPr>
                  </w:pPr>
                  <w:r>
                    <w:rPr>
                      <w:rFonts w:hint="eastAsia" w:ascii="宋体" w:hAnsi="宋体" w:eastAsia="宋体" w:cs="宋体"/>
                      <w:b/>
                      <w:bCs/>
                      <w:i w:val="0"/>
                      <w:iCs w:val="0"/>
                      <w:color w:val="0000FF"/>
                      <w:kern w:val="0"/>
                      <w:sz w:val="21"/>
                      <w:szCs w:val="21"/>
                      <w:u w:val="none"/>
                      <w:lang w:val="en-US" w:eastAsia="zh-CN" w:bidi="ar"/>
                    </w:rPr>
                    <w:t>处理后废水排放情况</w:t>
                  </w:r>
                </w:p>
              </w:tc>
              <w:tc>
                <w:tcPr>
                  <w:tcW w:w="942" w:type="dxa"/>
                  <w:vMerge w:val="restart"/>
                  <w:tcBorders>
                    <w:tl2br w:val="nil"/>
                    <w:tr2bl w:val="nil"/>
                  </w:tcBorders>
                  <w:shd w:val="clear" w:color="auto" w:fill="auto"/>
                  <w:vAlign w:val="center"/>
                </w:tcPr>
                <w:p w14:paraId="046C51AE">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标准限值（</w:t>
                  </w:r>
                  <w:r>
                    <w:rPr>
                      <w:rFonts w:hint="default" w:ascii="Times New Roman" w:hAnsi="Times New Roman" w:eastAsia="宋体" w:cs="Times New Roman"/>
                      <w:b/>
                      <w:bCs/>
                      <w:i w:val="0"/>
                      <w:iCs w:val="0"/>
                      <w:color w:val="0000FF"/>
                      <w:kern w:val="0"/>
                      <w:sz w:val="21"/>
                      <w:szCs w:val="21"/>
                      <w:u w:val="none"/>
                      <w:lang w:val="en-US" w:eastAsia="zh-CN" w:bidi="ar"/>
                    </w:rPr>
                    <w:t>mg/L</w:t>
                  </w:r>
                  <w:r>
                    <w:rPr>
                      <w:rFonts w:hint="eastAsia" w:ascii="宋体" w:hAnsi="宋体" w:eastAsia="宋体" w:cs="宋体"/>
                      <w:b/>
                      <w:bCs/>
                      <w:i w:val="0"/>
                      <w:iCs w:val="0"/>
                      <w:color w:val="0000FF"/>
                      <w:kern w:val="0"/>
                      <w:sz w:val="21"/>
                      <w:szCs w:val="21"/>
                      <w:u w:val="none"/>
                      <w:lang w:val="en-US" w:eastAsia="zh-CN" w:bidi="ar"/>
                    </w:rPr>
                    <w:t>）</w:t>
                  </w:r>
                </w:p>
              </w:tc>
              <w:tc>
                <w:tcPr>
                  <w:tcW w:w="740" w:type="dxa"/>
                  <w:vMerge w:val="restart"/>
                  <w:tcBorders>
                    <w:tl2br w:val="nil"/>
                    <w:tr2bl w:val="nil"/>
                  </w:tcBorders>
                  <w:shd w:val="clear" w:color="auto" w:fill="auto"/>
                  <w:vAlign w:val="center"/>
                </w:tcPr>
                <w:p w14:paraId="7C7C22DC">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排放方式与去向</w:t>
                  </w:r>
                </w:p>
              </w:tc>
            </w:tr>
            <w:tr w14:paraId="34147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7AAF48CB">
                  <w:pPr>
                    <w:jc w:val="center"/>
                    <w:rPr>
                      <w:rFonts w:hint="default" w:ascii="Times New Roman" w:hAnsi="Times New Roman" w:eastAsia="宋体" w:cs="Times New Roman"/>
                      <w:b/>
                      <w:bCs/>
                      <w:i w:val="0"/>
                      <w:iCs w:val="0"/>
                      <w:color w:val="0000FF"/>
                      <w:sz w:val="21"/>
                      <w:szCs w:val="21"/>
                      <w:u w:val="none"/>
                    </w:rPr>
                  </w:pPr>
                </w:p>
              </w:tc>
              <w:tc>
                <w:tcPr>
                  <w:tcW w:w="840" w:type="dxa"/>
                  <w:vMerge w:val="continue"/>
                  <w:tcBorders>
                    <w:tl2br w:val="nil"/>
                    <w:tr2bl w:val="nil"/>
                  </w:tcBorders>
                  <w:shd w:val="clear" w:color="auto" w:fill="auto"/>
                  <w:vAlign w:val="center"/>
                </w:tcPr>
                <w:p w14:paraId="4CA8BFF2">
                  <w:pPr>
                    <w:jc w:val="center"/>
                    <w:rPr>
                      <w:rFonts w:hint="default" w:ascii="Times New Roman" w:hAnsi="Times New Roman" w:eastAsia="宋体" w:cs="Times New Roman"/>
                      <w:b/>
                      <w:bCs/>
                      <w:i w:val="0"/>
                      <w:iCs w:val="0"/>
                      <w:color w:val="0000FF"/>
                      <w:sz w:val="21"/>
                      <w:szCs w:val="21"/>
                      <w:u w:val="none"/>
                    </w:rPr>
                  </w:pPr>
                </w:p>
              </w:tc>
              <w:tc>
                <w:tcPr>
                  <w:tcW w:w="840" w:type="dxa"/>
                  <w:vMerge w:val="continue"/>
                  <w:tcBorders>
                    <w:tl2br w:val="nil"/>
                    <w:tr2bl w:val="nil"/>
                  </w:tcBorders>
                  <w:shd w:val="clear" w:color="auto" w:fill="auto"/>
                  <w:vAlign w:val="center"/>
                </w:tcPr>
                <w:p w14:paraId="7C40F6BD">
                  <w:pPr>
                    <w:jc w:val="center"/>
                    <w:rPr>
                      <w:rFonts w:hint="default" w:ascii="Times New Roman" w:hAnsi="Times New Roman" w:eastAsia="宋体" w:cs="Times New Roman"/>
                      <w:b/>
                      <w:bCs/>
                      <w:i w:val="0"/>
                      <w:iCs w:val="0"/>
                      <w:color w:val="0000FF"/>
                      <w:sz w:val="21"/>
                      <w:szCs w:val="21"/>
                      <w:u w:val="none"/>
                    </w:rPr>
                  </w:pPr>
                </w:p>
              </w:tc>
              <w:tc>
                <w:tcPr>
                  <w:tcW w:w="840" w:type="dxa"/>
                  <w:tcBorders>
                    <w:tl2br w:val="nil"/>
                    <w:tr2bl w:val="nil"/>
                  </w:tcBorders>
                  <w:shd w:val="clear" w:color="auto" w:fill="auto"/>
                  <w:vAlign w:val="center"/>
                </w:tcPr>
                <w:p w14:paraId="6CC4E658">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浓度（</w:t>
                  </w:r>
                  <w:r>
                    <w:rPr>
                      <w:rFonts w:hint="default" w:ascii="Times New Roman" w:hAnsi="Times New Roman" w:eastAsia="宋体" w:cs="Times New Roman"/>
                      <w:b/>
                      <w:bCs/>
                      <w:i w:val="0"/>
                      <w:iCs w:val="0"/>
                      <w:color w:val="0000FF"/>
                      <w:kern w:val="0"/>
                      <w:sz w:val="21"/>
                      <w:szCs w:val="21"/>
                      <w:u w:val="none"/>
                      <w:lang w:val="en-US" w:eastAsia="zh-CN" w:bidi="ar"/>
                    </w:rPr>
                    <w:t>mg/L</w:t>
                  </w:r>
                  <w:r>
                    <w:rPr>
                      <w:rFonts w:hint="eastAsia" w:ascii="宋体" w:hAnsi="宋体" w:eastAsia="宋体" w:cs="宋体"/>
                      <w:b/>
                      <w:bCs/>
                      <w:i w:val="0"/>
                      <w:iCs w:val="0"/>
                      <w:color w:val="0000FF"/>
                      <w:kern w:val="0"/>
                      <w:sz w:val="21"/>
                      <w:szCs w:val="21"/>
                      <w:u w:val="none"/>
                      <w:lang w:val="en-US" w:eastAsia="zh-CN" w:bidi="ar"/>
                    </w:rPr>
                    <w:t>）</w:t>
                  </w:r>
                </w:p>
              </w:tc>
              <w:tc>
                <w:tcPr>
                  <w:tcW w:w="972" w:type="dxa"/>
                  <w:tcBorders>
                    <w:tl2br w:val="nil"/>
                    <w:tr2bl w:val="nil"/>
                  </w:tcBorders>
                  <w:shd w:val="clear" w:color="auto" w:fill="auto"/>
                  <w:vAlign w:val="center"/>
                </w:tcPr>
                <w:p w14:paraId="3526E7F0">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产生量（</w:t>
                  </w:r>
                  <w:r>
                    <w:rPr>
                      <w:rFonts w:hint="default" w:ascii="Times New Roman" w:hAnsi="Times New Roman" w:eastAsia="宋体" w:cs="Times New Roman"/>
                      <w:b/>
                      <w:bCs/>
                      <w:i w:val="0"/>
                      <w:iCs w:val="0"/>
                      <w:color w:val="0000FF"/>
                      <w:kern w:val="0"/>
                      <w:sz w:val="21"/>
                      <w:szCs w:val="21"/>
                      <w:u w:val="none"/>
                      <w:lang w:val="en-US" w:eastAsia="zh-CN" w:bidi="ar"/>
                    </w:rPr>
                    <w:t>t/a</w:t>
                  </w:r>
                  <w:r>
                    <w:rPr>
                      <w:rFonts w:hint="eastAsia" w:ascii="宋体" w:hAnsi="宋体" w:eastAsia="宋体" w:cs="宋体"/>
                      <w:b/>
                      <w:bCs/>
                      <w:i w:val="0"/>
                      <w:iCs w:val="0"/>
                      <w:color w:val="0000FF"/>
                      <w:kern w:val="0"/>
                      <w:sz w:val="21"/>
                      <w:szCs w:val="21"/>
                      <w:u w:val="none"/>
                      <w:lang w:val="en-US" w:eastAsia="zh-CN" w:bidi="ar"/>
                    </w:rPr>
                    <w:t>）</w:t>
                  </w:r>
                </w:p>
              </w:tc>
              <w:tc>
                <w:tcPr>
                  <w:tcW w:w="708" w:type="dxa"/>
                  <w:vMerge w:val="continue"/>
                  <w:tcBorders>
                    <w:tl2br w:val="nil"/>
                    <w:tr2bl w:val="nil"/>
                  </w:tcBorders>
                  <w:shd w:val="clear" w:color="auto" w:fill="auto"/>
                  <w:vAlign w:val="center"/>
                </w:tcPr>
                <w:p w14:paraId="626D82B8">
                  <w:pPr>
                    <w:jc w:val="center"/>
                    <w:rPr>
                      <w:rFonts w:hint="default" w:ascii="Times New Roman" w:hAnsi="Times New Roman" w:eastAsia="宋体" w:cs="Times New Roman"/>
                      <w:b/>
                      <w:bCs/>
                      <w:i w:val="0"/>
                      <w:iCs w:val="0"/>
                      <w:color w:val="0000FF"/>
                      <w:sz w:val="21"/>
                      <w:szCs w:val="21"/>
                      <w:u w:val="none"/>
                    </w:rPr>
                  </w:pPr>
                </w:p>
              </w:tc>
              <w:tc>
                <w:tcPr>
                  <w:tcW w:w="762" w:type="dxa"/>
                  <w:tcBorders>
                    <w:tl2br w:val="nil"/>
                    <w:tr2bl w:val="nil"/>
                  </w:tcBorders>
                  <w:shd w:val="clear" w:color="auto" w:fill="auto"/>
                  <w:vAlign w:val="center"/>
                </w:tcPr>
                <w:p w14:paraId="3B8ACAE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污染物名称</w:t>
                  </w:r>
                </w:p>
              </w:tc>
              <w:tc>
                <w:tcPr>
                  <w:tcW w:w="918" w:type="dxa"/>
                  <w:tcBorders>
                    <w:tl2br w:val="nil"/>
                    <w:tr2bl w:val="nil"/>
                  </w:tcBorders>
                  <w:shd w:val="clear" w:color="auto" w:fill="auto"/>
                  <w:vAlign w:val="center"/>
                </w:tcPr>
                <w:p w14:paraId="7A6B3656">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浓度（</w:t>
                  </w:r>
                  <w:r>
                    <w:rPr>
                      <w:rFonts w:hint="default" w:ascii="Times New Roman" w:hAnsi="Times New Roman" w:eastAsia="宋体" w:cs="Times New Roman"/>
                      <w:b/>
                      <w:bCs/>
                      <w:i w:val="0"/>
                      <w:iCs w:val="0"/>
                      <w:color w:val="0000FF"/>
                      <w:kern w:val="0"/>
                      <w:sz w:val="21"/>
                      <w:szCs w:val="21"/>
                      <w:u w:val="none"/>
                      <w:lang w:val="en-US" w:eastAsia="zh-CN" w:bidi="ar"/>
                    </w:rPr>
                    <w:t>mg/L</w:t>
                  </w:r>
                  <w:r>
                    <w:rPr>
                      <w:rFonts w:hint="eastAsia" w:ascii="宋体" w:hAnsi="宋体" w:eastAsia="宋体" w:cs="宋体"/>
                      <w:b/>
                      <w:bCs/>
                      <w:i w:val="0"/>
                      <w:iCs w:val="0"/>
                      <w:color w:val="0000FF"/>
                      <w:kern w:val="0"/>
                      <w:sz w:val="21"/>
                      <w:szCs w:val="21"/>
                      <w:u w:val="none"/>
                      <w:lang w:val="en-US" w:eastAsia="zh-CN" w:bidi="ar"/>
                    </w:rPr>
                    <w:t>）</w:t>
                  </w:r>
                </w:p>
              </w:tc>
              <w:tc>
                <w:tcPr>
                  <w:tcW w:w="840" w:type="dxa"/>
                  <w:tcBorders>
                    <w:tl2br w:val="nil"/>
                    <w:tr2bl w:val="nil"/>
                  </w:tcBorders>
                  <w:shd w:val="clear" w:color="auto" w:fill="auto"/>
                  <w:vAlign w:val="center"/>
                </w:tcPr>
                <w:p w14:paraId="4A0824C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排放量（</w:t>
                  </w:r>
                  <w:r>
                    <w:rPr>
                      <w:rFonts w:hint="default" w:ascii="Times New Roman" w:hAnsi="Times New Roman" w:eastAsia="宋体" w:cs="Times New Roman"/>
                      <w:b/>
                      <w:bCs/>
                      <w:i w:val="0"/>
                      <w:iCs w:val="0"/>
                      <w:color w:val="0000FF"/>
                      <w:kern w:val="0"/>
                      <w:sz w:val="21"/>
                      <w:szCs w:val="21"/>
                      <w:u w:val="none"/>
                      <w:lang w:val="en-US" w:eastAsia="zh-CN" w:bidi="ar"/>
                    </w:rPr>
                    <w:t>t/a</w:t>
                  </w:r>
                  <w:r>
                    <w:rPr>
                      <w:rFonts w:hint="eastAsia" w:ascii="宋体" w:hAnsi="宋体" w:eastAsia="宋体" w:cs="宋体"/>
                      <w:b/>
                      <w:bCs/>
                      <w:i w:val="0"/>
                      <w:iCs w:val="0"/>
                      <w:color w:val="0000FF"/>
                      <w:kern w:val="0"/>
                      <w:sz w:val="21"/>
                      <w:szCs w:val="21"/>
                      <w:u w:val="none"/>
                      <w:lang w:val="en-US" w:eastAsia="zh-CN" w:bidi="ar"/>
                    </w:rPr>
                    <w:t>）</w:t>
                  </w:r>
                </w:p>
              </w:tc>
              <w:tc>
                <w:tcPr>
                  <w:tcW w:w="840" w:type="dxa"/>
                  <w:vMerge w:val="continue"/>
                  <w:tcBorders>
                    <w:tl2br w:val="nil"/>
                    <w:tr2bl w:val="nil"/>
                  </w:tcBorders>
                  <w:shd w:val="clear" w:color="auto" w:fill="auto"/>
                  <w:vAlign w:val="center"/>
                </w:tcPr>
                <w:p w14:paraId="68C6782B">
                  <w:pPr>
                    <w:jc w:val="center"/>
                    <w:rPr>
                      <w:rFonts w:hint="default" w:ascii="Times New Roman" w:hAnsi="Times New Roman" w:eastAsia="宋体" w:cs="Times New Roman"/>
                      <w:b/>
                      <w:bCs/>
                      <w:i w:val="0"/>
                      <w:iCs w:val="0"/>
                      <w:color w:val="0000FF"/>
                      <w:sz w:val="21"/>
                      <w:szCs w:val="21"/>
                      <w:u w:val="none"/>
                    </w:rPr>
                  </w:pPr>
                </w:p>
              </w:tc>
              <w:tc>
                <w:tcPr>
                  <w:tcW w:w="762" w:type="dxa"/>
                  <w:vMerge w:val="continue"/>
                  <w:tcBorders>
                    <w:tl2br w:val="nil"/>
                    <w:tr2bl w:val="nil"/>
                  </w:tcBorders>
                  <w:shd w:val="clear" w:color="auto" w:fill="auto"/>
                  <w:vAlign w:val="center"/>
                </w:tcPr>
                <w:p w14:paraId="1763EB06">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p>
              </w:tc>
              <w:tc>
                <w:tcPr>
                  <w:tcW w:w="918" w:type="dxa"/>
                  <w:tcBorders>
                    <w:tl2br w:val="nil"/>
                    <w:tr2bl w:val="nil"/>
                  </w:tcBorders>
                  <w:shd w:val="clear" w:color="auto" w:fill="auto"/>
                  <w:vAlign w:val="center"/>
                </w:tcPr>
                <w:p w14:paraId="3F482B70">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浓度（</w:t>
                  </w:r>
                  <w:r>
                    <w:rPr>
                      <w:rFonts w:hint="default" w:ascii="Times New Roman" w:hAnsi="Times New Roman" w:eastAsia="宋体" w:cs="Times New Roman"/>
                      <w:b/>
                      <w:bCs/>
                      <w:i w:val="0"/>
                      <w:iCs w:val="0"/>
                      <w:color w:val="0000FF"/>
                      <w:kern w:val="0"/>
                      <w:sz w:val="21"/>
                      <w:szCs w:val="21"/>
                      <w:u w:val="none"/>
                      <w:lang w:val="en-US" w:eastAsia="zh-CN" w:bidi="ar"/>
                    </w:rPr>
                    <w:t>mg/L</w:t>
                  </w:r>
                  <w:r>
                    <w:rPr>
                      <w:rFonts w:hint="eastAsia" w:ascii="宋体" w:hAnsi="宋体" w:eastAsia="宋体" w:cs="宋体"/>
                      <w:b/>
                      <w:bCs/>
                      <w:i w:val="0"/>
                      <w:iCs w:val="0"/>
                      <w:color w:val="0000FF"/>
                      <w:kern w:val="0"/>
                      <w:sz w:val="21"/>
                      <w:szCs w:val="21"/>
                      <w:u w:val="none"/>
                      <w:lang w:val="en-US" w:eastAsia="zh-CN" w:bidi="ar"/>
                    </w:rPr>
                    <w:t>）</w:t>
                  </w:r>
                </w:p>
              </w:tc>
              <w:tc>
                <w:tcPr>
                  <w:tcW w:w="840" w:type="dxa"/>
                  <w:tcBorders>
                    <w:tl2br w:val="nil"/>
                    <w:tr2bl w:val="nil"/>
                  </w:tcBorders>
                  <w:shd w:val="clear" w:color="auto" w:fill="auto"/>
                  <w:vAlign w:val="center"/>
                </w:tcPr>
                <w:p w14:paraId="2BC30394">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排放量（</w:t>
                  </w:r>
                  <w:r>
                    <w:rPr>
                      <w:rFonts w:hint="default" w:ascii="Times New Roman" w:hAnsi="Times New Roman" w:eastAsia="宋体" w:cs="Times New Roman"/>
                      <w:b/>
                      <w:bCs/>
                      <w:i w:val="0"/>
                      <w:iCs w:val="0"/>
                      <w:color w:val="0000FF"/>
                      <w:kern w:val="0"/>
                      <w:sz w:val="21"/>
                      <w:szCs w:val="21"/>
                      <w:u w:val="none"/>
                      <w:lang w:val="en-US" w:eastAsia="zh-CN" w:bidi="ar"/>
                    </w:rPr>
                    <w:t>t/a</w:t>
                  </w:r>
                  <w:r>
                    <w:rPr>
                      <w:rFonts w:hint="eastAsia" w:ascii="宋体" w:hAnsi="宋体" w:eastAsia="宋体" w:cs="宋体"/>
                      <w:b/>
                      <w:bCs/>
                      <w:i w:val="0"/>
                      <w:iCs w:val="0"/>
                      <w:color w:val="0000FF"/>
                      <w:kern w:val="0"/>
                      <w:sz w:val="21"/>
                      <w:szCs w:val="21"/>
                      <w:u w:val="none"/>
                      <w:lang w:val="en-US" w:eastAsia="zh-CN" w:bidi="ar"/>
                    </w:rPr>
                    <w:t>）</w:t>
                  </w:r>
                </w:p>
              </w:tc>
              <w:tc>
                <w:tcPr>
                  <w:tcW w:w="942" w:type="dxa"/>
                  <w:vMerge w:val="continue"/>
                  <w:tcBorders>
                    <w:tl2br w:val="nil"/>
                    <w:tr2bl w:val="nil"/>
                  </w:tcBorders>
                  <w:shd w:val="clear" w:color="auto" w:fill="auto"/>
                  <w:vAlign w:val="center"/>
                </w:tcPr>
                <w:p w14:paraId="3734378A">
                  <w:pPr>
                    <w:jc w:val="center"/>
                    <w:rPr>
                      <w:rFonts w:hint="default" w:ascii="Times New Roman" w:hAnsi="Times New Roman" w:eastAsia="宋体" w:cs="Times New Roman"/>
                      <w:b/>
                      <w:bCs/>
                      <w:i w:val="0"/>
                      <w:iCs w:val="0"/>
                      <w:color w:val="0000FF"/>
                      <w:sz w:val="21"/>
                      <w:szCs w:val="21"/>
                      <w:u w:val="none"/>
                    </w:rPr>
                  </w:pPr>
                </w:p>
              </w:tc>
              <w:tc>
                <w:tcPr>
                  <w:tcW w:w="740" w:type="dxa"/>
                  <w:vMerge w:val="continue"/>
                  <w:tcBorders>
                    <w:tl2br w:val="nil"/>
                    <w:tr2bl w:val="nil"/>
                  </w:tcBorders>
                  <w:shd w:val="clear" w:color="auto" w:fill="auto"/>
                  <w:vAlign w:val="center"/>
                </w:tcPr>
                <w:p w14:paraId="73799D67">
                  <w:pPr>
                    <w:jc w:val="center"/>
                    <w:rPr>
                      <w:rFonts w:hint="default" w:ascii="Times New Roman" w:hAnsi="Times New Roman" w:eastAsia="宋体" w:cs="Times New Roman"/>
                      <w:b/>
                      <w:bCs/>
                      <w:i w:val="0"/>
                      <w:iCs w:val="0"/>
                      <w:color w:val="0000FF"/>
                      <w:sz w:val="21"/>
                      <w:szCs w:val="21"/>
                      <w:u w:val="none"/>
                    </w:rPr>
                  </w:pPr>
                </w:p>
              </w:tc>
            </w:tr>
            <w:tr w14:paraId="31EEFE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restart"/>
                  <w:tcBorders>
                    <w:tl2br w:val="nil"/>
                    <w:tr2bl w:val="nil"/>
                  </w:tcBorders>
                  <w:shd w:val="clear" w:color="auto" w:fill="auto"/>
                  <w:vAlign w:val="center"/>
                </w:tcPr>
                <w:p w14:paraId="76215765">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预脱脂废水</w:t>
                  </w:r>
                </w:p>
              </w:tc>
              <w:tc>
                <w:tcPr>
                  <w:tcW w:w="840" w:type="dxa"/>
                  <w:vMerge w:val="restart"/>
                  <w:tcBorders>
                    <w:tl2br w:val="nil"/>
                    <w:tr2bl w:val="nil"/>
                  </w:tcBorders>
                  <w:shd w:val="clear" w:color="auto" w:fill="auto"/>
                  <w:vAlign w:val="center"/>
                </w:tcPr>
                <w:p w14:paraId="1FB1AC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840" w:type="dxa"/>
                  <w:tcBorders>
                    <w:tl2br w:val="nil"/>
                    <w:tr2bl w:val="nil"/>
                  </w:tcBorders>
                  <w:shd w:val="clear" w:color="auto" w:fill="auto"/>
                  <w:vAlign w:val="center"/>
                </w:tcPr>
                <w:p w14:paraId="0FAB5F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pH</w:t>
                  </w:r>
                </w:p>
              </w:tc>
              <w:tc>
                <w:tcPr>
                  <w:tcW w:w="840" w:type="dxa"/>
                  <w:tcBorders>
                    <w:tl2br w:val="nil"/>
                    <w:tr2bl w:val="nil"/>
                  </w:tcBorders>
                  <w:shd w:val="clear" w:color="auto" w:fill="auto"/>
                  <w:vAlign w:val="center"/>
                </w:tcPr>
                <w:p w14:paraId="0E56AF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72" w:type="dxa"/>
                  <w:tcBorders>
                    <w:tl2br w:val="nil"/>
                    <w:tr2bl w:val="nil"/>
                  </w:tcBorders>
                  <w:shd w:val="clear" w:color="auto" w:fill="auto"/>
                  <w:vAlign w:val="center"/>
                </w:tcPr>
                <w:p w14:paraId="707887B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708" w:type="dxa"/>
                  <w:vMerge w:val="restart"/>
                  <w:tcBorders>
                    <w:tl2br w:val="nil"/>
                    <w:tr2bl w:val="nil"/>
                  </w:tcBorders>
                  <w:shd w:val="clear" w:color="auto" w:fill="auto"/>
                  <w:vAlign w:val="center"/>
                </w:tcPr>
                <w:p w14:paraId="65617B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902</w:t>
                  </w:r>
                </w:p>
              </w:tc>
              <w:tc>
                <w:tcPr>
                  <w:tcW w:w="762" w:type="dxa"/>
                  <w:tcBorders>
                    <w:tl2br w:val="nil"/>
                    <w:tr2bl w:val="nil"/>
                  </w:tcBorders>
                  <w:shd w:val="clear" w:color="auto" w:fill="auto"/>
                  <w:vAlign w:val="center"/>
                </w:tcPr>
                <w:p w14:paraId="413F06B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pH</w:t>
                  </w:r>
                </w:p>
              </w:tc>
              <w:tc>
                <w:tcPr>
                  <w:tcW w:w="918" w:type="dxa"/>
                  <w:tcBorders>
                    <w:tl2br w:val="nil"/>
                    <w:tr2bl w:val="nil"/>
                  </w:tcBorders>
                  <w:shd w:val="clear" w:color="auto" w:fill="auto"/>
                  <w:vAlign w:val="center"/>
                </w:tcPr>
                <w:p w14:paraId="545203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40" w:type="dxa"/>
                  <w:tcBorders>
                    <w:tl2br w:val="nil"/>
                    <w:tr2bl w:val="nil"/>
                  </w:tcBorders>
                  <w:shd w:val="clear" w:color="auto" w:fill="auto"/>
                  <w:vAlign w:val="center"/>
                </w:tcPr>
                <w:p w14:paraId="37993EB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40" w:type="dxa"/>
                  <w:vMerge w:val="restart"/>
                  <w:tcBorders>
                    <w:tl2br w:val="nil"/>
                    <w:tr2bl w:val="nil"/>
                  </w:tcBorders>
                  <w:shd w:val="clear" w:color="auto" w:fill="auto"/>
                  <w:vAlign w:val="center"/>
                </w:tcPr>
                <w:p w14:paraId="103565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eastAsia="宋体"/>
                      <w:color w:val="0000FF"/>
                      <w:sz w:val="21"/>
                      <w:szCs w:val="21"/>
                    </w:rPr>
                    <w:t>隔油+中和+絮凝+斜管沉淀+</w:t>
                  </w:r>
                  <w:r>
                    <w:rPr>
                      <w:rFonts w:hint="eastAsia"/>
                      <w:color w:val="0000FF"/>
                      <w:sz w:val="21"/>
                      <w:szCs w:val="21"/>
                      <w:lang w:eastAsia="zh-CN"/>
                    </w:rPr>
                    <w:t>过滤器</w:t>
                  </w:r>
                  <w:r>
                    <w:rPr>
                      <w:rFonts w:hint="eastAsia" w:eastAsia="宋体"/>
                      <w:color w:val="0000FF"/>
                      <w:sz w:val="21"/>
                      <w:szCs w:val="21"/>
                    </w:rPr>
                    <w:t>处理</w:t>
                  </w:r>
                  <w:r>
                    <w:rPr>
                      <w:rFonts w:hint="eastAsia" w:ascii="Times New Roman" w:hAnsi="Times New Roman" w:eastAsia="宋体" w:cs="Times New Roman"/>
                      <w:color w:val="0000FF"/>
                      <w:sz w:val="21"/>
                      <w:szCs w:val="21"/>
                      <w:lang w:val="en-US" w:eastAsia="zh-CN"/>
                    </w:rPr>
                    <w:t>工艺处理</w:t>
                  </w:r>
                </w:p>
              </w:tc>
              <w:tc>
                <w:tcPr>
                  <w:tcW w:w="762" w:type="dxa"/>
                  <w:tcBorders>
                    <w:tl2br w:val="nil"/>
                    <w:tr2bl w:val="nil"/>
                  </w:tcBorders>
                  <w:shd w:val="clear" w:color="auto" w:fill="auto"/>
                  <w:vAlign w:val="center"/>
                </w:tcPr>
                <w:p w14:paraId="3082809D">
                  <w:pPr>
                    <w:keepNext w:val="0"/>
                    <w:keepLines w:val="0"/>
                    <w:widowControl/>
                    <w:suppressLineNumbers w:val="0"/>
                    <w:jc w:val="center"/>
                    <w:textAlignment w:val="center"/>
                    <w:rPr>
                      <w:rFonts w:hint="eastAsia"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w:t>
                  </w:r>
                </w:p>
              </w:tc>
              <w:tc>
                <w:tcPr>
                  <w:tcW w:w="918" w:type="dxa"/>
                  <w:tcBorders>
                    <w:tl2br w:val="nil"/>
                    <w:tr2bl w:val="nil"/>
                  </w:tcBorders>
                  <w:shd w:val="clear" w:color="auto" w:fill="auto"/>
                  <w:vAlign w:val="center"/>
                </w:tcPr>
                <w:p w14:paraId="1B6F1F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6~9</w:t>
                  </w:r>
                </w:p>
              </w:tc>
              <w:tc>
                <w:tcPr>
                  <w:tcW w:w="840" w:type="dxa"/>
                  <w:tcBorders>
                    <w:tl2br w:val="nil"/>
                    <w:tr2bl w:val="nil"/>
                  </w:tcBorders>
                  <w:shd w:val="clear" w:color="auto" w:fill="auto"/>
                  <w:vAlign w:val="center"/>
                </w:tcPr>
                <w:p w14:paraId="40936B0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42" w:type="dxa"/>
                  <w:tcBorders>
                    <w:tl2br w:val="nil"/>
                    <w:tr2bl w:val="nil"/>
                  </w:tcBorders>
                  <w:shd w:val="clear" w:color="auto" w:fill="auto"/>
                  <w:vAlign w:val="center"/>
                </w:tcPr>
                <w:p w14:paraId="45B0578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6~9</w:t>
                  </w:r>
                </w:p>
              </w:tc>
              <w:tc>
                <w:tcPr>
                  <w:tcW w:w="740" w:type="dxa"/>
                  <w:vMerge w:val="restart"/>
                  <w:tcBorders>
                    <w:tl2br w:val="nil"/>
                    <w:tr2bl w:val="nil"/>
                  </w:tcBorders>
                  <w:shd w:val="clear" w:color="auto" w:fill="auto"/>
                  <w:vAlign w:val="center"/>
                </w:tcPr>
                <w:p w14:paraId="076BFCC7">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李口镇污水处理厂</w:t>
                  </w:r>
                </w:p>
              </w:tc>
            </w:tr>
            <w:tr w14:paraId="214EEE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502F8DF5">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28633C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p>
              </w:tc>
              <w:tc>
                <w:tcPr>
                  <w:tcW w:w="840" w:type="dxa"/>
                  <w:tcBorders>
                    <w:tl2br w:val="nil"/>
                    <w:tr2bl w:val="nil"/>
                  </w:tcBorders>
                  <w:shd w:val="clear" w:color="auto" w:fill="auto"/>
                  <w:vAlign w:val="center"/>
                </w:tcPr>
                <w:p w14:paraId="1AF5C1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840" w:type="dxa"/>
                  <w:tcBorders>
                    <w:tl2br w:val="nil"/>
                    <w:tr2bl w:val="nil"/>
                  </w:tcBorders>
                  <w:shd w:val="clear" w:color="auto" w:fill="auto"/>
                  <w:vAlign w:val="center"/>
                </w:tcPr>
                <w:p w14:paraId="1BA62AD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2000</w:t>
                  </w:r>
                </w:p>
              </w:tc>
              <w:tc>
                <w:tcPr>
                  <w:tcW w:w="972" w:type="dxa"/>
                  <w:tcBorders>
                    <w:tl2br w:val="nil"/>
                    <w:tr2bl w:val="nil"/>
                  </w:tcBorders>
                  <w:shd w:val="clear" w:color="auto" w:fill="auto"/>
                  <w:vAlign w:val="center"/>
                </w:tcPr>
                <w:p w14:paraId="683A80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0.004</w:t>
                  </w:r>
                </w:p>
              </w:tc>
              <w:tc>
                <w:tcPr>
                  <w:tcW w:w="708" w:type="dxa"/>
                  <w:vMerge w:val="continue"/>
                  <w:tcBorders>
                    <w:tl2br w:val="nil"/>
                    <w:tr2bl w:val="nil"/>
                  </w:tcBorders>
                  <w:shd w:val="clear" w:color="auto" w:fill="auto"/>
                  <w:vAlign w:val="center"/>
                </w:tcPr>
                <w:p w14:paraId="393CAEBD">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066462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918" w:type="dxa"/>
                  <w:tcBorders>
                    <w:tl2br w:val="nil"/>
                    <w:tr2bl w:val="nil"/>
                  </w:tcBorders>
                  <w:shd w:val="clear" w:color="auto" w:fill="auto"/>
                  <w:vAlign w:val="center"/>
                </w:tcPr>
                <w:p w14:paraId="7DA87F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566.52</w:t>
                  </w:r>
                </w:p>
              </w:tc>
              <w:tc>
                <w:tcPr>
                  <w:tcW w:w="840" w:type="dxa"/>
                  <w:tcBorders>
                    <w:tl2br w:val="nil"/>
                    <w:tr2bl w:val="nil"/>
                  </w:tcBorders>
                  <w:shd w:val="clear" w:color="auto" w:fill="auto"/>
                  <w:vAlign w:val="center"/>
                </w:tcPr>
                <w:p w14:paraId="569C80E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0.511</w:t>
                  </w:r>
                </w:p>
              </w:tc>
              <w:tc>
                <w:tcPr>
                  <w:tcW w:w="840" w:type="dxa"/>
                  <w:vMerge w:val="continue"/>
                  <w:tcBorders>
                    <w:tl2br w:val="nil"/>
                    <w:tr2bl w:val="nil"/>
                  </w:tcBorders>
                  <w:shd w:val="clear" w:color="auto" w:fill="auto"/>
                  <w:vAlign w:val="center"/>
                </w:tcPr>
                <w:p w14:paraId="4F5C6857">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36F5F7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50.58</w:t>
                  </w:r>
                </w:p>
              </w:tc>
              <w:tc>
                <w:tcPr>
                  <w:tcW w:w="918" w:type="dxa"/>
                  <w:tcBorders>
                    <w:tl2br w:val="nil"/>
                    <w:tr2bl w:val="nil"/>
                  </w:tcBorders>
                  <w:shd w:val="clear" w:color="auto" w:fill="auto"/>
                  <w:vAlign w:val="center"/>
                </w:tcPr>
                <w:p w14:paraId="71F864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280</w:t>
                  </w:r>
                </w:p>
              </w:tc>
              <w:tc>
                <w:tcPr>
                  <w:tcW w:w="840" w:type="dxa"/>
                  <w:tcBorders>
                    <w:tl2br w:val="nil"/>
                    <w:tr2bl w:val="nil"/>
                  </w:tcBorders>
                  <w:shd w:val="clear" w:color="auto" w:fill="auto"/>
                  <w:vAlign w:val="center"/>
                </w:tcPr>
                <w:p w14:paraId="039753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2526</w:t>
                  </w:r>
                </w:p>
              </w:tc>
              <w:tc>
                <w:tcPr>
                  <w:tcW w:w="942" w:type="dxa"/>
                  <w:tcBorders>
                    <w:tl2br w:val="nil"/>
                    <w:tr2bl w:val="nil"/>
                  </w:tcBorders>
                  <w:shd w:val="clear" w:color="auto" w:fill="auto"/>
                  <w:vAlign w:val="center"/>
                </w:tcPr>
                <w:p w14:paraId="68F9A63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280</w:t>
                  </w:r>
                </w:p>
              </w:tc>
              <w:tc>
                <w:tcPr>
                  <w:tcW w:w="740" w:type="dxa"/>
                  <w:vMerge w:val="continue"/>
                  <w:tcBorders>
                    <w:tl2br w:val="nil"/>
                    <w:tr2bl w:val="nil"/>
                  </w:tcBorders>
                  <w:shd w:val="clear" w:color="auto" w:fill="auto"/>
                  <w:vAlign w:val="center"/>
                </w:tcPr>
                <w:p w14:paraId="6189108D">
                  <w:pPr>
                    <w:jc w:val="center"/>
                    <w:rPr>
                      <w:rFonts w:hint="eastAsia" w:ascii="宋体" w:hAnsi="宋体" w:eastAsia="宋体" w:cs="宋体"/>
                      <w:i w:val="0"/>
                      <w:iCs w:val="0"/>
                      <w:color w:val="0000FF"/>
                      <w:sz w:val="21"/>
                      <w:szCs w:val="21"/>
                      <w:u w:val="none"/>
                    </w:rPr>
                  </w:pPr>
                </w:p>
              </w:tc>
            </w:tr>
            <w:tr w14:paraId="2B52ED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23A28849">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605D6D90">
                  <w:pPr>
                    <w:jc w:val="center"/>
                    <w:rPr>
                      <w:rFonts w:hint="default" w:ascii="Times New Roman" w:hAnsi="Times New Roman" w:eastAsia="宋体" w:cs="Times New Roman"/>
                      <w:i w:val="0"/>
                      <w:iCs w:val="0"/>
                      <w:color w:val="0000FF"/>
                      <w:sz w:val="21"/>
                      <w:szCs w:val="21"/>
                      <w:u w:val="none"/>
                    </w:rPr>
                  </w:pPr>
                </w:p>
              </w:tc>
              <w:tc>
                <w:tcPr>
                  <w:tcW w:w="840" w:type="dxa"/>
                  <w:tcBorders>
                    <w:tl2br w:val="nil"/>
                    <w:tr2bl w:val="nil"/>
                  </w:tcBorders>
                  <w:shd w:val="clear" w:color="auto" w:fill="auto"/>
                  <w:vAlign w:val="center"/>
                </w:tcPr>
                <w:p w14:paraId="28A3C2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840" w:type="dxa"/>
                  <w:tcBorders>
                    <w:tl2br w:val="nil"/>
                    <w:tr2bl w:val="nil"/>
                  </w:tcBorders>
                  <w:shd w:val="clear" w:color="auto" w:fill="auto"/>
                  <w:vAlign w:val="center"/>
                </w:tcPr>
                <w:p w14:paraId="21D9570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800</w:t>
                  </w:r>
                </w:p>
              </w:tc>
              <w:tc>
                <w:tcPr>
                  <w:tcW w:w="972" w:type="dxa"/>
                  <w:tcBorders>
                    <w:tl2br w:val="nil"/>
                    <w:tr2bl w:val="nil"/>
                  </w:tcBorders>
                  <w:shd w:val="clear" w:color="auto" w:fill="auto"/>
                  <w:vAlign w:val="center"/>
                </w:tcPr>
                <w:p w14:paraId="3BF4E9D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0.0016</w:t>
                  </w:r>
                </w:p>
              </w:tc>
              <w:tc>
                <w:tcPr>
                  <w:tcW w:w="708" w:type="dxa"/>
                  <w:vMerge w:val="continue"/>
                  <w:tcBorders>
                    <w:tl2br w:val="nil"/>
                    <w:tr2bl w:val="nil"/>
                  </w:tcBorders>
                  <w:shd w:val="clear" w:color="auto" w:fill="auto"/>
                  <w:vAlign w:val="center"/>
                </w:tcPr>
                <w:p w14:paraId="2B5C8C8C">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52B1FAC9">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BOD</w:t>
                  </w:r>
                  <w:r>
                    <w:rPr>
                      <w:rStyle w:val="135"/>
                      <w:rFonts w:eastAsia="宋体"/>
                      <w:color w:val="0000FF"/>
                      <w:lang w:val="en-US" w:eastAsia="zh-CN" w:bidi="ar"/>
                    </w:rPr>
                    <w:t>5</w:t>
                  </w:r>
                </w:p>
              </w:tc>
              <w:tc>
                <w:tcPr>
                  <w:tcW w:w="918" w:type="dxa"/>
                  <w:tcBorders>
                    <w:tl2br w:val="nil"/>
                    <w:tr2bl w:val="nil"/>
                  </w:tcBorders>
                  <w:shd w:val="clear" w:color="auto" w:fill="auto"/>
                  <w:vAlign w:val="center"/>
                </w:tcPr>
                <w:p w14:paraId="08E10D89">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282.15</w:t>
                  </w:r>
                </w:p>
              </w:tc>
              <w:tc>
                <w:tcPr>
                  <w:tcW w:w="840" w:type="dxa"/>
                  <w:tcBorders>
                    <w:tl2br w:val="nil"/>
                    <w:tr2bl w:val="nil"/>
                  </w:tcBorders>
                  <w:shd w:val="clear" w:color="auto" w:fill="auto"/>
                  <w:vAlign w:val="center"/>
                </w:tcPr>
                <w:p w14:paraId="7DECA94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0.2545</w:t>
                  </w:r>
                </w:p>
              </w:tc>
              <w:tc>
                <w:tcPr>
                  <w:tcW w:w="840" w:type="dxa"/>
                  <w:vMerge w:val="continue"/>
                  <w:tcBorders>
                    <w:tl2br w:val="nil"/>
                    <w:tr2bl w:val="nil"/>
                  </w:tcBorders>
                  <w:shd w:val="clear" w:color="auto" w:fill="auto"/>
                  <w:vAlign w:val="center"/>
                </w:tcPr>
                <w:p w14:paraId="12471D64">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2714FD3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2"/>
                      <w:sz w:val="21"/>
                      <w:szCs w:val="21"/>
                      <w:u w:val="none"/>
                      <w:lang w:val="en-US" w:eastAsia="zh-CN" w:bidi="ar-SA"/>
                    </w:rPr>
                    <w:t>43.29</w:t>
                  </w:r>
                </w:p>
              </w:tc>
              <w:tc>
                <w:tcPr>
                  <w:tcW w:w="918" w:type="dxa"/>
                  <w:tcBorders>
                    <w:tl2br w:val="nil"/>
                    <w:tr2bl w:val="nil"/>
                  </w:tcBorders>
                  <w:shd w:val="clear" w:color="auto" w:fill="auto"/>
                  <w:vAlign w:val="center"/>
                </w:tcPr>
                <w:p w14:paraId="192EF39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160</w:t>
                  </w:r>
                </w:p>
              </w:tc>
              <w:tc>
                <w:tcPr>
                  <w:tcW w:w="840" w:type="dxa"/>
                  <w:tcBorders>
                    <w:tl2br w:val="nil"/>
                    <w:tr2bl w:val="nil"/>
                  </w:tcBorders>
                  <w:shd w:val="clear" w:color="auto" w:fill="auto"/>
                  <w:vAlign w:val="center"/>
                </w:tcPr>
                <w:p w14:paraId="4C1ED60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0.1</w:t>
                  </w:r>
                  <w:r>
                    <w:rPr>
                      <w:rFonts w:hint="eastAsia" w:cs="Times New Roman"/>
                      <w:i w:val="0"/>
                      <w:iCs w:val="0"/>
                      <w:color w:val="0000FF"/>
                      <w:kern w:val="0"/>
                      <w:sz w:val="21"/>
                      <w:szCs w:val="21"/>
                      <w:u w:val="none"/>
                      <w:lang w:val="en-US" w:eastAsia="zh-CN" w:bidi="ar"/>
                    </w:rPr>
                    <w:t>443</w:t>
                  </w:r>
                </w:p>
              </w:tc>
              <w:tc>
                <w:tcPr>
                  <w:tcW w:w="942" w:type="dxa"/>
                  <w:tcBorders>
                    <w:tl2br w:val="nil"/>
                    <w:tr2bl w:val="nil"/>
                  </w:tcBorders>
                  <w:shd w:val="clear" w:color="auto" w:fill="auto"/>
                  <w:vAlign w:val="center"/>
                </w:tcPr>
                <w:p w14:paraId="38F42743">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160</w:t>
                  </w:r>
                </w:p>
              </w:tc>
              <w:tc>
                <w:tcPr>
                  <w:tcW w:w="740" w:type="dxa"/>
                  <w:vMerge w:val="continue"/>
                  <w:tcBorders>
                    <w:tl2br w:val="nil"/>
                    <w:tr2bl w:val="nil"/>
                  </w:tcBorders>
                  <w:shd w:val="clear" w:color="auto" w:fill="auto"/>
                  <w:vAlign w:val="center"/>
                </w:tcPr>
                <w:p w14:paraId="4EAAE17D">
                  <w:pPr>
                    <w:jc w:val="center"/>
                    <w:rPr>
                      <w:rFonts w:hint="eastAsia" w:ascii="宋体" w:hAnsi="宋体" w:eastAsia="宋体" w:cs="宋体"/>
                      <w:i w:val="0"/>
                      <w:iCs w:val="0"/>
                      <w:color w:val="0000FF"/>
                      <w:sz w:val="21"/>
                      <w:szCs w:val="21"/>
                      <w:u w:val="none"/>
                    </w:rPr>
                  </w:pPr>
                </w:p>
              </w:tc>
            </w:tr>
            <w:tr w14:paraId="12103B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474B7A95">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1C63A326">
                  <w:pPr>
                    <w:jc w:val="center"/>
                    <w:rPr>
                      <w:rFonts w:hint="default" w:ascii="Times New Roman" w:hAnsi="Times New Roman" w:eastAsia="宋体" w:cs="Times New Roman"/>
                      <w:i w:val="0"/>
                      <w:iCs w:val="0"/>
                      <w:color w:val="0000FF"/>
                      <w:sz w:val="21"/>
                      <w:szCs w:val="21"/>
                      <w:u w:val="none"/>
                    </w:rPr>
                  </w:pPr>
                </w:p>
              </w:tc>
              <w:tc>
                <w:tcPr>
                  <w:tcW w:w="840" w:type="dxa"/>
                  <w:tcBorders>
                    <w:tl2br w:val="nil"/>
                    <w:tr2bl w:val="nil"/>
                  </w:tcBorders>
                  <w:shd w:val="clear" w:color="auto" w:fill="auto"/>
                  <w:vAlign w:val="center"/>
                </w:tcPr>
                <w:p w14:paraId="3C43CBC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BOD</w:t>
                  </w:r>
                  <w:r>
                    <w:rPr>
                      <w:rStyle w:val="135"/>
                      <w:rFonts w:eastAsia="宋体"/>
                      <w:color w:val="0000FF"/>
                      <w:lang w:val="en-US" w:eastAsia="zh-CN" w:bidi="ar"/>
                    </w:rPr>
                    <w:t>5</w:t>
                  </w:r>
                </w:p>
              </w:tc>
              <w:tc>
                <w:tcPr>
                  <w:tcW w:w="840" w:type="dxa"/>
                  <w:tcBorders>
                    <w:tl2br w:val="nil"/>
                    <w:tr2bl w:val="nil"/>
                  </w:tcBorders>
                  <w:shd w:val="clear" w:color="auto" w:fill="auto"/>
                  <w:vAlign w:val="center"/>
                </w:tcPr>
                <w:p w14:paraId="664A3C0B">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972" w:type="dxa"/>
                  <w:tcBorders>
                    <w:tl2br w:val="nil"/>
                    <w:tr2bl w:val="nil"/>
                  </w:tcBorders>
                  <w:shd w:val="clear" w:color="auto" w:fill="auto"/>
                  <w:vAlign w:val="center"/>
                </w:tcPr>
                <w:p w14:paraId="23D60252">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0.001</w:t>
                  </w:r>
                </w:p>
              </w:tc>
              <w:tc>
                <w:tcPr>
                  <w:tcW w:w="708" w:type="dxa"/>
                  <w:vMerge w:val="continue"/>
                  <w:tcBorders>
                    <w:tl2br w:val="nil"/>
                    <w:tr2bl w:val="nil"/>
                  </w:tcBorders>
                  <w:shd w:val="clear" w:color="auto" w:fill="auto"/>
                  <w:vAlign w:val="center"/>
                </w:tcPr>
                <w:p w14:paraId="724E68EF">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6617134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918" w:type="dxa"/>
                  <w:tcBorders>
                    <w:tl2br w:val="nil"/>
                    <w:tr2bl w:val="nil"/>
                  </w:tcBorders>
                  <w:shd w:val="clear" w:color="auto" w:fill="auto"/>
                  <w:vAlign w:val="center"/>
                </w:tcPr>
                <w:p w14:paraId="127D2A2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490.69</w:t>
                  </w:r>
                </w:p>
              </w:tc>
              <w:tc>
                <w:tcPr>
                  <w:tcW w:w="840" w:type="dxa"/>
                  <w:tcBorders>
                    <w:tl2br w:val="nil"/>
                    <w:tr2bl w:val="nil"/>
                  </w:tcBorders>
                  <w:shd w:val="clear" w:color="auto" w:fill="auto"/>
                  <w:vAlign w:val="center"/>
                </w:tcPr>
                <w:p w14:paraId="6858EE0E">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0.4426</w:t>
                  </w:r>
                </w:p>
              </w:tc>
              <w:tc>
                <w:tcPr>
                  <w:tcW w:w="840" w:type="dxa"/>
                  <w:vMerge w:val="continue"/>
                  <w:tcBorders>
                    <w:tl2br w:val="nil"/>
                    <w:tr2bl w:val="nil"/>
                  </w:tcBorders>
                  <w:shd w:val="clear" w:color="auto" w:fill="auto"/>
                  <w:vAlign w:val="center"/>
                </w:tcPr>
                <w:p w14:paraId="105D6388">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02A0D2C0">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2"/>
                      <w:sz w:val="21"/>
                      <w:szCs w:val="21"/>
                      <w:u w:val="none"/>
                      <w:lang w:val="en-US" w:eastAsia="zh-CN" w:bidi="ar-SA"/>
                    </w:rPr>
                    <w:t>63.32</w:t>
                  </w:r>
                </w:p>
              </w:tc>
              <w:tc>
                <w:tcPr>
                  <w:tcW w:w="918" w:type="dxa"/>
                  <w:tcBorders>
                    <w:tl2br w:val="nil"/>
                    <w:tr2bl w:val="nil"/>
                  </w:tcBorders>
                  <w:shd w:val="clear" w:color="auto" w:fill="auto"/>
                  <w:vAlign w:val="center"/>
                </w:tcPr>
                <w:p w14:paraId="458D8D5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180</w:t>
                  </w:r>
                </w:p>
              </w:tc>
              <w:tc>
                <w:tcPr>
                  <w:tcW w:w="840" w:type="dxa"/>
                  <w:tcBorders>
                    <w:tl2br w:val="nil"/>
                    <w:tr2bl w:val="nil"/>
                  </w:tcBorders>
                  <w:shd w:val="clear" w:color="auto" w:fill="auto"/>
                  <w:vAlign w:val="center"/>
                </w:tcPr>
                <w:p w14:paraId="57490ECF">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1624</w:t>
                  </w:r>
                </w:p>
              </w:tc>
              <w:tc>
                <w:tcPr>
                  <w:tcW w:w="942" w:type="dxa"/>
                  <w:tcBorders>
                    <w:tl2br w:val="nil"/>
                    <w:tr2bl w:val="nil"/>
                  </w:tcBorders>
                  <w:shd w:val="clear" w:color="auto" w:fill="auto"/>
                  <w:vAlign w:val="center"/>
                </w:tcPr>
                <w:p w14:paraId="58FEAC5B">
                  <w:pPr>
                    <w:keepNext w:val="0"/>
                    <w:keepLines w:val="0"/>
                    <w:widowControl/>
                    <w:suppressLineNumbers w:val="0"/>
                    <w:jc w:val="center"/>
                    <w:textAlignment w:val="center"/>
                    <w:rPr>
                      <w:rFonts w:hint="eastAsia"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180</w:t>
                  </w:r>
                </w:p>
              </w:tc>
              <w:tc>
                <w:tcPr>
                  <w:tcW w:w="740" w:type="dxa"/>
                  <w:vMerge w:val="continue"/>
                  <w:tcBorders>
                    <w:tl2br w:val="nil"/>
                    <w:tr2bl w:val="nil"/>
                  </w:tcBorders>
                  <w:shd w:val="clear" w:color="auto" w:fill="auto"/>
                  <w:vAlign w:val="center"/>
                </w:tcPr>
                <w:p w14:paraId="7037181C">
                  <w:pPr>
                    <w:jc w:val="center"/>
                    <w:rPr>
                      <w:rFonts w:hint="eastAsia" w:ascii="宋体" w:hAnsi="宋体" w:eastAsia="宋体" w:cs="宋体"/>
                      <w:i w:val="0"/>
                      <w:iCs w:val="0"/>
                      <w:color w:val="0000FF"/>
                      <w:sz w:val="21"/>
                      <w:szCs w:val="21"/>
                      <w:u w:val="none"/>
                    </w:rPr>
                  </w:pPr>
                </w:p>
              </w:tc>
            </w:tr>
            <w:tr w14:paraId="2EDCC5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51B2337E">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20F12551">
                  <w:pPr>
                    <w:jc w:val="center"/>
                    <w:rPr>
                      <w:rFonts w:hint="default" w:ascii="Times New Roman" w:hAnsi="Times New Roman" w:eastAsia="宋体" w:cs="Times New Roman"/>
                      <w:i w:val="0"/>
                      <w:iCs w:val="0"/>
                      <w:color w:val="0000FF"/>
                      <w:sz w:val="21"/>
                      <w:szCs w:val="21"/>
                      <w:u w:val="none"/>
                    </w:rPr>
                  </w:pPr>
                </w:p>
              </w:tc>
              <w:tc>
                <w:tcPr>
                  <w:tcW w:w="840" w:type="dxa"/>
                  <w:tcBorders>
                    <w:tl2br w:val="nil"/>
                    <w:tr2bl w:val="nil"/>
                  </w:tcBorders>
                  <w:shd w:val="clear" w:color="auto" w:fill="auto"/>
                  <w:vAlign w:val="center"/>
                </w:tcPr>
                <w:p w14:paraId="0B82829C">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总磷</w:t>
                  </w:r>
                </w:p>
              </w:tc>
              <w:tc>
                <w:tcPr>
                  <w:tcW w:w="840" w:type="dxa"/>
                  <w:tcBorders>
                    <w:tl2br w:val="nil"/>
                    <w:tr2bl w:val="nil"/>
                  </w:tcBorders>
                  <w:shd w:val="clear" w:color="auto" w:fill="auto"/>
                  <w:vAlign w:val="center"/>
                </w:tcPr>
                <w:p w14:paraId="79CB52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40</w:t>
                  </w:r>
                </w:p>
              </w:tc>
              <w:tc>
                <w:tcPr>
                  <w:tcW w:w="972" w:type="dxa"/>
                  <w:tcBorders>
                    <w:tl2br w:val="nil"/>
                    <w:tr2bl w:val="nil"/>
                  </w:tcBorders>
                  <w:shd w:val="clear" w:color="auto" w:fill="auto"/>
                  <w:vAlign w:val="center"/>
                </w:tcPr>
                <w:p w14:paraId="319A54A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0.00008</w:t>
                  </w:r>
                </w:p>
              </w:tc>
              <w:tc>
                <w:tcPr>
                  <w:tcW w:w="708" w:type="dxa"/>
                  <w:vMerge w:val="continue"/>
                  <w:tcBorders>
                    <w:tl2br w:val="nil"/>
                    <w:tr2bl w:val="nil"/>
                  </w:tcBorders>
                  <w:shd w:val="clear" w:color="auto" w:fill="auto"/>
                  <w:vAlign w:val="center"/>
                </w:tcPr>
                <w:p w14:paraId="429F1A94">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33930648">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总磷</w:t>
                  </w:r>
                </w:p>
              </w:tc>
              <w:tc>
                <w:tcPr>
                  <w:tcW w:w="918" w:type="dxa"/>
                  <w:tcBorders>
                    <w:tl2br w:val="nil"/>
                    <w:tr2bl w:val="nil"/>
                  </w:tcBorders>
                  <w:shd w:val="clear" w:color="auto" w:fill="auto"/>
                  <w:vAlign w:val="center"/>
                </w:tcPr>
                <w:p w14:paraId="43CF203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20.04</w:t>
                  </w:r>
                </w:p>
              </w:tc>
              <w:tc>
                <w:tcPr>
                  <w:tcW w:w="840" w:type="dxa"/>
                  <w:tcBorders>
                    <w:tl2br w:val="nil"/>
                    <w:tr2bl w:val="nil"/>
                  </w:tcBorders>
                  <w:shd w:val="clear" w:color="auto" w:fill="auto"/>
                  <w:vAlign w:val="center"/>
                </w:tcPr>
                <w:p w14:paraId="4256CE1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0.018</w:t>
                  </w:r>
                  <w:r>
                    <w:rPr>
                      <w:rFonts w:hint="eastAsia" w:cs="Times New Roman"/>
                      <w:i w:val="0"/>
                      <w:iCs w:val="0"/>
                      <w:color w:val="0000FF"/>
                      <w:kern w:val="0"/>
                      <w:sz w:val="21"/>
                      <w:szCs w:val="21"/>
                      <w:u w:val="none"/>
                      <w:lang w:val="en-US" w:eastAsia="zh-CN" w:bidi="ar"/>
                    </w:rPr>
                    <w:t>1</w:t>
                  </w:r>
                </w:p>
              </w:tc>
              <w:tc>
                <w:tcPr>
                  <w:tcW w:w="840" w:type="dxa"/>
                  <w:vMerge w:val="continue"/>
                  <w:tcBorders>
                    <w:tl2br w:val="nil"/>
                    <w:tr2bl w:val="nil"/>
                  </w:tcBorders>
                  <w:shd w:val="clear" w:color="auto" w:fill="auto"/>
                  <w:vAlign w:val="center"/>
                </w:tcPr>
                <w:p w14:paraId="6D00DB6F">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0097519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85.03</w:t>
                  </w:r>
                </w:p>
              </w:tc>
              <w:tc>
                <w:tcPr>
                  <w:tcW w:w="918" w:type="dxa"/>
                  <w:tcBorders>
                    <w:tl2br w:val="nil"/>
                    <w:tr2bl w:val="nil"/>
                  </w:tcBorders>
                  <w:shd w:val="clear" w:color="auto" w:fill="auto"/>
                  <w:vAlign w:val="center"/>
                </w:tcPr>
                <w:p w14:paraId="48B569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3</w:t>
                  </w:r>
                </w:p>
              </w:tc>
              <w:tc>
                <w:tcPr>
                  <w:tcW w:w="840" w:type="dxa"/>
                  <w:tcBorders>
                    <w:tl2br w:val="nil"/>
                    <w:tr2bl w:val="nil"/>
                  </w:tcBorders>
                  <w:shd w:val="clear" w:color="auto" w:fill="auto"/>
                  <w:vAlign w:val="center"/>
                </w:tcPr>
                <w:p w14:paraId="2ED861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0.00</w:t>
                  </w:r>
                  <w:r>
                    <w:rPr>
                      <w:rFonts w:hint="eastAsia" w:cs="Times New Roman"/>
                      <w:i w:val="0"/>
                      <w:iCs w:val="0"/>
                      <w:color w:val="0000FF"/>
                      <w:kern w:val="0"/>
                      <w:sz w:val="21"/>
                      <w:szCs w:val="21"/>
                      <w:u w:val="none"/>
                      <w:lang w:val="en-US" w:eastAsia="zh-CN" w:bidi="ar"/>
                    </w:rPr>
                    <w:t>27</w:t>
                  </w:r>
                </w:p>
              </w:tc>
              <w:tc>
                <w:tcPr>
                  <w:tcW w:w="942" w:type="dxa"/>
                  <w:tcBorders>
                    <w:tl2br w:val="nil"/>
                    <w:tr2bl w:val="nil"/>
                  </w:tcBorders>
                  <w:shd w:val="clear" w:color="auto" w:fill="auto"/>
                  <w:vAlign w:val="center"/>
                </w:tcPr>
                <w:p w14:paraId="0AE57A9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3</w:t>
                  </w:r>
                </w:p>
              </w:tc>
              <w:tc>
                <w:tcPr>
                  <w:tcW w:w="740" w:type="dxa"/>
                  <w:vMerge w:val="continue"/>
                  <w:tcBorders>
                    <w:tl2br w:val="nil"/>
                    <w:tr2bl w:val="nil"/>
                  </w:tcBorders>
                  <w:shd w:val="clear" w:color="auto" w:fill="auto"/>
                  <w:vAlign w:val="center"/>
                </w:tcPr>
                <w:p w14:paraId="19BF9293">
                  <w:pPr>
                    <w:jc w:val="center"/>
                    <w:rPr>
                      <w:rFonts w:hint="eastAsia" w:ascii="宋体" w:hAnsi="宋体" w:eastAsia="宋体" w:cs="宋体"/>
                      <w:i w:val="0"/>
                      <w:iCs w:val="0"/>
                      <w:color w:val="0000FF"/>
                      <w:sz w:val="21"/>
                      <w:szCs w:val="21"/>
                      <w:u w:val="none"/>
                    </w:rPr>
                  </w:pPr>
                </w:p>
              </w:tc>
            </w:tr>
            <w:tr w14:paraId="6C6B32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4D584B58">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376C8CB2">
                  <w:pPr>
                    <w:jc w:val="center"/>
                    <w:rPr>
                      <w:rFonts w:hint="default" w:ascii="Times New Roman" w:hAnsi="Times New Roman" w:eastAsia="宋体" w:cs="Times New Roman"/>
                      <w:i w:val="0"/>
                      <w:iCs w:val="0"/>
                      <w:color w:val="0000FF"/>
                      <w:sz w:val="21"/>
                      <w:szCs w:val="21"/>
                      <w:u w:val="none"/>
                    </w:rPr>
                  </w:pPr>
                </w:p>
              </w:tc>
              <w:tc>
                <w:tcPr>
                  <w:tcW w:w="840" w:type="dxa"/>
                  <w:tcBorders>
                    <w:tl2br w:val="nil"/>
                    <w:tr2bl w:val="nil"/>
                  </w:tcBorders>
                  <w:shd w:val="clear" w:color="auto" w:fill="auto"/>
                  <w:vAlign w:val="center"/>
                </w:tcPr>
                <w:p w14:paraId="0EE5E092">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石油类</w:t>
                  </w:r>
                </w:p>
              </w:tc>
              <w:tc>
                <w:tcPr>
                  <w:tcW w:w="840" w:type="dxa"/>
                  <w:tcBorders>
                    <w:tl2br w:val="nil"/>
                    <w:tr2bl w:val="nil"/>
                  </w:tcBorders>
                  <w:shd w:val="clear" w:color="auto" w:fill="auto"/>
                  <w:vAlign w:val="center"/>
                </w:tcPr>
                <w:p w14:paraId="7AC578E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400</w:t>
                  </w:r>
                </w:p>
              </w:tc>
              <w:tc>
                <w:tcPr>
                  <w:tcW w:w="972" w:type="dxa"/>
                  <w:tcBorders>
                    <w:tl2br w:val="nil"/>
                    <w:tr2bl w:val="nil"/>
                  </w:tcBorders>
                  <w:shd w:val="clear" w:color="auto" w:fill="auto"/>
                  <w:vAlign w:val="center"/>
                </w:tcPr>
                <w:p w14:paraId="52BDCB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0.0008</w:t>
                  </w:r>
                </w:p>
              </w:tc>
              <w:tc>
                <w:tcPr>
                  <w:tcW w:w="708" w:type="dxa"/>
                  <w:vMerge w:val="continue"/>
                  <w:tcBorders>
                    <w:tl2br w:val="nil"/>
                    <w:tr2bl w:val="nil"/>
                  </w:tcBorders>
                  <w:shd w:val="clear" w:color="auto" w:fill="auto"/>
                  <w:vAlign w:val="center"/>
                </w:tcPr>
                <w:p w14:paraId="3700167B">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47BC6300">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石油类</w:t>
                  </w:r>
                </w:p>
              </w:tc>
              <w:tc>
                <w:tcPr>
                  <w:tcW w:w="918" w:type="dxa"/>
                  <w:tcBorders>
                    <w:tl2br w:val="nil"/>
                    <w:tr2bl w:val="nil"/>
                  </w:tcBorders>
                  <w:shd w:val="clear" w:color="auto" w:fill="auto"/>
                  <w:vAlign w:val="center"/>
                </w:tcPr>
                <w:p w14:paraId="709928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190.47</w:t>
                  </w:r>
                </w:p>
              </w:tc>
              <w:tc>
                <w:tcPr>
                  <w:tcW w:w="840" w:type="dxa"/>
                  <w:tcBorders>
                    <w:tl2br w:val="nil"/>
                    <w:tr2bl w:val="nil"/>
                  </w:tcBorders>
                  <w:shd w:val="clear" w:color="auto" w:fill="auto"/>
                  <w:vAlign w:val="center"/>
                </w:tcPr>
                <w:p w14:paraId="276796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0.1718</w:t>
                  </w:r>
                </w:p>
              </w:tc>
              <w:tc>
                <w:tcPr>
                  <w:tcW w:w="840" w:type="dxa"/>
                  <w:vMerge w:val="continue"/>
                  <w:tcBorders>
                    <w:tl2br w:val="nil"/>
                    <w:tr2bl w:val="nil"/>
                  </w:tcBorders>
                  <w:shd w:val="clear" w:color="auto" w:fill="auto"/>
                  <w:vAlign w:val="center"/>
                </w:tcPr>
                <w:p w14:paraId="12392CC3">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263390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ascii="Times New Roman" w:hAnsi="Times New Roman" w:cs="Times New Roman"/>
                      <w:i w:val="0"/>
                      <w:iCs w:val="0"/>
                      <w:color w:val="0000FF"/>
                      <w:sz w:val="21"/>
                      <w:szCs w:val="21"/>
                      <w:u w:val="none"/>
                      <w:lang w:val="en-US" w:eastAsia="zh-CN"/>
                    </w:rPr>
                    <w:t>94.75</w:t>
                  </w:r>
                </w:p>
              </w:tc>
              <w:tc>
                <w:tcPr>
                  <w:tcW w:w="918" w:type="dxa"/>
                  <w:tcBorders>
                    <w:tl2br w:val="nil"/>
                    <w:tr2bl w:val="nil"/>
                  </w:tcBorders>
                  <w:shd w:val="clear" w:color="auto" w:fill="auto"/>
                  <w:vAlign w:val="center"/>
                </w:tcPr>
                <w:p w14:paraId="067A6E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10</w:t>
                  </w:r>
                </w:p>
              </w:tc>
              <w:tc>
                <w:tcPr>
                  <w:tcW w:w="840" w:type="dxa"/>
                  <w:tcBorders>
                    <w:tl2br w:val="nil"/>
                    <w:tr2bl w:val="nil"/>
                  </w:tcBorders>
                  <w:shd w:val="clear" w:color="auto" w:fill="auto"/>
                  <w:vAlign w:val="center"/>
                </w:tcPr>
                <w:p w14:paraId="4AD5F4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w:t>
                  </w:r>
                </w:p>
              </w:tc>
              <w:tc>
                <w:tcPr>
                  <w:tcW w:w="942" w:type="dxa"/>
                  <w:tcBorders>
                    <w:tl2br w:val="nil"/>
                    <w:tr2bl w:val="nil"/>
                  </w:tcBorders>
                  <w:shd w:val="clear" w:color="auto" w:fill="auto"/>
                  <w:vAlign w:val="center"/>
                </w:tcPr>
                <w:p w14:paraId="46CFD98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10</w:t>
                  </w:r>
                </w:p>
              </w:tc>
              <w:tc>
                <w:tcPr>
                  <w:tcW w:w="740" w:type="dxa"/>
                  <w:vMerge w:val="continue"/>
                  <w:tcBorders>
                    <w:tl2br w:val="nil"/>
                    <w:tr2bl w:val="nil"/>
                  </w:tcBorders>
                  <w:shd w:val="clear" w:color="auto" w:fill="auto"/>
                  <w:vAlign w:val="center"/>
                </w:tcPr>
                <w:p w14:paraId="00A79D5D">
                  <w:pPr>
                    <w:jc w:val="center"/>
                    <w:rPr>
                      <w:rFonts w:hint="eastAsia" w:ascii="宋体" w:hAnsi="宋体" w:eastAsia="宋体" w:cs="宋体"/>
                      <w:i w:val="0"/>
                      <w:iCs w:val="0"/>
                      <w:color w:val="0000FF"/>
                      <w:sz w:val="21"/>
                      <w:szCs w:val="21"/>
                      <w:u w:val="none"/>
                    </w:rPr>
                  </w:pPr>
                </w:p>
              </w:tc>
            </w:tr>
            <w:tr w14:paraId="71AA99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restart"/>
                  <w:tcBorders>
                    <w:tl2br w:val="nil"/>
                    <w:tr2bl w:val="nil"/>
                  </w:tcBorders>
                  <w:shd w:val="clear" w:color="auto" w:fill="auto"/>
                  <w:vAlign w:val="center"/>
                </w:tcPr>
                <w:p w14:paraId="7D0A7D3B">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脱脂后清洗废水</w:t>
                  </w:r>
                </w:p>
              </w:tc>
              <w:tc>
                <w:tcPr>
                  <w:tcW w:w="840" w:type="dxa"/>
                  <w:vMerge w:val="restart"/>
                  <w:tcBorders>
                    <w:tl2br w:val="nil"/>
                    <w:tr2bl w:val="nil"/>
                  </w:tcBorders>
                  <w:shd w:val="clear" w:color="auto" w:fill="auto"/>
                  <w:vAlign w:val="center"/>
                </w:tcPr>
                <w:p w14:paraId="50E352CC">
                  <w:pPr>
                    <w:keepNext w:val="0"/>
                    <w:keepLines w:val="0"/>
                    <w:widowControl/>
                    <w:suppressLineNumbers w:val="0"/>
                    <w:jc w:val="center"/>
                    <w:textAlignment w:val="center"/>
                    <w:rPr>
                      <w:rFonts w:hint="default" w:ascii="Times New Roman" w:hAnsi="Times New Roman" w:eastAsia="宋体" w:cs="Times New Roman"/>
                      <w:i w:val="0"/>
                      <w:iCs w:val="0"/>
                      <w:color w:val="0000FF"/>
                      <w:sz w:val="22"/>
                      <w:szCs w:val="22"/>
                      <w:u w:val="none"/>
                    </w:rPr>
                  </w:pPr>
                  <w:r>
                    <w:rPr>
                      <w:rFonts w:hint="default" w:ascii="Times New Roman" w:hAnsi="Times New Roman" w:eastAsia="宋体" w:cs="Times New Roman"/>
                      <w:i w:val="0"/>
                      <w:iCs w:val="0"/>
                      <w:color w:val="0000FF"/>
                      <w:kern w:val="0"/>
                      <w:sz w:val="22"/>
                      <w:szCs w:val="22"/>
                      <w:u w:val="none"/>
                      <w:lang w:val="en-US" w:eastAsia="zh-CN" w:bidi="ar"/>
                    </w:rPr>
                    <w:t>570</w:t>
                  </w:r>
                </w:p>
              </w:tc>
              <w:tc>
                <w:tcPr>
                  <w:tcW w:w="840" w:type="dxa"/>
                  <w:tcBorders>
                    <w:tl2br w:val="nil"/>
                    <w:tr2bl w:val="nil"/>
                  </w:tcBorders>
                  <w:shd w:val="clear" w:color="auto" w:fill="auto"/>
                  <w:vAlign w:val="center"/>
                </w:tcPr>
                <w:p w14:paraId="5E86D2BF">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pH</w:t>
                  </w:r>
                </w:p>
              </w:tc>
              <w:tc>
                <w:tcPr>
                  <w:tcW w:w="840" w:type="dxa"/>
                  <w:tcBorders>
                    <w:tl2br w:val="nil"/>
                    <w:tr2bl w:val="nil"/>
                  </w:tcBorders>
                  <w:shd w:val="clear" w:color="auto" w:fill="auto"/>
                  <w:vAlign w:val="center"/>
                </w:tcPr>
                <w:p w14:paraId="3E90302E">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72" w:type="dxa"/>
                  <w:tcBorders>
                    <w:tl2br w:val="nil"/>
                    <w:tr2bl w:val="nil"/>
                  </w:tcBorders>
                  <w:shd w:val="clear" w:color="auto" w:fill="auto"/>
                  <w:vAlign w:val="center"/>
                </w:tcPr>
                <w:p w14:paraId="4FC52439">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w:t>
                  </w:r>
                </w:p>
              </w:tc>
              <w:tc>
                <w:tcPr>
                  <w:tcW w:w="708" w:type="dxa"/>
                  <w:vMerge w:val="continue"/>
                  <w:tcBorders>
                    <w:tl2br w:val="nil"/>
                    <w:tr2bl w:val="nil"/>
                  </w:tcBorders>
                  <w:shd w:val="clear" w:color="auto" w:fill="auto"/>
                  <w:vAlign w:val="center"/>
                </w:tcPr>
                <w:p w14:paraId="2CEF17D7">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7C193C82">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总氮</w:t>
                  </w:r>
                </w:p>
              </w:tc>
              <w:tc>
                <w:tcPr>
                  <w:tcW w:w="918" w:type="dxa"/>
                  <w:tcBorders>
                    <w:tl2br w:val="nil"/>
                    <w:tr2bl w:val="nil"/>
                  </w:tcBorders>
                  <w:shd w:val="clear" w:color="auto" w:fill="auto"/>
                  <w:vAlign w:val="center"/>
                </w:tcPr>
                <w:p w14:paraId="7427C6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10.98</w:t>
                  </w:r>
                </w:p>
              </w:tc>
              <w:tc>
                <w:tcPr>
                  <w:tcW w:w="840" w:type="dxa"/>
                  <w:tcBorders>
                    <w:tl2br w:val="nil"/>
                    <w:tr2bl w:val="nil"/>
                  </w:tcBorders>
                  <w:shd w:val="clear" w:color="auto" w:fill="auto"/>
                  <w:vAlign w:val="center"/>
                </w:tcPr>
                <w:p w14:paraId="6CFCCE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0.0099</w:t>
                  </w:r>
                </w:p>
              </w:tc>
              <w:tc>
                <w:tcPr>
                  <w:tcW w:w="840" w:type="dxa"/>
                  <w:vMerge w:val="continue"/>
                  <w:tcBorders>
                    <w:tl2br w:val="nil"/>
                    <w:tr2bl w:val="nil"/>
                  </w:tcBorders>
                  <w:shd w:val="clear" w:color="auto" w:fill="auto"/>
                  <w:vAlign w:val="center"/>
                </w:tcPr>
                <w:p w14:paraId="3EB63941">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5C7B6A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ascii="Times New Roman" w:hAnsi="Times New Roman" w:cs="Times New Roman"/>
                      <w:i w:val="0"/>
                      <w:iCs w:val="0"/>
                      <w:color w:val="0000FF"/>
                      <w:sz w:val="21"/>
                      <w:szCs w:val="21"/>
                      <w:u w:val="none"/>
                      <w:lang w:val="en-US" w:eastAsia="zh-CN"/>
                    </w:rPr>
                    <w:t>54.46</w:t>
                  </w:r>
                </w:p>
              </w:tc>
              <w:tc>
                <w:tcPr>
                  <w:tcW w:w="918" w:type="dxa"/>
                  <w:tcBorders>
                    <w:tl2br w:val="nil"/>
                    <w:tr2bl w:val="nil"/>
                  </w:tcBorders>
                  <w:shd w:val="clear" w:color="auto" w:fill="auto"/>
                  <w:vAlign w:val="center"/>
                </w:tcPr>
                <w:p w14:paraId="06A56F1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840" w:type="dxa"/>
                  <w:tcBorders>
                    <w:tl2br w:val="nil"/>
                    <w:tr2bl w:val="nil"/>
                  </w:tcBorders>
                  <w:shd w:val="clear" w:color="auto" w:fill="auto"/>
                  <w:vAlign w:val="center"/>
                </w:tcPr>
                <w:p w14:paraId="192DFEB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0.0045</w:t>
                  </w:r>
                </w:p>
              </w:tc>
              <w:tc>
                <w:tcPr>
                  <w:tcW w:w="942" w:type="dxa"/>
                  <w:tcBorders>
                    <w:tl2br w:val="nil"/>
                    <w:tr2bl w:val="nil"/>
                  </w:tcBorders>
                  <w:shd w:val="clear" w:color="auto" w:fill="auto"/>
                  <w:vAlign w:val="center"/>
                </w:tcPr>
                <w:p w14:paraId="63C14F1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40</w:t>
                  </w:r>
                </w:p>
              </w:tc>
              <w:tc>
                <w:tcPr>
                  <w:tcW w:w="740" w:type="dxa"/>
                  <w:vMerge w:val="continue"/>
                  <w:tcBorders>
                    <w:tl2br w:val="nil"/>
                    <w:tr2bl w:val="nil"/>
                  </w:tcBorders>
                  <w:shd w:val="clear" w:color="auto" w:fill="auto"/>
                  <w:vAlign w:val="center"/>
                </w:tcPr>
                <w:p w14:paraId="487BB0D6">
                  <w:pPr>
                    <w:jc w:val="center"/>
                    <w:rPr>
                      <w:rFonts w:hint="eastAsia" w:ascii="宋体" w:hAnsi="宋体" w:eastAsia="宋体" w:cs="宋体"/>
                      <w:i w:val="0"/>
                      <w:iCs w:val="0"/>
                      <w:color w:val="0000FF"/>
                      <w:sz w:val="21"/>
                      <w:szCs w:val="21"/>
                      <w:u w:val="none"/>
                    </w:rPr>
                  </w:pPr>
                </w:p>
              </w:tc>
            </w:tr>
            <w:tr w14:paraId="7C4235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6E603773">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p>
              </w:tc>
              <w:tc>
                <w:tcPr>
                  <w:tcW w:w="840" w:type="dxa"/>
                  <w:vMerge w:val="continue"/>
                  <w:tcBorders>
                    <w:tl2br w:val="nil"/>
                    <w:tr2bl w:val="nil"/>
                  </w:tcBorders>
                  <w:shd w:val="clear" w:color="auto" w:fill="auto"/>
                  <w:vAlign w:val="center"/>
                </w:tcPr>
                <w:p w14:paraId="12A6517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2"/>
                      <w:szCs w:val="22"/>
                      <w:u w:val="none"/>
                      <w:lang w:val="en-US" w:eastAsia="zh-CN" w:bidi="ar"/>
                    </w:rPr>
                  </w:pPr>
                </w:p>
              </w:tc>
              <w:tc>
                <w:tcPr>
                  <w:tcW w:w="840" w:type="dxa"/>
                  <w:tcBorders>
                    <w:tl2br w:val="nil"/>
                    <w:tr2bl w:val="nil"/>
                  </w:tcBorders>
                  <w:shd w:val="clear" w:color="auto" w:fill="auto"/>
                  <w:vAlign w:val="center"/>
                </w:tcPr>
                <w:p w14:paraId="5D951842">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840" w:type="dxa"/>
                  <w:tcBorders>
                    <w:tl2br w:val="nil"/>
                    <w:tr2bl w:val="nil"/>
                  </w:tcBorders>
                  <w:shd w:val="clear" w:color="auto" w:fill="auto"/>
                  <w:vAlign w:val="center"/>
                </w:tcPr>
                <w:p w14:paraId="72F9AA73">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600</w:t>
                  </w:r>
                </w:p>
              </w:tc>
              <w:tc>
                <w:tcPr>
                  <w:tcW w:w="972" w:type="dxa"/>
                  <w:tcBorders>
                    <w:tl2br w:val="nil"/>
                    <w:tr2bl w:val="nil"/>
                  </w:tcBorders>
                  <w:shd w:val="clear" w:color="auto" w:fill="auto"/>
                  <w:vAlign w:val="center"/>
                </w:tcPr>
                <w:p w14:paraId="3F7B5957">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0.342</w:t>
                  </w:r>
                </w:p>
              </w:tc>
              <w:tc>
                <w:tcPr>
                  <w:tcW w:w="708" w:type="dxa"/>
                  <w:vMerge w:val="continue"/>
                  <w:tcBorders>
                    <w:tl2br w:val="nil"/>
                    <w:tr2bl w:val="nil"/>
                  </w:tcBorders>
                  <w:shd w:val="clear" w:color="auto" w:fill="auto"/>
                  <w:vAlign w:val="center"/>
                </w:tcPr>
                <w:p w14:paraId="36F0F8E5">
                  <w:pPr>
                    <w:jc w:val="center"/>
                    <w:rPr>
                      <w:rFonts w:hint="default" w:ascii="Times New Roman" w:hAnsi="Times New Roman" w:eastAsia="宋体" w:cs="Times New Roman"/>
                      <w:i w:val="0"/>
                      <w:iCs w:val="0"/>
                      <w:color w:val="0000FF"/>
                      <w:sz w:val="21"/>
                      <w:szCs w:val="21"/>
                      <w:u w:val="none"/>
                    </w:rPr>
                  </w:pPr>
                </w:p>
              </w:tc>
              <w:tc>
                <w:tcPr>
                  <w:tcW w:w="762" w:type="dxa"/>
                  <w:tcBorders>
                    <w:tl2br w:val="nil"/>
                    <w:tr2bl w:val="nil"/>
                  </w:tcBorders>
                  <w:shd w:val="clear" w:color="auto" w:fill="auto"/>
                  <w:vAlign w:val="center"/>
                </w:tcPr>
                <w:p w14:paraId="3885A78A">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总锌</w:t>
                  </w:r>
                </w:p>
              </w:tc>
              <w:tc>
                <w:tcPr>
                  <w:tcW w:w="918" w:type="dxa"/>
                  <w:tcBorders>
                    <w:tl2br w:val="nil"/>
                    <w:tr2bl w:val="nil"/>
                  </w:tcBorders>
                  <w:shd w:val="clear" w:color="auto" w:fill="auto"/>
                  <w:vAlign w:val="center"/>
                </w:tcPr>
                <w:p w14:paraId="134864F4">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10.98</w:t>
                  </w:r>
                </w:p>
              </w:tc>
              <w:tc>
                <w:tcPr>
                  <w:tcW w:w="840" w:type="dxa"/>
                  <w:tcBorders>
                    <w:tl2br w:val="nil"/>
                    <w:tr2bl w:val="nil"/>
                  </w:tcBorders>
                  <w:shd w:val="clear" w:color="auto" w:fill="auto"/>
                  <w:vAlign w:val="center"/>
                </w:tcPr>
                <w:p w14:paraId="7AEBD4D6">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0.0099</w:t>
                  </w:r>
                </w:p>
              </w:tc>
              <w:tc>
                <w:tcPr>
                  <w:tcW w:w="840" w:type="dxa"/>
                  <w:vMerge w:val="continue"/>
                  <w:tcBorders>
                    <w:tl2br w:val="nil"/>
                    <w:tr2bl w:val="nil"/>
                  </w:tcBorders>
                  <w:shd w:val="clear" w:color="auto" w:fill="auto"/>
                  <w:vAlign w:val="center"/>
                </w:tcPr>
                <w:p w14:paraId="28AE9C7E">
                  <w:pPr>
                    <w:jc w:val="center"/>
                    <w:rPr>
                      <w:rFonts w:hint="default" w:ascii="Times New Roman" w:hAnsi="Times New Roman" w:eastAsia="宋体" w:cs="Times New Roman"/>
                      <w:i w:val="0"/>
                      <w:iCs w:val="0"/>
                      <w:color w:val="0000FF"/>
                      <w:kern w:val="2"/>
                      <w:sz w:val="21"/>
                      <w:szCs w:val="21"/>
                      <w:u w:val="none"/>
                      <w:lang w:val="en-US" w:eastAsia="zh-CN" w:bidi="ar-SA"/>
                    </w:rPr>
                  </w:pPr>
                </w:p>
              </w:tc>
              <w:tc>
                <w:tcPr>
                  <w:tcW w:w="762" w:type="dxa"/>
                  <w:tcBorders>
                    <w:tl2br w:val="nil"/>
                    <w:tr2bl w:val="nil"/>
                  </w:tcBorders>
                  <w:shd w:val="clear" w:color="auto" w:fill="auto"/>
                  <w:vAlign w:val="center"/>
                </w:tcPr>
                <w:p w14:paraId="6347B1BC">
                  <w:pPr>
                    <w:keepNext w:val="0"/>
                    <w:keepLines w:val="0"/>
                    <w:widowControl/>
                    <w:suppressLineNumbers w:val="0"/>
                    <w:jc w:val="center"/>
                    <w:textAlignment w:val="center"/>
                    <w:rPr>
                      <w:rFonts w:hint="eastAsia" w:ascii="Times New Roman" w:hAnsi="Times New Roman" w:eastAsia="宋体" w:cs="Times New Roman"/>
                      <w:i w:val="0"/>
                      <w:iCs w:val="0"/>
                      <w:color w:val="0000FF"/>
                      <w:kern w:val="2"/>
                      <w:sz w:val="21"/>
                      <w:szCs w:val="21"/>
                      <w:u w:val="none"/>
                      <w:lang w:val="en-US" w:eastAsia="zh-CN" w:bidi="ar-SA"/>
                    </w:rPr>
                  </w:pPr>
                  <w:r>
                    <w:rPr>
                      <w:rFonts w:hint="eastAsia" w:ascii="Times New Roman" w:hAnsi="Times New Roman" w:cs="Times New Roman"/>
                      <w:i w:val="0"/>
                      <w:iCs w:val="0"/>
                      <w:color w:val="0000FF"/>
                      <w:sz w:val="21"/>
                      <w:szCs w:val="21"/>
                      <w:u w:val="none"/>
                      <w:lang w:val="en-US" w:eastAsia="zh-CN"/>
                    </w:rPr>
                    <w:t>90.89</w:t>
                  </w:r>
                </w:p>
              </w:tc>
              <w:tc>
                <w:tcPr>
                  <w:tcW w:w="918" w:type="dxa"/>
                  <w:tcBorders>
                    <w:tl2br w:val="nil"/>
                    <w:tr2bl w:val="nil"/>
                  </w:tcBorders>
                  <w:shd w:val="clear" w:color="auto" w:fill="auto"/>
                  <w:vAlign w:val="center"/>
                </w:tcPr>
                <w:p w14:paraId="1293BB0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840" w:type="dxa"/>
                  <w:tcBorders>
                    <w:tl2br w:val="nil"/>
                    <w:tr2bl w:val="nil"/>
                  </w:tcBorders>
                  <w:shd w:val="clear" w:color="auto" w:fill="auto"/>
                  <w:vAlign w:val="center"/>
                </w:tcPr>
                <w:p w14:paraId="679F59CB">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0.0009</w:t>
                  </w:r>
                </w:p>
              </w:tc>
              <w:tc>
                <w:tcPr>
                  <w:tcW w:w="942" w:type="dxa"/>
                  <w:tcBorders>
                    <w:tl2br w:val="nil"/>
                    <w:tr2bl w:val="nil"/>
                  </w:tcBorders>
                  <w:shd w:val="clear" w:color="auto" w:fill="auto"/>
                  <w:vAlign w:val="center"/>
                </w:tcPr>
                <w:p w14:paraId="720B879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740" w:type="dxa"/>
                  <w:vMerge w:val="continue"/>
                  <w:tcBorders>
                    <w:tl2br w:val="nil"/>
                    <w:tr2bl w:val="nil"/>
                  </w:tcBorders>
                  <w:shd w:val="clear" w:color="auto" w:fill="auto"/>
                  <w:vAlign w:val="center"/>
                </w:tcPr>
                <w:p w14:paraId="7832D34C">
                  <w:pPr>
                    <w:jc w:val="center"/>
                    <w:rPr>
                      <w:rFonts w:hint="eastAsia" w:ascii="宋体" w:hAnsi="宋体" w:eastAsia="宋体" w:cs="宋体"/>
                      <w:i w:val="0"/>
                      <w:iCs w:val="0"/>
                      <w:color w:val="0000FF"/>
                      <w:sz w:val="21"/>
                      <w:szCs w:val="21"/>
                      <w:u w:val="none"/>
                    </w:rPr>
                  </w:pPr>
                </w:p>
              </w:tc>
            </w:tr>
            <w:tr w14:paraId="47B7A4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10B271F2">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0E4DEDA0">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64FDAB59">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840" w:type="dxa"/>
                  <w:tcBorders>
                    <w:tl2br w:val="nil"/>
                    <w:tr2bl w:val="nil"/>
                  </w:tcBorders>
                  <w:shd w:val="clear" w:color="auto" w:fill="auto"/>
                  <w:vAlign w:val="center"/>
                </w:tcPr>
                <w:p w14:paraId="7E37BF37">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600</w:t>
                  </w:r>
                </w:p>
              </w:tc>
              <w:tc>
                <w:tcPr>
                  <w:tcW w:w="972" w:type="dxa"/>
                  <w:tcBorders>
                    <w:tl2br w:val="nil"/>
                    <w:tr2bl w:val="nil"/>
                  </w:tcBorders>
                  <w:shd w:val="clear" w:color="auto" w:fill="auto"/>
                  <w:vAlign w:val="center"/>
                </w:tcPr>
                <w:p w14:paraId="0B3D7A4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0.342</w:t>
                  </w:r>
                </w:p>
              </w:tc>
              <w:tc>
                <w:tcPr>
                  <w:tcW w:w="8270" w:type="dxa"/>
                  <w:gridSpan w:val="10"/>
                  <w:vMerge w:val="restart"/>
                  <w:tcBorders>
                    <w:tl2br w:val="nil"/>
                    <w:tr2bl w:val="nil"/>
                  </w:tcBorders>
                  <w:shd w:val="clear" w:color="auto" w:fill="auto"/>
                  <w:vAlign w:val="center"/>
                </w:tcPr>
                <w:p w14:paraId="0DC283C2">
                  <w:pPr>
                    <w:jc w:val="center"/>
                    <w:rPr>
                      <w:rFonts w:hint="eastAsia"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w:t>
                  </w:r>
                </w:p>
              </w:tc>
            </w:tr>
            <w:tr w14:paraId="1A6DE5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28B34F54">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434A8351">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6E009B26">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BOD</w:t>
                  </w:r>
                  <w:r>
                    <w:rPr>
                      <w:rStyle w:val="135"/>
                      <w:rFonts w:eastAsia="宋体"/>
                      <w:color w:val="0000FF"/>
                      <w:lang w:val="en-US" w:eastAsia="zh-CN" w:bidi="ar"/>
                    </w:rPr>
                    <w:t>5</w:t>
                  </w:r>
                </w:p>
              </w:tc>
              <w:tc>
                <w:tcPr>
                  <w:tcW w:w="840" w:type="dxa"/>
                  <w:tcBorders>
                    <w:tl2br w:val="nil"/>
                    <w:tr2bl w:val="nil"/>
                  </w:tcBorders>
                  <w:shd w:val="clear" w:color="auto" w:fill="auto"/>
                  <w:vAlign w:val="center"/>
                </w:tcPr>
                <w:p w14:paraId="4D575DE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972" w:type="dxa"/>
                  <w:tcBorders>
                    <w:tl2br w:val="nil"/>
                    <w:tr2bl w:val="nil"/>
                  </w:tcBorders>
                  <w:shd w:val="clear" w:color="auto" w:fill="auto"/>
                  <w:vAlign w:val="center"/>
                </w:tcPr>
                <w:p w14:paraId="2A63030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0.171</w:t>
                  </w:r>
                </w:p>
              </w:tc>
              <w:tc>
                <w:tcPr>
                  <w:tcW w:w="8270" w:type="dxa"/>
                  <w:gridSpan w:val="10"/>
                  <w:vMerge w:val="continue"/>
                  <w:tcBorders>
                    <w:tl2br w:val="nil"/>
                    <w:tr2bl w:val="nil"/>
                  </w:tcBorders>
                  <w:shd w:val="clear" w:color="auto" w:fill="auto"/>
                  <w:vAlign w:val="center"/>
                </w:tcPr>
                <w:p w14:paraId="2A251F75">
                  <w:pPr>
                    <w:jc w:val="center"/>
                    <w:rPr>
                      <w:rFonts w:hint="eastAsia" w:cs="Times New Roman"/>
                      <w:i w:val="0"/>
                      <w:iCs w:val="0"/>
                      <w:color w:val="0000FF"/>
                      <w:sz w:val="21"/>
                      <w:szCs w:val="21"/>
                      <w:u w:val="none"/>
                      <w:lang w:val="en-US" w:eastAsia="zh-CN"/>
                    </w:rPr>
                  </w:pPr>
                </w:p>
              </w:tc>
            </w:tr>
            <w:tr w14:paraId="30D513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406501C2">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095555E5">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0722844A">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总磷</w:t>
                  </w:r>
                </w:p>
              </w:tc>
              <w:tc>
                <w:tcPr>
                  <w:tcW w:w="840" w:type="dxa"/>
                  <w:tcBorders>
                    <w:tl2br w:val="nil"/>
                    <w:tr2bl w:val="nil"/>
                  </w:tcBorders>
                  <w:shd w:val="clear" w:color="auto" w:fill="auto"/>
                  <w:vAlign w:val="center"/>
                </w:tcPr>
                <w:p w14:paraId="0F5A3C1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972" w:type="dxa"/>
                  <w:tcBorders>
                    <w:tl2br w:val="nil"/>
                    <w:tr2bl w:val="nil"/>
                  </w:tcBorders>
                  <w:shd w:val="clear" w:color="auto" w:fill="auto"/>
                  <w:vAlign w:val="center"/>
                </w:tcPr>
                <w:p w14:paraId="2D16D13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0.0114</w:t>
                  </w:r>
                </w:p>
              </w:tc>
              <w:tc>
                <w:tcPr>
                  <w:tcW w:w="8270" w:type="dxa"/>
                  <w:gridSpan w:val="10"/>
                  <w:vMerge w:val="continue"/>
                  <w:tcBorders>
                    <w:tl2br w:val="nil"/>
                    <w:tr2bl w:val="nil"/>
                  </w:tcBorders>
                  <w:shd w:val="clear" w:color="auto" w:fill="auto"/>
                  <w:vAlign w:val="center"/>
                </w:tcPr>
                <w:p w14:paraId="62B86DFE">
                  <w:pPr>
                    <w:jc w:val="center"/>
                    <w:rPr>
                      <w:rFonts w:hint="default" w:ascii="Times New Roman" w:hAnsi="Times New Roman" w:eastAsia="宋体" w:cs="Times New Roman"/>
                      <w:i w:val="0"/>
                      <w:iCs w:val="0"/>
                      <w:color w:val="0000FF"/>
                      <w:sz w:val="21"/>
                      <w:szCs w:val="21"/>
                      <w:u w:val="none"/>
                    </w:rPr>
                  </w:pPr>
                </w:p>
              </w:tc>
            </w:tr>
            <w:tr w14:paraId="6BE456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0C7CD6CB">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31E632A6">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4429352D">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石油类</w:t>
                  </w:r>
                </w:p>
              </w:tc>
              <w:tc>
                <w:tcPr>
                  <w:tcW w:w="840" w:type="dxa"/>
                  <w:tcBorders>
                    <w:tl2br w:val="nil"/>
                    <w:tr2bl w:val="nil"/>
                  </w:tcBorders>
                  <w:shd w:val="clear" w:color="auto" w:fill="auto"/>
                  <w:vAlign w:val="center"/>
                </w:tcPr>
                <w:p w14:paraId="0A0859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972" w:type="dxa"/>
                  <w:tcBorders>
                    <w:tl2br w:val="nil"/>
                    <w:tr2bl w:val="nil"/>
                  </w:tcBorders>
                  <w:shd w:val="clear" w:color="auto" w:fill="auto"/>
                  <w:vAlign w:val="center"/>
                </w:tcPr>
                <w:p w14:paraId="48F0464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0.171</w:t>
                  </w:r>
                </w:p>
              </w:tc>
              <w:tc>
                <w:tcPr>
                  <w:tcW w:w="8270" w:type="dxa"/>
                  <w:gridSpan w:val="10"/>
                  <w:vMerge w:val="continue"/>
                  <w:tcBorders>
                    <w:tl2br w:val="nil"/>
                    <w:tr2bl w:val="nil"/>
                  </w:tcBorders>
                  <w:shd w:val="clear" w:color="auto" w:fill="auto"/>
                  <w:vAlign w:val="center"/>
                </w:tcPr>
                <w:p w14:paraId="61D6EE3F">
                  <w:pPr>
                    <w:jc w:val="center"/>
                    <w:rPr>
                      <w:rFonts w:hint="default" w:ascii="Times New Roman" w:hAnsi="Times New Roman" w:eastAsia="宋体" w:cs="Times New Roman"/>
                      <w:i w:val="0"/>
                      <w:iCs w:val="0"/>
                      <w:color w:val="0000FF"/>
                      <w:sz w:val="21"/>
                      <w:szCs w:val="21"/>
                      <w:u w:val="none"/>
                    </w:rPr>
                  </w:pPr>
                </w:p>
              </w:tc>
            </w:tr>
            <w:tr w14:paraId="47FB4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restart"/>
                  <w:tcBorders>
                    <w:tl2br w:val="nil"/>
                    <w:tr2bl w:val="nil"/>
                  </w:tcBorders>
                  <w:shd w:val="clear" w:color="auto" w:fill="auto"/>
                  <w:vAlign w:val="center"/>
                </w:tcPr>
                <w:p w14:paraId="105E74D7">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皮膜后清洗废水</w:t>
                  </w:r>
                </w:p>
              </w:tc>
              <w:tc>
                <w:tcPr>
                  <w:tcW w:w="840" w:type="dxa"/>
                  <w:vMerge w:val="restart"/>
                  <w:tcBorders>
                    <w:tl2br w:val="nil"/>
                    <w:tr2bl w:val="nil"/>
                  </w:tcBorders>
                  <w:shd w:val="clear" w:color="auto" w:fill="auto"/>
                  <w:vAlign w:val="center"/>
                </w:tcPr>
                <w:p w14:paraId="3ABB29DD">
                  <w:pPr>
                    <w:keepNext w:val="0"/>
                    <w:keepLines w:val="0"/>
                    <w:widowControl/>
                    <w:suppressLineNumbers w:val="0"/>
                    <w:jc w:val="center"/>
                    <w:textAlignment w:val="center"/>
                    <w:rPr>
                      <w:rFonts w:hint="default" w:ascii="Times New Roman" w:hAnsi="Times New Roman" w:eastAsia="宋体" w:cs="Times New Roman"/>
                      <w:i w:val="0"/>
                      <w:iCs w:val="0"/>
                      <w:color w:val="0000FF"/>
                      <w:sz w:val="22"/>
                      <w:szCs w:val="22"/>
                      <w:u w:val="none"/>
                    </w:rPr>
                  </w:pPr>
                  <w:r>
                    <w:rPr>
                      <w:rFonts w:hint="default" w:ascii="Times New Roman" w:hAnsi="Times New Roman" w:eastAsia="宋体" w:cs="Times New Roman"/>
                      <w:i w:val="0"/>
                      <w:iCs w:val="0"/>
                      <w:color w:val="0000FF"/>
                      <w:kern w:val="0"/>
                      <w:sz w:val="22"/>
                      <w:szCs w:val="22"/>
                      <w:u w:val="none"/>
                      <w:lang w:val="en-US" w:eastAsia="zh-CN" w:bidi="ar"/>
                    </w:rPr>
                    <w:t>330</w:t>
                  </w:r>
                </w:p>
              </w:tc>
              <w:tc>
                <w:tcPr>
                  <w:tcW w:w="840" w:type="dxa"/>
                  <w:tcBorders>
                    <w:tl2br w:val="nil"/>
                    <w:tr2bl w:val="nil"/>
                  </w:tcBorders>
                  <w:shd w:val="clear" w:color="auto" w:fill="auto"/>
                  <w:vAlign w:val="center"/>
                </w:tcPr>
                <w:p w14:paraId="41955A8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pH</w:t>
                  </w:r>
                </w:p>
              </w:tc>
              <w:tc>
                <w:tcPr>
                  <w:tcW w:w="840" w:type="dxa"/>
                  <w:tcBorders>
                    <w:tl2br w:val="nil"/>
                    <w:tr2bl w:val="nil"/>
                  </w:tcBorders>
                  <w:shd w:val="clear" w:color="auto" w:fill="auto"/>
                  <w:vAlign w:val="center"/>
                </w:tcPr>
                <w:p w14:paraId="234E8FBF">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72" w:type="dxa"/>
                  <w:tcBorders>
                    <w:tl2br w:val="nil"/>
                    <w:tr2bl w:val="nil"/>
                  </w:tcBorders>
                  <w:shd w:val="clear" w:color="auto" w:fill="auto"/>
                  <w:vAlign w:val="center"/>
                </w:tcPr>
                <w:p w14:paraId="1BEF75C4">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270" w:type="dxa"/>
                  <w:gridSpan w:val="10"/>
                  <w:vMerge w:val="continue"/>
                  <w:tcBorders>
                    <w:tl2br w:val="nil"/>
                    <w:tr2bl w:val="nil"/>
                  </w:tcBorders>
                  <w:shd w:val="clear" w:color="auto" w:fill="auto"/>
                  <w:vAlign w:val="center"/>
                </w:tcPr>
                <w:p w14:paraId="0F017382">
                  <w:pPr>
                    <w:jc w:val="center"/>
                    <w:rPr>
                      <w:rFonts w:hint="default" w:ascii="Times New Roman" w:hAnsi="Times New Roman" w:eastAsia="宋体" w:cs="Times New Roman"/>
                      <w:i w:val="0"/>
                      <w:iCs w:val="0"/>
                      <w:color w:val="0000FF"/>
                      <w:sz w:val="21"/>
                      <w:szCs w:val="21"/>
                      <w:u w:val="none"/>
                    </w:rPr>
                  </w:pPr>
                </w:p>
              </w:tc>
            </w:tr>
            <w:tr w14:paraId="20D56A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1ADD3B08">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5B9CAB59">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1F97925D">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840" w:type="dxa"/>
                  <w:tcBorders>
                    <w:tl2br w:val="nil"/>
                    <w:tr2bl w:val="nil"/>
                  </w:tcBorders>
                  <w:shd w:val="clear" w:color="auto" w:fill="auto"/>
                  <w:vAlign w:val="center"/>
                </w:tcPr>
                <w:p w14:paraId="7FBCE979">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972" w:type="dxa"/>
                  <w:tcBorders>
                    <w:tl2br w:val="nil"/>
                    <w:tr2bl w:val="nil"/>
                  </w:tcBorders>
                  <w:shd w:val="clear" w:color="auto" w:fill="auto"/>
                  <w:vAlign w:val="center"/>
                </w:tcPr>
                <w:p w14:paraId="56E3EF4A">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0.165</w:t>
                  </w:r>
                </w:p>
              </w:tc>
              <w:tc>
                <w:tcPr>
                  <w:tcW w:w="8270" w:type="dxa"/>
                  <w:gridSpan w:val="10"/>
                  <w:vMerge w:val="continue"/>
                  <w:tcBorders>
                    <w:tl2br w:val="nil"/>
                    <w:tr2bl w:val="nil"/>
                  </w:tcBorders>
                  <w:shd w:val="clear" w:color="auto" w:fill="auto"/>
                  <w:vAlign w:val="center"/>
                </w:tcPr>
                <w:p w14:paraId="277D799F">
                  <w:pPr>
                    <w:jc w:val="center"/>
                    <w:rPr>
                      <w:rFonts w:hint="default" w:ascii="Times New Roman" w:hAnsi="Times New Roman" w:eastAsia="宋体" w:cs="Times New Roman"/>
                      <w:i w:val="0"/>
                      <w:iCs w:val="0"/>
                      <w:color w:val="0000FF"/>
                      <w:sz w:val="21"/>
                      <w:szCs w:val="21"/>
                      <w:u w:val="none"/>
                    </w:rPr>
                  </w:pPr>
                </w:p>
              </w:tc>
            </w:tr>
            <w:tr w14:paraId="167E03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17ACB127">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0E415B5D">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77208C0E">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840" w:type="dxa"/>
                  <w:tcBorders>
                    <w:tl2br w:val="nil"/>
                    <w:tr2bl w:val="nil"/>
                  </w:tcBorders>
                  <w:shd w:val="clear" w:color="auto" w:fill="auto"/>
                  <w:vAlign w:val="center"/>
                </w:tcPr>
                <w:p w14:paraId="694DC244">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972" w:type="dxa"/>
                  <w:tcBorders>
                    <w:tl2br w:val="nil"/>
                    <w:tr2bl w:val="nil"/>
                  </w:tcBorders>
                  <w:shd w:val="clear" w:color="auto" w:fill="auto"/>
                  <w:vAlign w:val="center"/>
                </w:tcPr>
                <w:p w14:paraId="08A2BC77">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0.099</w:t>
                  </w:r>
                </w:p>
              </w:tc>
              <w:tc>
                <w:tcPr>
                  <w:tcW w:w="8270" w:type="dxa"/>
                  <w:gridSpan w:val="10"/>
                  <w:vMerge w:val="continue"/>
                  <w:tcBorders>
                    <w:tl2br w:val="nil"/>
                    <w:tr2bl w:val="nil"/>
                  </w:tcBorders>
                  <w:shd w:val="clear" w:color="auto" w:fill="auto"/>
                  <w:vAlign w:val="center"/>
                </w:tcPr>
                <w:p w14:paraId="1D309DFD">
                  <w:pPr>
                    <w:jc w:val="center"/>
                    <w:rPr>
                      <w:rFonts w:hint="default" w:ascii="Times New Roman" w:hAnsi="Times New Roman" w:eastAsia="宋体" w:cs="Times New Roman"/>
                      <w:i w:val="0"/>
                      <w:iCs w:val="0"/>
                      <w:color w:val="0000FF"/>
                      <w:sz w:val="21"/>
                      <w:szCs w:val="21"/>
                      <w:u w:val="none"/>
                    </w:rPr>
                  </w:pPr>
                </w:p>
              </w:tc>
            </w:tr>
            <w:tr w14:paraId="662D3A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3F90B3E4">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09F305FE">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3B6E1C0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BOD</w:t>
                  </w:r>
                  <w:r>
                    <w:rPr>
                      <w:rStyle w:val="135"/>
                      <w:rFonts w:eastAsia="宋体"/>
                      <w:color w:val="0000FF"/>
                      <w:lang w:val="en-US" w:eastAsia="zh-CN" w:bidi="ar"/>
                    </w:rPr>
                    <w:t>5</w:t>
                  </w:r>
                </w:p>
              </w:tc>
              <w:tc>
                <w:tcPr>
                  <w:tcW w:w="840" w:type="dxa"/>
                  <w:tcBorders>
                    <w:tl2br w:val="nil"/>
                    <w:tr2bl w:val="nil"/>
                  </w:tcBorders>
                  <w:shd w:val="clear" w:color="auto" w:fill="auto"/>
                  <w:vAlign w:val="center"/>
                </w:tcPr>
                <w:p w14:paraId="22FF4C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w:t>
                  </w:r>
                </w:p>
              </w:tc>
              <w:tc>
                <w:tcPr>
                  <w:tcW w:w="972" w:type="dxa"/>
                  <w:tcBorders>
                    <w:tl2br w:val="nil"/>
                    <w:tr2bl w:val="nil"/>
                  </w:tcBorders>
                  <w:shd w:val="clear" w:color="auto" w:fill="auto"/>
                  <w:vAlign w:val="center"/>
                </w:tcPr>
                <w:p w14:paraId="31BE9A3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0.0825</w:t>
                  </w:r>
                </w:p>
              </w:tc>
              <w:tc>
                <w:tcPr>
                  <w:tcW w:w="8270" w:type="dxa"/>
                  <w:gridSpan w:val="10"/>
                  <w:vMerge w:val="continue"/>
                  <w:tcBorders>
                    <w:tl2br w:val="nil"/>
                    <w:tr2bl w:val="nil"/>
                  </w:tcBorders>
                  <w:shd w:val="clear" w:color="auto" w:fill="auto"/>
                  <w:vAlign w:val="center"/>
                </w:tcPr>
                <w:p w14:paraId="0EA29D2A">
                  <w:pPr>
                    <w:jc w:val="center"/>
                    <w:rPr>
                      <w:rFonts w:hint="default" w:ascii="Times New Roman" w:hAnsi="Times New Roman" w:eastAsia="宋体" w:cs="Times New Roman"/>
                      <w:i w:val="0"/>
                      <w:iCs w:val="0"/>
                      <w:color w:val="0000FF"/>
                      <w:sz w:val="21"/>
                      <w:szCs w:val="21"/>
                      <w:u w:val="none"/>
                    </w:rPr>
                  </w:pPr>
                </w:p>
              </w:tc>
            </w:tr>
            <w:tr w14:paraId="6BC494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7F8398CA">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28F8B3F5">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4264E904">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总氮</w:t>
                  </w:r>
                </w:p>
              </w:tc>
              <w:tc>
                <w:tcPr>
                  <w:tcW w:w="840" w:type="dxa"/>
                  <w:tcBorders>
                    <w:tl2br w:val="nil"/>
                    <w:tr2bl w:val="nil"/>
                  </w:tcBorders>
                  <w:shd w:val="clear" w:color="auto" w:fill="auto"/>
                  <w:vAlign w:val="center"/>
                </w:tcPr>
                <w:p w14:paraId="367AA4E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972" w:type="dxa"/>
                  <w:tcBorders>
                    <w:tl2br w:val="nil"/>
                    <w:tr2bl w:val="nil"/>
                  </w:tcBorders>
                  <w:shd w:val="clear" w:color="auto" w:fill="auto"/>
                  <w:vAlign w:val="center"/>
                </w:tcPr>
                <w:p w14:paraId="4FC856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0.0099</w:t>
                  </w:r>
                </w:p>
              </w:tc>
              <w:tc>
                <w:tcPr>
                  <w:tcW w:w="8270" w:type="dxa"/>
                  <w:gridSpan w:val="10"/>
                  <w:vMerge w:val="continue"/>
                  <w:tcBorders>
                    <w:tl2br w:val="nil"/>
                    <w:tr2bl w:val="nil"/>
                  </w:tcBorders>
                  <w:shd w:val="clear" w:color="auto" w:fill="auto"/>
                  <w:vAlign w:val="center"/>
                </w:tcPr>
                <w:p w14:paraId="5B9AA939">
                  <w:pPr>
                    <w:jc w:val="center"/>
                    <w:rPr>
                      <w:rFonts w:hint="default" w:ascii="Times New Roman" w:hAnsi="Times New Roman" w:eastAsia="宋体" w:cs="Times New Roman"/>
                      <w:i w:val="0"/>
                      <w:iCs w:val="0"/>
                      <w:color w:val="0000FF"/>
                      <w:sz w:val="21"/>
                      <w:szCs w:val="21"/>
                      <w:u w:val="none"/>
                    </w:rPr>
                  </w:pPr>
                </w:p>
              </w:tc>
            </w:tr>
            <w:tr w14:paraId="35AFCB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32EDF7FB">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1C714D55">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69251F5B">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总磷</w:t>
                  </w:r>
                </w:p>
              </w:tc>
              <w:tc>
                <w:tcPr>
                  <w:tcW w:w="840" w:type="dxa"/>
                  <w:tcBorders>
                    <w:tl2br w:val="nil"/>
                    <w:tr2bl w:val="nil"/>
                  </w:tcBorders>
                  <w:shd w:val="clear" w:color="auto" w:fill="auto"/>
                  <w:vAlign w:val="center"/>
                </w:tcPr>
                <w:p w14:paraId="63A74C4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972" w:type="dxa"/>
                  <w:tcBorders>
                    <w:tl2br w:val="nil"/>
                    <w:tr2bl w:val="nil"/>
                  </w:tcBorders>
                  <w:shd w:val="clear" w:color="auto" w:fill="auto"/>
                  <w:vAlign w:val="center"/>
                </w:tcPr>
                <w:p w14:paraId="5089A3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0.0066</w:t>
                  </w:r>
                </w:p>
              </w:tc>
              <w:tc>
                <w:tcPr>
                  <w:tcW w:w="8270" w:type="dxa"/>
                  <w:gridSpan w:val="10"/>
                  <w:vMerge w:val="continue"/>
                  <w:tcBorders>
                    <w:tl2br w:val="nil"/>
                    <w:tr2bl w:val="nil"/>
                  </w:tcBorders>
                  <w:shd w:val="clear" w:color="auto" w:fill="auto"/>
                  <w:vAlign w:val="center"/>
                </w:tcPr>
                <w:p w14:paraId="6F7E685D">
                  <w:pPr>
                    <w:jc w:val="center"/>
                    <w:rPr>
                      <w:rFonts w:hint="default" w:ascii="Times New Roman" w:hAnsi="Times New Roman" w:eastAsia="宋体" w:cs="Times New Roman"/>
                      <w:i w:val="0"/>
                      <w:iCs w:val="0"/>
                      <w:color w:val="0000FF"/>
                      <w:sz w:val="21"/>
                      <w:szCs w:val="21"/>
                      <w:u w:val="none"/>
                    </w:rPr>
                  </w:pPr>
                </w:p>
              </w:tc>
            </w:tr>
            <w:tr w14:paraId="7A251C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40" w:hRule="atLeast"/>
                <w:jc w:val="center"/>
              </w:trPr>
              <w:tc>
                <w:tcPr>
                  <w:tcW w:w="840" w:type="dxa"/>
                  <w:vMerge w:val="continue"/>
                  <w:tcBorders>
                    <w:tl2br w:val="nil"/>
                    <w:tr2bl w:val="nil"/>
                  </w:tcBorders>
                  <w:shd w:val="clear" w:color="auto" w:fill="auto"/>
                  <w:vAlign w:val="center"/>
                </w:tcPr>
                <w:p w14:paraId="3D674ADE">
                  <w:pPr>
                    <w:jc w:val="center"/>
                    <w:rPr>
                      <w:rFonts w:hint="eastAsia" w:ascii="宋体" w:hAnsi="宋体" w:eastAsia="宋体" w:cs="宋体"/>
                      <w:i w:val="0"/>
                      <w:iCs w:val="0"/>
                      <w:color w:val="0000FF"/>
                      <w:sz w:val="21"/>
                      <w:szCs w:val="21"/>
                      <w:u w:val="none"/>
                    </w:rPr>
                  </w:pPr>
                </w:p>
              </w:tc>
              <w:tc>
                <w:tcPr>
                  <w:tcW w:w="840" w:type="dxa"/>
                  <w:vMerge w:val="continue"/>
                  <w:tcBorders>
                    <w:tl2br w:val="nil"/>
                    <w:tr2bl w:val="nil"/>
                  </w:tcBorders>
                  <w:shd w:val="clear" w:color="auto" w:fill="auto"/>
                  <w:vAlign w:val="center"/>
                </w:tcPr>
                <w:p w14:paraId="589F4BFF">
                  <w:pPr>
                    <w:jc w:val="center"/>
                    <w:rPr>
                      <w:rFonts w:hint="default" w:ascii="Times New Roman" w:hAnsi="Times New Roman" w:eastAsia="宋体" w:cs="Times New Roman"/>
                      <w:i w:val="0"/>
                      <w:iCs w:val="0"/>
                      <w:color w:val="0000FF"/>
                      <w:sz w:val="22"/>
                      <w:szCs w:val="22"/>
                      <w:u w:val="none"/>
                    </w:rPr>
                  </w:pPr>
                </w:p>
              </w:tc>
              <w:tc>
                <w:tcPr>
                  <w:tcW w:w="840" w:type="dxa"/>
                  <w:tcBorders>
                    <w:tl2br w:val="nil"/>
                    <w:tr2bl w:val="nil"/>
                  </w:tcBorders>
                  <w:shd w:val="clear" w:color="auto" w:fill="auto"/>
                  <w:vAlign w:val="center"/>
                </w:tcPr>
                <w:p w14:paraId="0877A303">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总锌</w:t>
                  </w:r>
                </w:p>
              </w:tc>
              <w:tc>
                <w:tcPr>
                  <w:tcW w:w="840" w:type="dxa"/>
                  <w:tcBorders>
                    <w:tl2br w:val="nil"/>
                    <w:tr2bl w:val="nil"/>
                  </w:tcBorders>
                  <w:shd w:val="clear" w:color="auto" w:fill="auto"/>
                  <w:vAlign w:val="center"/>
                </w:tcPr>
                <w:p w14:paraId="696C8AF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972" w:type="dxa"/>
                  <w:tcBorders>
                    <w:tl2br w:val="nil"/>
                    <w:tr2bl w:val="nil"/>
                  </w:tcBorders>
                  <w:shd w:val="clear" w:color="auto" w:fill="auto"/>
                  <w:vAlign w:val="center"/>
                </w:tcPr>
                <w:p w14:paraId="151F82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0.0099</w:t>
                  </w:r>
                </w:p>
              </w:tc>
              <w:tc>
                <w:tcPr>
                  <w:tcW w:w="8270" w:type="dxa"/>
                  <w:gridSpan w:val="10"/>
                  <w:vMerge w:val="continue"/>
                  <w:tcBorders>
                    <w:tl2br w:val="nil"/>
                    <w:tr2bl w:val="nil"/>
                  </w:tcBorders>
                  <w:shd w:val="clear" w:color="auto" w:fill="auto"/>
                  <w:vAlign w:val="center"/>
                </w:tcPr>
                <w:p w14:paraId="51B57AD8">
                  <w:pPr>
                    <w:jc w:val="center"/>
                    <w:rPr>
                      <w:rFonts w:hint="default" w:ascii="Times New Roman" w:hAnsi="Times New Roman" w:eastAsia="宋体" w:cs="Times New Roman"/>
                      <w:i w:val="0"/>
                      <w:iCs w:val="0"/>
                      <w:color w:val="0000FF"/>
                      <w:sz w:val="21"/>
                      <w:szCs w:val="21"/>
                      <w:u w:val="none"/>
                    </w:rPr>
                  </w:pPr>
                </w:p>
              </w:tc>
            </w:tr>
          </w:tbl>
          <w:p w14:paraId="507F5AD6">
            <w:pPr>
              <w:spacing w:line="300" w:lineRule="auto"/>
              <w:ind w:firstLine="480" w:firstLineChars="200"/>
              <w:jc w:val="center"/>
              <w:rPr>
                <w:rFonts w:ascii="Times New Roman" w:hAnsi="Times New Roman" w:eastAsia="宋体" w:cs="Times New Roman"/>
                <w:color w:val="auto"/>
                <w:sz w:val="24"/>
                <w:szCs w:val="22"/>
                <w:highlight w:val="none"/>
              </w:rPr>
            </w:pPr>
          </w:p>
          <w:p w14:paraId="12BFECA7">
            <w:pPr>
              <w:keepNext w:val="0"/>
              <w:keepLines w:val="0"/>
              <w:suppressLineNumbers w:val="0"/>
              <w:spacing w:before="0" w:beforeAutospacing="0" w:after="0" w:afterAutospacing="0" w:line="300" w:lineRule="auto"/>
              <w:ind w:right="0"/>
              <w:rPr>
                <w:color w:val="auto"/>
                <w:sz w:val="24"/>
                <w:szCs w:val="22"/>
                <w:highlight w:val="none"/>
              </w:rPr>
            </w:pPr>
          </w:p>
        </w:tc>
      </w:tr>
    </w:tbl>
    <w:p w14:paraId="7D0B17F0">
      <w:pPr>
        <w:pStyle w:val="10"/>
      </w:pPr>
    </w:p>
    <w:p w14:paraId="5CBB6ED1">
      <w:pPr>
        <w:adjustRightInd w:val="0"/>
        <w:snapToGrid w:val="0"/>
        <w:spacing w:line="360" w:lineRule="auto"/>
        <w:rPr>
          <w:rFonts w:ascii="宋体" w:hAnsi="Times New Roman" w:eastAsia="宋体" w:cs="宋体"/>
          <w:b/>
          <w:color w:val="FF0000"/>
          <w:kern w:val="0"/>
          <w:sz w:val="28"/>
          <w:szCs w:val="28"/>
          <w:highlight w:val="none"/>
        </w:rPr>
        <w:sectPr>
          <w:pgSz w:w="16840" w:h="11907" w:orient="landscape"/>
          <w:pgMar w:top="1531" w:right="1701" w:bottom="1531" w:left="2127" w:header="851" w:footer="850" w:gutter="0"/>
          <w:pgBorders>
            <w:top w:val="none" w:sz="0" w:space="0"/>
            <w:left w:val="none" w:sz="0" w:space="0"/>
            <w:bottom w:val="none" w:sz="0" w:space="0"/>
            <w:right w:val="none" w:sz="0" w:space="0"/>
          </w:pgBorders>
          <w:cols w:space="0" w:num="1"/>
          <w:rtlGutter w:val="0"/>
          <w:docGrid w:linePitch="312" w:charSpace="0"/>
        </w:sectPr>
      </w:pPr>
    </w:p>
    <w:tbl>
      <w:tblPr>
        <w:tblStyle w:val="31"/>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
        <w:gridCol w:w="8454"/>
      </w:tblGrid>
      <w:tr w14:paraId="365C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5" w:type="dxa"/>
            <w:vAlign w:val="center"/>
          </w:tcPr>
          <w:p w14:paraId="7C015041">
            <w:pPr>
              <w:keepNext w:val="0"/>
              <w:keepLines w:val="0"/>
              <w:suppressLineNumbers w:val="0"/>
              <w:spacing w:before="0" w:beforeAutospacing="0" w:after="0" w:afterAutospacing="0"/>
              <w:ind w:left="0" w:right="0"/>
              <w:jc w:val="center"/>
              <w:rPr>
                <w:color w:val="FF0000"/>
                <w:szCs w:val="21"/>
                <w:highlight w:val="none"/>
              </w:rPr>
            </w:pPr>
          </w:p>
        </w:tc>
        <w:tc>
          <w:tcPr>
            <w:tcW w:w="8454" w:type="dxa"/>
            <w:vAlign w:val="center"/>
          </w:tcPr>
          <w:p w14:paraId="566A0E2E">
            <w:pPr>
              <w:spacing w:line="300" w:lineRule="auto"/>
              <w:ind w:firstLine="422" w:firstLineChars="200"/>
              <w:jc w:val="center"/>
              <w:rPr>
                <w:rFonts w:hint="eastAsia" w:ascii="Times New Roman" w:hAnsi="Times New Roman" w:eastAsia="宋体" w:cs="Times New Roman"/>
                <w:b/>
                <w:bCs/>
                <w:color w:val="0000FF"/>
                <w:kern w:val="0"/>
                <w:sz w:val="21"/>
                <w:szCs w:val="16"/>
                <w:highlight w:val="none"/>
                <w:lang w:val="en-US" w:eastAsia="zh-CN" w:bidi="ar-SA"/>
              </w:rPr>
            </w:pPr>
            <w:r>
              <w:rPr>
                <w:rFonts w:hint="eastAsia" w:ascii="Times New Roman" w:hAnsi="Times New Roman" w:eastAsia="宋体" w:cs="Times New Roman"/>
                <w:b/>
                <w:bCs/>
                <w:color w:val="0000FF"/>
                <w:kern w:val="0"/>
                <w:sz w:val="21"/>
                <w:szCs w:val="16"/>
                <w:highlight w:val="none"/>
                <w:lang w:val="en-US" w:eastAsia="zh-CN" w:bidi="ar-SA"/>
              </w:rPr>
              <w:t>表</w:t>
            </w:r>
            <w:r>
              <w:rPr>
                <w:rFonts w:hint="eastAsia" w:cs="Times New Roman"/>
                <w:b/>
                <w:bCs/>
                <w:color w:val="0000FF"/>
                <w:kern w:val="0"/>
                <w:sz w:val="21"/>
                <w:szCs w:val="16"/>
                <w:highlight w:val="none"/>
                <w:lang w:val="en-US" w:eastAsia="zh-CN" w:bidi="ar-SA"/>
              </w:rPr>
              <w:t>4-19</w:t>
            </w:r>
            <w:r>
              <w:rPr>
                <w:rFonts w:hint="eastAsia" w:ascii="Times New Roman" w:hAnsi="Times New Roman" w:eastAsia="宋体" w:cs="Times New Roman"/>
                <w:b/>
                <w:bCs/>
                <w:color w:val="0000FF"/>
                <w:kern w:val="0"/>
                <w:sz w:val="21"/>
                <w:szCs w:val="16"/>
                <w:highlight w:val="none"/>
                <w:lang w:val="en-US" w:eastAsia="zh-CN" w:bidi="ar-SA"/>
              </w:rPr>
              <w:t xml:space="preserve"> 本项目废水</w:t>
            </w:r>
            <w:r>
              <w:rPr>
                <w:rFonts w:hint="eastAsia" w:cs="Times New Roman"/>
                <w:b/>
                <w:bCs/>
                <w:color w:val="0000FF"/>
                <w:kern w:val="0"/>
                <w:sz w:val="21"/>
                <w:szCs w:val="16"/>
                <w:highlight w:val="none"/>
                <w:lang w:val="en-US" w:eastAsia="zh-CN" w:bidi="ar-SA"/>
              </w:rPr>
              <w:t>排放</w:t>
            </w:r>
            <w:r>
              <w:rPr>
                <w:rFonts w:hint="eastAsia" w:ascii="Times New Roman" w:hAnsi="Times New Roman" w:eastAsia="宋体" w:cs="Times New Roman"/>
                <w:b/>
                <w:bCs/>
                <w:color w:val="0000FF"/>
                <w:kern w:val="0"/>
                <w:sz w:val="21"/>
                <w:szCs w:val="16"/>
                <w:highlight w:val="none"/>
                <w:lang w:val="en-US" w:eastAsia="zh-CN" w:bidi="ar-SA"/>
              </w:rPr>
              <w:t>情况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823"/>
              <w:gridCol w:w="823"/>
              <w:gridCol w:w="824"/>
              <w:gridCol w:w="824"/>
              <w:gridCol w:w="824"/>
              <w:gridCol w:w="824"/>
              <w:gridCol w:w="824"/>
              <w:gridCol w:w="824"/>
              <w:gridCol w:w="824"/>
              <w:gridCol w:w="824"/>
            </w:tblGrid>
            <w:tr w14:paraId="06B4F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823" w:type="dxa"/>
                  <w:vMerge w:val="restart"/>
                  <w:tcBorders>
                    <w:tl2br w:val="nil"/>
                    <w:tr2bl w:val="nil"/>
                  </w:tcBorders>
                  <w:shd w:val="clear" w:color="auto" w:fill="auto"/>
                  <w:vAlign w:val="center"/>
                </w:tcPr>
                <w:p w14:paraId="2FEB5075">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废水名称</w:t>
                  </w:r>
                </w:p>
              </w:tc>
              <w:tc>
                <w:tcPr>
                  <w:tcW w:w="823" w:type="dxa"/>
                  <w:vMerge w:val="restart"/>
                  <w:tcBorders>
                    <w:tl2br w:val="nil"/>
                    <w:tr2bl w:val="nil"/>
                  </w:tcBorders>
                  <w:shd w:val="clear" w:color="auto" w:fill="auto"/>
                  <w:vAlign w:val="center"/>
                </w:tcPr>
                <w:p w14:paraId="0E9F782E">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废水排放量（</w:t>
                  </w:r>
                  <w:r>
                    <w:rPr>
                      <w:rFonts w:hint="default" w:ascii="Times New Roman" w:hAnsi="Times New Roman" w:eastAsia="宋体" w:cs="Times New Roman"/>
                      <w:b/>
                      <w:bCs/>
                      <w:i w:val="0"/>
                      <w:iCs w:val="0"/>
                      <w:color w:val="0000FF"/>
                      <w:kern w:val="0"/>
                      <w:sz w:val="21"/>
                      <w:szCs w:val="21"/>
                      <w:u w:val="none"/>
                      <w:lang w:val="en-US" w:eastAsia="zh-CN" w:bidi="ar"/>
                    </w:rPr>
                    <w:t>m</w:t>
                  </w:r>
                  <w:r>
                    <w:rPr>
                      <w:rFonts w:hint="default" w:ascii="Times New Roman" w:hAnsi="Times New Roman" w:eastAsia="宋体" w:cs="Times New Roman"/>
                      <w:b/>
                      <w:bCs/>
                      <w:i w:val="0"/>
                      <w:iCs w:val="0"/>
                      <w:color w:val="0000FF"/>
                      <w:kern w:val="0"/>
                      <w:sz w:val="21"/>
                      <w:szCs w:val="21"/>
                      <w:u w:val="none"/>
                      <w:vertAlign w:val="superscript"/>
                      <w:lang w:val="en-US" w:eastAsia="zh-CN" w:bidi="ar"/>
                    </w:rPr>
                    <w:t>3</w:t>
                  </w:r>
                  <w:r>
                    <w:rPr>
                      <w:rFonts w:hint="default" w:ascii="Times New Roman" w:hAnsi="Times New Roman" w:eastAsia="宋体" w:cs="Times New Roman"/>
                      <w:b/>
                      <w:bCs/>
                      <w:i w:val="0"/>
                      <w:iCs w:val="0"/>
                      <w:color w:val="0000FF"/>
                      <w:kern w:val="0"/>
                      <w:sz w:val="21"/>
                      <w:szCs w:val="21"/>
                      <w:u w:val="none"/>
                      <w:lang w:val="en-US" w:eastAsia="zh-CN" w:bidi="ar"/>
                    </w:rPr>
                    <w:t>/a</w:t>
                  </w:r>
                  <w:r>
                    <w:rPr>
                      <w:rFonts w:hint="eastAsia" w:ascii="宋体" w:hAnsi="宋体" w:eastAsia="宋体" w:cs="宋体"/>
                      <w:b/>
                      <w:bCs/>
                      <w:i w:val="0"/>
                      <w:iCs w:val="0"/>
                      <w:color w:val="0000FF"/>
                      <w:kern w:val="0"/>
                      <w:sz w:val="21"/>
                      <w:szCs w:val="21"/>
                      <w:u w:val="none"/>
                      <w:lang w:val="en-US" w:eastAsia="zh-CN" w:bidi="ar"/>
                    </w:rPr>
                    <w:t>）</w:t>
                  </w:r>
                </w:p>
              </w:tc>
              <w:tc>
                <w:tcPr>
                  <w:tcW w:w="824" w:type="dxa"/>
                  <w:vMerge w:val="restart"/>
                  <w:tcBorders>
                    <w:tl2br w:val="nil"/>
                    <w:tr2bl w:val="nil"/>
                  </w:tcBorders>
                  <w:shd w:val="clear" w:color="auto" w:fill="auto"/>
                  <w:vAlign w:val="center"/>
                </w:tcPr>
                <w:p w14:paraId="764D9142">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污染物名称</w:t>
                  </w:r>
                </w:p>
              </w:tc>
              <w:tc>
                <w:tcPr>
                  <w:tcW w:w="1648" w:type="dxa"/>
                  <w:gridSpan w:val="2"/>
                  <w:tcBorders>
                    <w:tl2br w:val="nil"/>
                    <w:tr2bl w:val="nil"/>
                  </w:tcBorders>
                  <w:shd w:val="clear" w:color="auto" w:fill="auto"/>
                  <w:vAlign w:val="center"/>
                </w:tcPr>
                <w:p w14:paraId="3BEAF64A">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污染物排放量</w:t>
                  </w:r>
                </w:p>
              </w:tc>
              <w:tc>
                <w:tcPr>
                  <w:tcW w:w="824" w:type="dxa"/>
                  <w:vMerge w:val="restart"/>
                  <w:tcBorders>
                    <w:tl2br w:val="nil"/>
                    <w:tr2bl w:val="nil"/>
                  </w:tcBorders>
                  <w:shd w:val="clear" w:color="auto" w:fill="auto"/>
                  <w:vAlign w:val="center"/>
                </w:tcPr>
                <w:p w14:paraId="0C541060">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混合后废水量（</w:t>
                  </w:r>
                  <w:r>
                    <w:rPr>
                      <w:rFonts w:hint="default" w:ascii="Times New Roman" w:hAnsi="Times New Roman" w:eastAsia="宋体" w:cs="Times New Roman"/>
                      <w:b/>
                      <w:bCs/>
                      <w:i w:val="0"/>
                      <w:iCs w:val="0"/>
                      <w:color w:val="0000FF"/>
                      <w:kern w:val="0"/>
                      <w:sz w:val="21"/>
                      <w:szCs w:val="21"/>
                      <w:u w:val="none"/>
                      <w:lang w:val="en-US" w:eastAsia="zh-CN" w:bidi="ar"/>
                    </w:rPr>
                    <w:t>m</w:t>
                  </w:r>
                  <w:r>
                    <w:rPr>
                      <w:rFonts w:hint="default" w:ascii="Times New Roman" w:hAnsi="Times New Roman" w:eastAsia="宋体" w:cs="Times New Roman"/>
                      <w:b/>
                      <w:bCs/>
                      <w:i w:val="0"/>
                      <w:iCs w:val="0"/>
                      <w:color w:val="0000FF"/>
                      <w:kern w:val="0"/>
                      <w:sz w:val="21"/>
                      <w:szCs w:val="21"/>
                      <w:u w:val="none"/>
                      <w:vertAlign w:val="superscript"/>
                      <w:lang w:val="en-US" w:eastAsia="zh-CN" w:bidi="ar"/>
                    </w:rPr>
                    <w:t>3</w:t>
                  </w:r>
                  <w:r>
                    <w:rPr>
                      <w:rFonts w:hint="default" w:ascii="Times New Roman" w:hAnsi="Times New Roman" w:eastAsia="宋体" w:cs="Times New Roman"/>
                      <w:b/>
                      <w:bCs/>
                      <w:i w:val="0"/>
                      <w:iCs w:val="0"/>
                      <w:color w:val="0000FF"/>
                      <w:kern w:val="0"/>
                      <w:sz w:val="21"/>
                      <w:szCs w:val="21"/>
                      <w:u w:val="none"/>
                      <w:lang w:val="en-US" w:eastAsia="zh-CN" w:bidi="ar"/>
                    </w:rPr>
                    <w:t>/a</w:t>
                  </w:r>
                  <w:r>
                    <w:rPr>
                      <w:rFonts w:hint="eastAsia" w:ascii="宋体" w:hAnsi="宋体" w:eastAsia="宋体" w:cs="宋体"/>
                      <w:b/>
                      <w:bCs/>
                      <w:i w:val="0"/>
                      <w:iCs w:val="0"/>
                      <w:color w:val="0000FF"/>
                      <w:kern w:val="0"/>
                      <w:sz w:val="21"/>
                      <w:szCs w:val="21"/>
                      <w:u w:val="none"/>
                      <w:lang w:val="en-US" w:eastAsia="zh-CN" w:bidi="ar"/>
                    </w:rPr>
                    <w:t>）</w:t>
                  </w:r>
                </w:p>
              </w:tc>
              <w:tc>
                <w:tcPr>
                  <w:tcW w:w="2472" w:type="dxa"/>
                  <w:gridSpan w:val="3"/>
                  <w:tcBorders>
                    <w:tl2br w:val="nil"/>
                    <w:tr2bl w:val="nil"/>
                  </w:tcBorders>
                  <w:shd w:val="clear" w:color="auto" w:fill="auto"/>
                  <w:vAlign w:val="center"/>
                </w:tcPr>
                <w:p w14:paraId="031808D5">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混合后污染物排放情况</w:t>
                  </w:r>
                </w:p>
              </w:tc>
              <w:tc>
                <w:tcPr>
                  <w:tcW w:w="824" w:type="dxa"/>
                  <w:vMerge w:val="restart"/>
                  <w:tcBorders>
                    <w:tl2br w:val="nil"/>
                    <w:tr2bl w:val="nil"/>
                  </w:tcBorders>
                  <w:shd w:val="clear" w:color="auto" w:fill="auto"/>
                  <w:vAlign w:val="center"/>
                </w:tcPr>
                <w:p w14:paraId="1A4F6E52">
                  <w:pPr>
                    <w:jc w:val="center"/>
                    <w:rPr>
                      <w:rFonts w:hint="eastAsia" w:ascii="宋体" w:hAnsi="宋体" w:eastAsia="宋体" w:cs="宋体"/>
                      <w:i w:val="0"/>
                      <w:iCs w:val="0"/>
                      <w:color w:val="0000FF"/>
                      <w:sz w:val="21"/>
                      <w:szCs w:val="21"/>
                      <w:u w:val="none"/>
                      <w:lang w:val="en-US" w:eastAsia="zh-CN"/>
                    </w:rPr>
                  </w:pPr>
                  <w:r>
                    <w:rPr>
                      <w:rFonts w:hint="eastAsia" w:ascii="宋体" w:hAnsi="宋体" w:eastAsia="宋体" w:cs="宋体"/>
                      <w:b/>
                      <w:bCs/>
                      <w:i w:val="0"/>
                      <w:iCs w:val="0"/>
                      <w:color w:val="0000FF"/>
                      <w:sz w:val="21"/>
                      <w:szCs w:val="21"/>
                      <w:u w:val="none"/>
                      <w:lang w:val="en-US" w:eastAsia="zh-CN"/>
                    </w:rPr>
                    <w:t>排放去向</w:t>
                  </w:r>
                </w:p>
              </w:tc>
            </w:tr>
            <w:tr w14:paraId="1B0BC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555" w:hRule="atLeast"/>
                <w:jc w:val="center"/>
              </w:trPr>
              <w:tc>
                <w:tcPr>
                  <w:tcW w:w="823" w:type="dxa"/>
                  <w:vMerge w:val="continue"/>
                  <w:tcBorders>
                    <w:tl2br w:val="nil"/>
                    <w:tr2bl w:val="nil"/>
                  </w:tcBorders>
                  <w:shd w:val="clear" w:color="auto" w:fill="auto"/>
                  <w:vAlign w:val="center"/>
                </w:tcPr>
                <w:p w14:paraId="41A8A9DE">
                  <w:pPr>
                    <w:jc w:val="center"/>
                    <w:rPr>
                      <w:rFonts w:hint="eastAsia" w:ascii="宋体" w:hAnsi="宋体" w:eastAsia="宋体" w:cs="宋体"/>
                      <w:b/>
                      <w:bCs/>
                      <w:i w:val="0"/>
                      <w:iCs w:val="0"/>
                      <w:color w:val="0000FF"/>
                      <w:sz w:val="21"/>
                      <w:szCs w:val="21"/>
                      <w:u w:val="none"/>
                    </w:rPr>
                  </w:pPr>
                </w:p>
              </w:tc>
              <w:tc>
                <w:tcPr>
                  <w:tcW w:w="823" w:type="dxa"/>
                  <w:vMerge w:val="continue"/>
                  <w:tcBorders>
                    <w:tl2br w:val="nil"/>
                    <w:tr2bl w:val="nil"/>
                  </w:tcBorders>
                  <w:shd w:val="clear" w:color="auto" w:fill="auto"/>
                  <w:vAlign w:val="center"/>
                </w:tcPr>
                <w:p w14:paraId="1487EF3F">
                  <w:pPr>
                    <w:jc w:val="center"/>
                    <w:rPr>
                      <w:rFonts w:hint="eastAsia" w:ascii="宋体" w:hAnsi="宋体" w:eastAsia="宋体" w:cs="宋体"/>
                      <w:b/>
                      <w:bCs/>
                      <w:i w:val="0"/>
                      <w:iCs w:val="0"/>
                      <w:color w:val="0000FF"/>
                      <w:sz w:val="21"/>
                      <w:szCs w:val="21"/>
                      <w:u w:val="none"/>
                    </w:rPr>
                  </w:pPr>
                </w:p>
              </w:tc>
              <w:tc>
                <w:tcPr>
                  <w:tcW w:w="824" w:type="dxa"/>
                  <w:vMerge w:val="continue"/>
                  <w:tcBorders>
                    <w:tl2br w:val="nil"/>
                    <w:tr2bl w:val="nil"/>
                  </w:tcBorders>
                  <w:shd w:val="clear" w:color="auto" w:fill="auto"/>
                  <w:vAlign w:val="center"/>
                </w:tcPr>
                <w:p w14:paraId="640824D9">
                  <w:pPr>
                    <w:jc w:val="center"/>
                    <w:rPr>
                      <w:rFonts w:hint="eastAsia" w:ascii="宋体" w:hAnsi="宋体" w:eastAsia="宋体" w:cs="宋体"/>
                      <w:b/>
                      <w:bCs/>
                      <w:i w:val="0"/>
                      <w:iCs w:val="0"/>
                      <w:color w:val="0000FF"/>
                      <w:sz w:val="21"/>
                      <w:szCs w:val="21"/>
                      <w:u w:val="none"/>
                    </w:rPr>
                  </w:pPr>
                </w:p>
              </w:tc>
              <w:tc>
                <w:tcPr>
                  <w:tcW w:w="824" w:type="dxa"/>
                  <w:tcBorders>
                    <w:tl2br w:val="nil"/>
                    <w:tr2bl w:val="nil"/>
                  </w:tcBorders>
                  <w:shd w:val="clear" w:color="auto" w:fill="auto"/>
                  <w:vAlign w:val="center"/>
                </w:tcPr>
                <w:p w14:paraId="48E300C1">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浓度（</w:t>
                  </w:r>
                  <w:r>
                    <w:rPr>
                      <w:rFonts w:hint="default" w:ascii="Times New Roman" w:hAnsi="Times New Roman" w:eastAsia="宋体" w:cs="Times New Roman"/>
                      <w:b/>
                      <w:bCs/>
                      <w:i w:val="0"/>
                      <w:iCs w:val="0"/>
                      <w:color w:val="0000FF"/>
                      <w:kern w:val="0"/>
                      <w:sz w:val="21"/>
                      <w:szCs w:val="21"/>
                      <w:u w:val="none"/>
                      <w:lang w:val="en-US" w:eastAsia="zh-CN" w:bidi="ar"/>
                    </w:rPr>
                    <w:t>mg/L</w:t>
                  </w:r>
                  <w:r>
                    <w:rPr>
                      <w:rFonts w:hint="eastAsia" w:ascii="宋体" w:hAnsi="宋体" w:eastAsia="宋体" w:cs="宋体"/>
                      <w:b/>
                      <w:bCs/>
                      <w:i w:val="0"/>
                      <w:iCs w:val="0"/>
                      <w:color w:val="0000FF"/>
                      <w:kern w:val="0"/>
                      <w:sz w:val="21"/>
                      <w:szCs w:val="21"/>
                      <w:u w:val="none"/>
                      <w:lang w:val="en-US" w:eastAsia="zh-CN" w:bidi="ar"/>
                    </w:rPr>
                    <w:t>）</w:t>
                  </w:r>
                </w:p>
              </w:tc>
              <w:tc>
                <w:tcPr>
                  <w:tcW w:w="824" w:type="dxa"/>
                  <w:tcBorders>
                    <w:tl2br w:val="nil"/>
                    <w:tr2bl w:val="nil"/>
                  </w:tcBorders>
                  <w:shd w:val="clear" w:color="auto" w:fill="auto"/>
                  <w:vAlign w:val="center"/>
                </w:tcPr>
                <w:p w14:paraId="3AC7CEE0">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产生量（</w:t>
                  </w:r>
                  <w:r>
                    <w:rPr>
                      <w:rFonts w:hint="default" w:ascii="Times New Roman" w:hAnsi="Times New Roman" w:eastAsia="宋体" w:cs="Times New Roman"/>
                      <w:b/>
                      <w:bCs/>
                      <w:i w:val="0"/>
                      <w:iCs w:val="0"/>
                      <w:color w:val="0000FF"/>
                      <w:kern w:val="0"/>
                      <w:sz w:val="21"/>
                      <w:szCs w:val="21"/>
                      <w:u w:val="none"/>
                      <w:lang w:val="en-US" w:eastAsia="zh-CN" w:bidi="ar"/>
                    </w:rPr>
                    <w:t>t/a</w:t>
                  </w:r>
                  <w:r>
                    <w:rPr>
                      <w:rFonts w:hint="eastAsia" w:ascii="宋体" w:hAnsi="宋体" w:eastAsia="宋体" w:cs="宋体"/>
                      <w:b/>
                      <w:bCs/>
                      <w:i w:val="0"/>
                      <w:iCs w:val="0"/>
                      <w:color w:val="0000FF"/>
                      <w:kern w:val="0"/>
                      <w:sz w:val="21"/>
                      <w:szCs w:val="21"/>
                      <w:u w:val="none"/>
                      <w:lang w:val="en-US" w:eastAsia="zh-CN" w:bidi="ar"/>
                    </w:rPr>
                    <w:t>）</w:t>
                  </w:r>
                </w:p>
              </w:tc>
              <w:tc>
                <w:tcPr>
                  <w:tcW w:w="824" w:type="dxa"/>
                  <w:vMerge w:val="continue"/>
                  <w:tcBorders>
                    <w:tl2br w:val="nil"/>
                    <w:tr2bl w:val="nil"/>
                  </w:tcBorders>
                  <w:shd w:val="clear" w:color="auto" w:fill="auto"/>
                  <w:vAlign w:val="center"/>
                </w:tcPr>
                <w:p w14:paraId="7C6DAEFF">
                  <w:pPr>
                    <w:jc w:val="center"/>
                    <w:rPr>
                      <w:rFonts w:hint="eastAsia" w:ascii="宋体" w:hAnsi="宋体" w:eastAsia="宋体" w:cs="宋体"/>
                      <w:b/>
                      <w:bCs/>
                      <w:i w:val="0"/>
                      <w:iCs w:val="0"/>
                      <w:color w:val="0000FF"/>
                      <w:sz w:val="21"/>
                      <w:szCs w:val="21"/>
                      <w:u w:val="none"/>
                    </w:rPr>
                  </w:pPr>
                </w:p>
              </w:tc>
              <w:tc>
                <w:tcPr>
                  <w:tcW w:w="824" w:type="dxa"/>
                  <w:tcBorders>
                    <w:tl2br w:val="nil"/>
                    <w:tr2bl w:val="nil"/>
                  </w:tcBorders>
                  <w:shd w:val="clear" w:color="auto" w:fill="auto"/>
                  <w:vAlign w:val="center"/>
                </w:tcPr>
                <w:p w14:paraId="4866139D">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污染物名称</w:t>
                  </w:r>
                </w:p>
              </w:tc>
              <w:tc>
                <w:tcPr>
                  <w:tcW w:w="824" w:type="dxa"/>
                  <w:tcBorders>
                    <w:tl2br w:val="nil"/>
                    <w:tr2bl w:val="nil"/>
                  </w:tcBorders>
                  <w:shd w:val="clear" w:color="auto" w:fill="auto"/>
                  <w:vAlign w:val="center"/>
                </w:tcPr>
                <w:p w14:paraId="436058BA">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浓度（</w:t>
                  </w:r>
                  <w:r>
                    <w:rPr>
                      <w:rFonts w:hint="default" w:ascii="Times New Roman" w:hAnsi="Times New Roman" w:eastAsia="宋体" w:cs="Times New Roman"/>
                      <w:b/>
                      <w:bCs/>
                      <w:i w:val="0"/>
                      <w:iCs w:val="0"/>
                      <w:color w:val="0000FF"/>
                      <w:kern w:val="0"/>
                      <w:sz w:val="21"/>
                      <w:szCs w:val="21"/>
                      <w:u w:val="none"/>
                      <w:lang w:val="en-US" w:eastAsia="zh-CN" w:bidi="ar"/>
                    </w:rPr>
                    <w:t>mg/L</w:t>
                  </w:r>
                  <w:r>
                    <w:rPr>
                      <w:rFonts w:hint="eastAsia" w:ascii="宋体" w:hAnsi="宋体" w:eastAsia="宋体" w:cs="宋体"/>
                      <w:b/>
                      <w:bCs/>
                      <w:i w:val="0"/>
                      <w:iCs w:val="0"/>
                      <w:color w:val="0000FF"/>
                      <w:kern w:val="0"/>
                      <w:sz w:val="21"/>
                      <w:szCs w:val="21"/>
                      <w:u w:val="none"/>
                      <w:lang w:val="en-US" w:eastAsia="zh-CN" w:bidi="ar"/>
                    </w:rPr>
                    <w:t>）</w:t>
                  </w:r>
                </w:p>
              </w:tc>
              <w:tc>
                <w:tcPr>
                  <w:tcW w:w="824" w:type="dxa"/>
                  <w:tcBorders>
                    <w:tl2br w:val="nil"/>
                    <w:tr2bl w:val="nil"/>
                  </w:tcBorders>
                  <w:shd w:val="clear" w:color="auto" w:fill="auto"/>
                  <w:vAlign w:val="center"/>
                </w:tcPr>
                <w:p w14:paraId="25C99AA4">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排放量（</w:t>
                  </w:r>
                  <w:r>
                    <w:rPr>
                      <w:rFonts w:hint="default" w:ascii="Times New Roman" w:hAnsi="Times New Roman" w:eastAsia="宋体" w:cs="Times New Roman"/>
                      <w:b/>
                      <w:bCs/>
                      <w:i w:val="0"/>
                      <w:iCs w:val="0"/>
                      <w:color w:val="0000FF"/>
                      <w:kern w:val="0"/>
                      <w:sz w:val="21"/>
                      <w:szCs w:val="21"/>
                      <w:u w:val="none"/>
                      <w:lang w:val="en-US" w:eastAsia="zh-CN" w:bidi="ar"/>
                    </w:rPr>
                    <w:t>t/a</w:t>
                  </w:r>
                  <w:r>
                    <w:rPr>
                      <w:rFonts w:hint="eastAsia" w:ascii="宋体" w:hAnsi="宋体" w:eastAsia="宋体" w:cs="宋体"/>
                      <w:b/>
                      <w:bCs/>
                      <w:i w:val="0"/>
                      <w:iCs w:val="0"/>
                      <w:color w:val="0000FF"/>
                      <w:kern w:val="0"/>
                      <w:sz w:val="21"/>
                      <w:szCs w:val="21"/>
                      <w:u w:val="none"/>
                      <w:lang w:val="en-US" w:eastAsia="zh-CN" w:bidi="ar"/>
                    </w:rPr>
                    <w:t>）</w:t>
                  </w:r>
                </w:p>
              </w:tc>
              <w:tc>
                <w:tcPr>
                  <w:tcW w:w="824" w:type="dxa"/>
                  <w:vMerge w:val="continue"/>
                  <w:tcBorders>
                    <w:tl2br w:val="nil"/>
                    <w:tr2bl w:val="nil"/>
                  </w:tcBorders>
                  <w:shd w:val="clear" w:color="auto" w:fill="auto"/>
                  <w:vAlign w:val="center"/>
                </w:tcPr>
                <w:p w14:paraId="7E9807AA">
                  <w:pPr>
                    <w:jc w:val="center"/>
                    <w:rPr>
                      <w:rFonts w:hint="eastAsia" w:ascii="宋体" w:hAnsi="宋体" w:eastAsia="宋体" w:cs="宋体"/>
                      <w:i w:val="0"/>
                      <w:iCs w:val="0"/>
                      <w:color w:val="0000FF"/>
                      <w:sz w:val="21"/>
                      <w:szCs w:val="21"/>
                      <w:u w:val="none"/>
                    </w:rPr>
                  </w:pPr>
                </w:p>
              </w:tc>
            </w:tr>
            <w:tr w14:paraId="6A6A2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23" w:type="dxa"/>
                  <w:vMerge w:val="restart"/>
                  <w:tcBorders>
                    <w:tl2br w:val="nil"/>
                    <w:tr2bl w:val="nil"/>
                  </w:tcBorders>
                  <w:shd w:val="clear" w:color="auto" w:fill="auto"/>
                  <w:vAlign w:val="center"/>
                </w:tcPr>
                <w:p w14:paraId="77C1757A">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生活污水</w:t>
                  </w:r>
                </w:p>
              </w:tc>
              <w:tc>
                <w:tcPr>
                  <w:tcW w:w="823" w:type="dxa"/>
                  <w:vMerge w:val="restart"/>
                  <w:tcBorders>
                    <w:tl2br w:val="nil"/>
                    <w:tr2bl w:val="nil"/>
                  </w:tcBorders>
                  <w:shd w:val="clear" w:color="auto" w:fill="auto"/>
                  <w:vAlign w:val="center"/>
                </w:tcPr>
                <w:p w14:paraId="2BCB4C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240</w:t>
                  </w:r>
                </w:p>
              </w:tc>
              <w:tc>
                <w:tcPr>
                  <w:tcW w:w="824" w:type="dxa"/>
                  <w:tcBorders>
                    <w:tl2br w:val="nil"/>
                    <w:tr2bl w:val="nil"/>
                  </w:tcBorders>
                  <w:shd w:val="clear" w:color="auto" w:fill="auto"/>
                  <w:vAlign w:val="center"/>
                </w:tcPr>
                <w:p w14:paraId="6EEF80E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pH</w:t>
                  </w:r>
                </w:p>
              </w:tc>
              <w:tc>
                <w:tcPr>
                  <w:tcW w:w="824" w:type="dxa"/>
                  <w:tcBorders>
                    <w:tl2br w:val="nil"/>
                    <w:tr2bl w:val="nil"/>
                  </w:tcBorders>
                  <w:shd w:val="clear" w:color="auto" w:fill="auto"/>
                  <w:vAlign w:val="center"/>
                </w:tcPr>
                <w:p w14:paraId="3183A2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6~9</w:t>
                  </w:r>
                </w:p>
              </w:tc>
              <w:tc>
                <w:tcPr>
                  <w:tcW w:w="824" w:type="dxa"/>
                  <w:tcBorders>
                    <w:tl2br w:val="nil"/>
                    <w:tr2bl w:val="nil"/>
                  </w:tcBorders>
                  <w:shd w:val="clear" w:color="auto" w:fill="auto"/>
                  <w:vAlign w:val="center"/>
                </w:tcPr>
                <w:p w14:paraId="57B7DB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24" w:type="dxa"/>
                  <w:vMerge w:val="restart"/>
                  <w:tcBorders>
                    <w:tl2br w:val="nil"/>
                    <w:tr2bl w:val="nil"/>
                  </w:tcBorders>
                  <w:shd w:val="clear" w:color="auto" w:fill="auto"/>
                  <w:vAlign w:val="center"/>
                </w:tcPr>
                <w:p w14:paraId="2490AE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114</w:t>
                  </w:r>
                  <w:r>
                    <w:rPr>
                      <w:rFonts w:hint="default" w:ascii="Times New Roman" w:hAnsi="Times New Roman" w:eastAsia="宋体" w:cs="Times New Roman"/>
                      <w:i w:val="0"/>
                      <w:iCs w:val="0"/>
                      <w:color w:val="0000FF"/>
                      <w:kern w:val="0"/>
                      <w:sz w:val="21"/>
                      <w:szCs w:val="21"/>
                      <w:u w:val="none"/>
                      <w:lang w:val="en-US" w:eastAsia="zh-CN" w:bidi="ar"/>
                    </w:rPr>
                    <w:t>2</w:t>
                  </w:r>
                </w:p>
              </w:tc>
              <w:tc>
                <w:tcPr>
                  <w:tcW w:w="824" w:type="dxa"/>
                  <w:tcBorders>
                    <w:tl2br w:val="nil"/>
                    <w:tr2bl w:val="nil"/>
                  </w:tcBorders>
                  <w:shd w:val="clear" w:color="auto" w:fill="auto"/>
                  <w:vAlign w:val="center"/>
                </w:tcPr>
                <w:p w14:paraId="0F52ED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pH</w:t>
                  </w:r>
                </w:p>
              </w:tc>
              <w:tc>
                <w:tcPr>
                  <w:tcW w:w="824" w:type="dxa"/>
                  <w:tcBorders>
                    <w:tl2br w:val="nil"/>
                    <w:tr2bl w:val="nil"/>
                  </w:tcBorders>
                  <w:shd w:val="clear" w:color="auto" w:fill="auto"/>
                  <w:vAlign w:val="center"/>
                </w:tcPr>
                <w:p w14:paraId="11741A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24" w:type="dxa"/>
                  <w:tcBorders>
                    <w:tl2br w:val="nil"/>
                    <w:tr2bl w:val="nil"/>
                  </w:tcBorders>
                  <w:shd w:val="clear" w:color="auto" w:fill="auto"/>
                  <w:vAlign w:val="center"/>
                </w:tcPr>
                <w:p w14:paraId="67E8FB1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24" w:type="dxa"/>
                  <w:vMerge w:val="restart"/>
                  <w:tcBorders>
                    <w:tl2br w:val="nil"/>
                    <w:tr2bl w:val="nil"/>
                  </w:tcBorders>
                  <w:shd w:val="clear" w:color="auto" w:fill="auto"/>
                  <w:vAlign w:val="center"/>
                </w:tcPr>
                <w:p w14:paraId="02E50A38">
                  <w:pPr>
                    <w:jc w:val="center"/>
                    <w:rPr>
                      <w:rFonts w:hint="default" w:ascii="宋体" w:hAnsi="宋体" w:eastAsia="宋体" w:cs="宋体"/>
                      <w:i w:val="0"/>
                      <w:iCs w:val="0"/>
                      <w:color w:val="0000FF"/>
                      <w:sz w:val="21"/>
                      <w:szCs w:val="21"/>
                      <w:u w:val="none"/>
                      <w:lang w:val="en-US" w:eastAsia="zh-CN"/>
                    </w:rPr>
                  </w:pPr>
                  <w:r>
                    <w:rPr>
                      <w:rFonts w:hint="eastAsia" w:ascii="宋体" w:hAnsi="宋体" w:eastAsia="宋体" w:cs="宋体"/>
                      <w:i w:val="0"/>
                      <w:iCs w:val="0"/>
                      <w:color w:val="0000FF"/>
                      <w:sz w:val="21"/>
                      <w:szCs w:val="21"/>
                      <w:u w:val="none"/>
                      <w:lang w:val="en-US" w:eastAsia="zh-CN"/>
                    </w:rPr>
                    <w:t>李口镇污水处理厂</w:t>
                  </w:r>
                </w:p>
              </w:tc>
            </w:tr>
            <w:tr w14:paraId="26559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823" w:type="dxa"/>
                  <w:vMerge w:val="continue"/>
                  <w:tcBorders>
                    <w:tl2br w:val="nil"/>
                    <w:tr2bl w:val="nil"/>
                  </w:tcBorders>
                  <w:shd w:val="clear" w:color="auto" w:fill="auto"/>
                  <w:vAlign w:val="center"/>
                </w:tcPr>
                <w:p w14:paraId="4FFF36AD">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5CAF2D2F">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2A27DFC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824" w:type="dxa"/>
                  <w:tcBorders>
                    <w:tl2br w:val="nil"/>
                    <w:tr2bl w:val="nil"/>
                  </w:tcBorders>
                  <w:shd w:val="clear" w:color="auto" w:fill="auto"/>
                  <w:vAlign w:val="center"/>
                </w:tcPr>
                <w:p w14:paraId="5A144F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i w:val="0"/>
                      <w:iCs w:val="0"/>
                      <w:color w:val="0000FF"/>
                      <w:kern w:val="0"/>
                      <w:sz w:val="21"/>
                      <w:szCs w:val="21"/>
                      <w:u w:val="none"/>
                      <w:lang w:val="en-US" w:eastAsia="zh-CN" w:bidi="ar"/>
                    </w:rPr>
                    <w:t>28</w:t>
                  </w:r>
                  <w:r>
                    <w:rPr>
                      <w:rFonts w:hint="default" w:ascii="Times New Roman" w:hAnsi="Times New Roman" w:eastAsia="宋体" w:cs="Times New Roman"/>
                      <w:i w:val="0"/>
                      <w:iCs w:val="0"/>
                      <w:color w:val="0000FF"/>
                      <w:kern w:val="0"/>
                      <w:sz w:val="21"/>
                      <w:szCs w:val="21"/>
                      <w:u w:val="none"/>
                      <w:lang w:val="en-US" w:eastAsia="zh-CN" w:bidi="ar"/>
                    </w:rPr>
                    <w:t>0</w:t>
                  </w:r>
                </w:p>
              </w:tc>
              <w:tc>
                <w:tcPr>
                  <w:tcW w:w="824" w:type="dxa"/>
                  <w:tcBorders>
                    <w:tl2br w:val="nil"/>
                    <w:tr2bl w:val="nil"/>
                  </w:tcBorders>
                  <w:shd w:val="clear" w:color="auto" w:fill="auto"/>
                  <w:vAlign w:val="center"/>
                </w:tcPr>
                <w:p w14:paraId="1E8C1512">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w:t>
                  </w:r>
                  <w:r>
                    <w:rPr>
                      <w:rFonts w:hint="eastAsia" w:cs="Times New Roman"/>
                      <w:i w:val="0"/>
                      <w:iCs w:val="0"/>
                      <w:color w:val="0000FF"/>
                      <w:kern w:val="0"/>
                      <w:sz w:val="21"/>
                      <w:szCs w:val="21"/>
                      <w:u w:val="none"/>
                      <w:lang w:val="en-US" w:eastAsia="zh-CN" w:bidi="ar"/>
                    </w:rPr>
                    <w:t>672</w:t>
                  </w:r>
                </w:p>
              </w:tc>
              <w:tc>
                <w:tcPr>
                  <w:tcW w:w="824" w:type="dxa"/>
                  <w:vMerge w:val="continue"/>
                  <w:tcBorders>
                    <w:tl2br w:val="nil"/>
                    <w:tr2bl w:val="nil"/>
                  </w:tcBorders>
                  <w:shd w:val="clear" w:color="auto" w:fill="auto"/>
                  <w:vAlign w:val="center"/>
                </w:tcPr>
                <w:p w14:paraId="7F502890">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7F4C6D4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824" w:type="dxa"/>
                  <w:tcBorders>
                    <w:tl2br w:val="nil"/>
                    <w:tr2bl w:val="nil"/>
                  </w:tcBorders>
                  <w:shd w:val="clear" w:color="auto" w:fill="auto"/>
                  <w:vAlign w:val="center"/>
                </w:tcPr>
                <w:p w14:paraId="5489768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280</w:t>
                  </w:r>
                </w:p>
              </w:tc>
              <w:tc>
                <w:tcPr>
                  <w:tcW w:w="824" w:type="dxa"/>
                  <w:tcBorders>
                    <w:tl2br w:val="nil"/>
                    <w:tr2bl w:val="nil"/>
                  </w:tcBorders>
                  <w:shd w:val="clear" w:color="auto" w:fill="auto"/>
                  <w:vAlign w:val="center"/>
                </w:tcPr>
                <w:p w14:paraId="000FD9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0.3198</w:t>
                  </w:r>
                </w:p>
              </w:tc>
              <w:tc>
                <w:tcPr>
                  <w:tcW w:w="824" w:type="dxa"/>
                  <w:vMerge w:val="continue"/>
                  <w:tcBorders>
                    <w:tl2br w:val="nil"/>
                    <w:tr2bl w:val="nil"/>
                  </w:tcBorders>
                  <w:shd w:val="clear" w:color="auto" w:fill="auto"/>
                  <w:vAlign w:val="center"/>
                </w:tcPr>
                <w:p w14:paraId="0FB4B940">
                  <w:pPr>
                    <w:jc w:val="center"/>
                    <w:rPr>
                      <w:rFonts w:hint="eastAsia" w:ascii="宋体" w:hAnsi="宋体" w:eastAsia="宋体" w:cs="宋体"/>
                      <w:i w:val="0"/>
                      <w:iCs w:val="0"/>
                      <w:color w:val="0000FF"/>
                      <w:sz w:val="21"/>
                      <w:szCs w:val="21"/>
                      <w:u w:val="none"/>
                    </w:rPr>
                  </w:pPr>
                </w:p>
              </w:tc>
            </w:tr>
            <w:tr w14:paraId="32BC6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823" w:type="dxa"/>
                  <w:vMerge w:val="continue"/>
                  <w:tcBorders>
                    <w:tl2br w:val="nil"/>
                    <w:tr2bl w:val="nil"/>
                  </w:tcBorders>
                  <w:shd w:val="clear" w:color="auto" w:fill="auto"/>
                  <w:vAlign w:val="center"/>
                </w:tcPr>
                <w:p w14:paraId="2F8E6BDF">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7BAA3B78">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68F703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824" w:type="dxa"/>
                  <w:tcBorders>
                    <w:tl2br w:val="nil"/>
                    <w:tr2bl w:val="nil"/>
                  </w:tcBorders>
                  <w:shd w:val="clear" w:color="auto" w:fill="auto"/>
                  <w:vAlign w:val="center"/>
                </w:tcPr>
                <w:p w14:paraId="15C303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cs="Times New Roman"/>
                      <w:i w:val="0"/>
                      <w:iCs w:val="0"/>
                      <w:color w:val="0000FF"/>
                      <w:kern w:val="0"/>
                      <w:sz w:val="21"/>
                      <w:szCs w:val="21"/>
                      <w:u w:val="none"/>
                      <w:lang w:val="en-US" w:eastAsia="zh-CN" w:bidi="ar"/>
                    </w:rPr>
                    <w:t>6</w:t>
                  </w:r>
                  <w:r>
                    <w:rPr>
                      <w:rFonts w:hint="default" w:ascii="Times New Roman" w:hAnsi="Times New Roman" w:eastAsia="宋体" w:cs="Times New Roman"/>
                      <w:i w:val="0"/>
                      <w:iCs w:val="0"/>
                      <w:color w:val="0000FF"/>
                      <w:kern w:val="0"/>
                      <w:sz w:val="21"/>
                      <w:szCs w:val="21"/>
                      <w:u w:val="none"/>
                      <w:lang w:val="en-US" w:eastAsia="zh-CN" w:bidi="ar"/>
                    </w:rPr>
                    <w:t>0</w:t>
                  </w:r>
                </w:p>
              </w:tc>
              <w:tc>
                <w:tcPr>
                  <w:tcW w:w="824" w:type="dxa"/>
                  <w:tcBorders>
                    <w:tl2br w:val="nil"/>
                    <w:tr2bl w:val="nil"/>
                  </w:tcBorders>
                  <w:shd w:val="clear" w:color="auto" w:fill="auto"/>
                  <w:vAlign w:val="center"/>
                </w:tcPr>
                <w:p w14:paraId="78FF1BB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w:t>
                  </w:r>
                  <w:r>
                    <w:rPr>
                      <w:rFonts w:hint="eastAsia" w:cs="Times New Roman"/>
                      <w:i w:val="0"/>
                      <w:iCs w:val="0"/>
                      <w:color w:val="0000FF"/>
                      <w:kern w:val="0"/>
                      <w:sz w:val="21"/>
                      <w:szCs w:val="21"/>
                      <w:u w:val="none"/>
                      <w:lang w:val="en-US" w:eastAsia="zh-CN" w:bidi="ar"/>
                    </w:rPr>
                    <w:t>384</w:t>
                  </w:r>
                </w:p>
              </w:tc>
              <w:tc>
                <w:tcPr>
                  <w:tcW w:w="824" w:type="dxa"/>
                  <w:vMerge w:val="continue"/>
                  <w:tcBorders>
                    <w:tl2br w:val="nil"/>
                    <w:tr2bl w:val="nil"/>
                  </w:tcBorders>
                  <w:shd w:val="clear" w:color="auto" w:fill="auto"/>
                  <w:vAlign w:val="center"/>
                </w:tcPr>
                <w:p w14:paraId="71ACDD0E">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712469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824" w:type="dxa"/>
                  <w:tcBorders>
                    <w:tl2br w:val="nil"/>
                    <w:tr2bl w:val="nil"/>
                  </w:tcBorders>
                  <w:shd w:val="clear" w:color="auto" w:fill="auto"/>
                  <w:vAlign w:val="center"/>
                </w:tcPr>
                <w:p w14:paraId="334AFBD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160</w:t>
                  </w:r>
                </w:p>
              </w:tc>
              <w:tc>
                <w:tcPr>
                  <w:tcW w:w="824" w:type="dxa"/>
                  <w:tcBorders>
                    <w:tl2br w:val="nil"/>
                    <w:tr2bl w:val="nil"/>
                  </w:tcBorders>
                  <w:shd w:val="clear" w:color="auto" w:fill="auto"/>
                  <w:vAlign w:val="center"/>
                </w:tcPr>
                <w:p w14:paraId="1F0670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0.1527</w:t>
                  </w:r>
                </w:p>
              </w:tc>
              <w:tc>
                <w:tcPr>
                  <w:tcW w:w="824" w:type="dxa"/>
                  <w:vMerge w:val="continue"/>
                  <w:tcBorders>
                    <w:tl2br w:val="nil"/>
                    <w:tr2bl w:val="nil"/>
                  </w:tcBorders>
                  <w:shd w:val="clear" w:color="auto" w:fill="auto"/>
                  <w:vAlign w:val="center"/>
                </w:tcPr>
                <w:p w14:paraId="418EE0FD">
                  <w:pPr>
                    <w:jc w:val="center"/>
                    <w:rPr>
                      <w:rFonts w:hint="eastAsia" w:ascii="宋体" w:hAnsi="宋体" w:eastAsia="宋体" w:cs="宋体"/>
                      <w:i w:val="0"/>
                      <w:iCs w:val="0"/>
                      <w:color w:val="0000FF"/>
                      <w:sz w:val="21"/>
                      <w:szCs w:val="21"/>
                      <w:u w:val="none"/>
                    </w:rPr>
                  </w:pPr>
                </w:p>
              </w:tc>
            </w:tr>
            <w:tr w14:paraId="75B8F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823" w:type="dxa"/>
                  <w:vMerge w:val="continue"/>
                  <w:tcBorders>
                    <w:tl2br w:val="nil"/>
                    <w:tr2bl w:val="nil"/>
                  </w:tcBorders>
                  <w:shd w:val="clear" w:color="auto" w:fill="auto"/>
                  <w:vAlign w:val="center"/>
                </w:tcPr>
                <w:p w14:paraId="4B1D83CA">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7C74D5F9">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36B0BC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824" w:type="dxa"/>
                  <w:tcBorders>
                    <w:tl2br w:val="nil"/>
                    <w:tr2bl w:val="nil"/>
                  </w:tcBorders>
                  <w:shd w:val="clear" w:color="auto" w:fill="auto"/>
                  <w:vAlign w:val="center"/>
                </w:tcPr>
                <w:p w14:paraId="2145AD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i w:val="0"/>
                      <w:iCs w:val="0"/>
                      <w:color w:val="0000FF"/>
                      <w:kern w:val="0"/>
                      <w:sz w:val="21"/>
                      <w:szCs w:val="21"/>
                      <w:u w:val="none"/>
                      <w:lang w:val="en-US" w:eastAsia="zh-CN" w:bidi="ar"/>
                    </w:rPr>
                    <w:t>1</w:t>
                  </w:r>
                  <w:r>
                    <w:rPr>
                      <w:rFonts w:hint="default" w:ascii="Times New Roman" w:hAnsi="Times New Roman" w:eastAsia="宋体" w:cs="Times New Roman"/>
                      <w:i w:val="0"/>
                      <w:iCs w:val="0"/>
                      <w:color w:val="0000FF"/>
                      <w:kern w:val="0"/>
                      <w:sz w:val="21"/>
                      <w:szCs w:val="21"/>
                      <w:u w:val="none"/>
                      <w:lang w:val="en-US" w:eastAsia="zh-CN" w:bidi="ar"/>
                    </w:rPr>
                    <w:t>80</w:t>
                  </w:r>
                </w:p>
              </w:tc>
              <w:tc>
                <w:tcPr>
                  <w:tcW w:w="824" w:type="dxa"/>
                  <w:tcBorders>
                    <w:tl2br w:val="nil"/>
                    <w:tr2bl w:val="nil"/>
                  </w:tcBorders>
                  <w:shd w:val="clear" w:color="auto" w:fill="auto"/>
                  <w:vAlign w:val="center"/>
                </w:tcPr>
                <w:p w14:paraId="4A2BAA86">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w:t>
                  </w:r>
                  <w:r>
                    <w:rPr>
                      <w:rFonts w:hint="eastAsia" w:cs="Times New Roman"/>
                      <w:i w:val="0"/>
                      <w:iCs w:val="0"/>
                      <w:color w:val="0000FF"/>
                      <w:kern w:val="0"/>
                      <w:sz w:val="21"/>
                      <w:szCs w:val="21"/>
                      <w:u w:val="none"/>
                      <w:lang w:val="en-US" w:eastAsia="zh-CN" w:bidi="ar"/>
                    </w:rPr>
                    <w:t>432</w:t>
                  </w:r>
                </w:p>
              </w:tc>
              <w:tc>
                <w:tcPr>
                  <w:tcW w:w="824" w:type="dxa"/>
                  <w:vMerge w:val="continue"/>
                  <w:tcBorders>
                    <w:tl2br w:val="nil"/>
                    <w:tr2bl w:val="nil"/>
                  </w:tcBorders>
                  <w:shd w:val="clear" w:color="auto" w:fill="auto"/>
                  <w:vAlign w:val="center"/>
                </w:tcPr>
                <w:p w14:paraId="2C9F39DC">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247DD60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824" w:type="dxa"/>
                  <w:tcBorders>
                    <w:tl2br w:val="nil"/>
                    <w:tr2bl w:val="nil"/>
                  </w:tcBorders>
                  <w:shd w:val="clear" w:color="auto" w:fill="auto"/>
                  <w:vAlign w:val="center"/>
                </w:tcPr>
                <w:p w14:paraId="7662C0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180</w:t>
                  </w:r>
                </w:p>
              </w:tc>
              <w:tc>
                <w:tcPr>
                  <w:tcW w:w="824" w:type="dxa"/>
                  <w:tcBorders>
                    <w:tl2br w:val="nil"/>
                    <w:tr2bl w:val="nil"/>
                  </w:tcBorders>
                  <w:shd w:val="clear" w:color="auto" w:fill="auto"/>
                  <w:vAlign w:val="center"/>
                </w:tcPr>
                <w:p w14:paraId="3B2C6BC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0.2056</w:t>
                  </w:r>
                </w:p>
              </w:tc>
              <w:tc>
                <w:tcPr>
                  <w:tcW w:w="824" w:type="dxa"/>
                  <w:vMerge w:val="continue"/>
                  <w:tcBorders>
                    <w:tl2br w:val="nil"/>
                    <w:tr2bl w:val="nil"/>
                  </w:tcBorders>
                  <w:shd w:val="clear" w:color="auto" w:fill="auto"/>
                  <w:vAlign w:val="center"/>
                </w:tcPr>
                <w:p w14:paraId="7E41525F">
                  <w:pPr>
                    <w:jc w:val="center"/>
                    <w:rPr>
                      <w:rFonts w:hint="eastAsia" w:ascii="宋体" w:hAnsi="宋体" w:eastAsia="宋体" w:cs="宋体"/>
                      <w:i w:val="0"/>
                      <w:iCs w:val="0"/>
                      <w:color w:val="0000FF"/>
                      <w:sz w:val="21"/>
                      <w:szCs w:val="21"/>
                      <w:u w:val="none"/>
                    </w:rPr>
                  </w:pPr>
                </w:p>
              </w:tc>
            </w:tr>
            <w:tr w14:paraId="21D96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823" w:type="dxa"/>
                  <w:vMerge w:val="continue"/>
                  <w:tcBorders>
                    <w:tl2br w:val="nil"/>
                    <w:tr2bl w:val="nil"/>
                  </w:tcBorders>
                  <w:shd w:val="clear" w:color="auto" w:fill="auto"/>
                  <w:vAlign w:val="center"/>
                </w:tcPr>
                <w:p w14:paraId="12E60F60">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60BE878D">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4F84226D">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氨氮</w:t>
                  </w:r>
                </w:p>
              </w:tc>
              <w:tc>
                <w:tcPr>
                  <w:tcW w:w="824" w:type="dxa"/>
                  <w:tcBorders>
                    <w:tl2br w:val="nil"/>
                    <w:tr2bl w:val="nil"/>
                  </w:tcBorders>
                  <w:shd w:val="clear" w:color="auto" w:fill="auto"/>
                  <w:vAlign w:val="center"/>
                </w:tcPr>
                <w:p w14:paraId="2EA2FB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824" w:type="dxa"/>
                  <w:tcBorders>
                    <w:tl2br w:val="nil"/>
                    <w:tr2bl w:val="nil"/>
                  </w:tcBorders>
                  <w:shd w:val="clear" w:color="auto" w:fill="auto"/>
                  <w:vAlign w:val="center"/>
                </w:tcPr>
                <w:p w14:paraId="66E7BD29">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0.006</w:t>
                  </w:r>
                </w:p>
              </w:tc>
              <w:tc>
                <w:tcPr>
                  <w:tcW w:w="824" w:type="dxa"/>
                  <w:vMerge w:val="continue"/>
                  <w:tcBorders>
                    <w:tl2br w:val="nil"/>
                    <w:tr2bl w:val="nil"/>
                  </w:tcBorders>
                  <w:shd w:val="clear" w:color="auto" w:fill="auto"/>
                  <w:vAlign w:val="center"/>
                </w:tcPr>
                <w:p w14:paraId="3A0A522C">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144B1F96">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氨氮</w:t>
                  </w:r>
                </w:p>
              </w:tc>
              <w:tc>
                <w:tcPr>
                  <w:tcW w:w="824" w:type="dxa"/>
                  <w:tcBorders>
                    <w:tl2br w:val="nil"/>
                    <w:tr2bl w:val="nil"/>
                  </w:tcBorders>
                  <w:shd w:val="clear" w:color="auto" w:fill="auto"/>
                  <w:vAlign w:val="center"/>
                </w:tcPr>
                <w:p w14:paraId="404757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5.25</w:t>
                  </w:r>
                </w:p>
              </w:tc>
              <w:tc>
                <w:tcPr>
                  <w:tcW w:w="824" w:type="dxa"/>
                  <w:tcBorders>
                    <w:tl2br w:val="nil"/>
                    <w:tr2bl w:val="nil"/>
                  </w:tcBorders>
                  <w:shd w:val="clear" w:color="auto" w:fill="auto"/>
                  <w:vAlign w:val="center"/>
                </w:tcPr>
                <w:p w14:paraId="0E4DDA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0.006</w:t>
                  </w:r>
                </w:p>
              </w:tc>
              <w:tc>
                <w:tcPr>
                  <w:tcW w:w="824" w:type="dxa"/>
                  <w:vMerge w:val="continue"/>
                  <w:tcBorders>
                    <w:tl2br w:val="nil"/>
                    <w:tr2bl w:val="nil"/>
                  </w:tcBorders>
                  <w:shd w:val="clear" w:color="auto" w:fill="auto"/>
                  <w:vAlign w:val="center"/>
                </w:tcPr>
                <w:p w14:paraId="133B07BA">
                  <w:pPr>
                    <w:jc w:val="center"/>
                    <w:rPr>
                      <w:rFonts w:hint="eastAsia" w:ascii="宋体" w:hAnsi="宋体" w:eastAsia="宋体" w:cs="宋体"/>
                      <w:i w:val="0"/>
                      <w:iCs w:val="0"/>
                      <w:color w:val="0000FF"/>
                      <w:sz w:val="21"/>
                      <w:szCs w:val="21"/>
                      <w:u w:val="none"/>
                    </w:rPr>
                  </w:pPr>
                </w:p>
              </w:tc>
            </w:tr>
            <w:tr w14:paraId="47A29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823" w:type="dxa"/>
                  <w:vMerge w:val="continue"/>
                  <w:tcBorders>
                    <w:tl2br w:val="nil"/>
                    <w:tr2bl w:val="nil"/>
                  </w:tcBorders>
                  <w:shd w:val="clear" w:color="auto" w:fill="auto"/>
                  <w:vAlign w:val="center"/>
                </w:tcPr>
                <w:p w14:paraId="00C6A897">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04A24D80">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7E6E02A1">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总氮</w:t>
                  </w:r>
                </w:p>
              </w:tc>
              <w:tc>
                <w:tcPr>
                  <w:tcW w:w="824" w:type="dxa"/>
                  <w:tcBorders>
                    <w:tl2br w:val="nil"/>
                    <w:tr2bl w:val="nil"/>
                  </w:tcBorders>
                  <w:shd w:val="clear" w:color="auto" w:fill="auto"/>
                  <w:vAlign w:val="center"/>
                </w:tcPr>
                <w:p w14:paraId="570828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35</w:t>
                  </w:r>
                </w:p>
              </w:tc>
              <w:tc>
                <w:tcPr>
                  <w:tcW w:w="824" w:type="dxa"/>
                  <w:tcBorders>
                    <w:tl2br w:val="nil"/>
                    <w:tr2bl w:val="nil"/>
                  </w:tcBorders>
                  <w:shd w:val="clear" w:color="auto" w:fill="auto"/>
                  <w:vAlign w:val="center"/>
                </w:tcPr>
                <w:p w14:paraId="4C2BA506">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0.0084</w:t>
                  </w:r>
                </w:p>
              </w:tc>
              <w:tc>
                <w:tcPr>
                  <w:tcW w:w="824" w:type="dxa"/>
                  <w:vMerge w:val="continue"/>
                  <w:tcBorders>
                    <w:tl2br w:val="nil"/>
                    <w:tr2bl w:val="nil"/>
                  </w:tcBorders>
                  <w:shd w:val="clear" w:color="auto" w:fill="auto"/>
                  <w:vAlign w:val="center"/>
                </w:tcPr>
                <w:p w14:paraId="77DE74BE">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54B83B8F">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总氮</w:t>
                  </w:r>
                </w:p>
              </w:tc>
              <w:tc>
                <w:tcPr>
                  <w:tcW w:w="824" w:type="dxa"/>
                  <w:tcBorders>
                    <w:tl2br w:val="nil"/>
                    <w:tr2bl w:val="nil"/>
                  </w:tcBorders>
                  <w:shd w:val="clear" w:color="auto" w:fill="auto"/>
                  <w:vAlign w:val="center"/>
                </w:tcPr>
                <w:p w14:paraId="2AAE1C2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11.30</w:t>
                  </w:r>
                </w:p>
              </w:tc>
              <w:tc>
                <w:tcPr>
                  <w:tcW w:w="824" w:type="dxa"/>
                  <w:tcBorders>
                    <w:tl2br w:val="nil"/>
                    <w:tr2bl w:val="nil"/>
                  </w:tcBorders>
                  <w:shd w:val="clear" w:color="auto" w:fill="auto"/>
                  <w:vAlign w:val="center"/>
                </w:tcPr>
                <w:p w14:paraId="43C190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0.0129</w:t>
                  </w:r>
                </w:p>
              </w:tc>
              <w:tc>
                <w:tcPr>
                  <w:tcW w:w="824" w:type="dxa"/>
                  <w:vMerge w:val="continue"/>
                  <w:tcBorders>
                    <w:tl2br w:val="nil"/>
                    <w:tr2bl w:val="nil"/>
                  </w:tcBorders>
                  <w:shd w:val="clear" w:color="auto" w:fill="auto"/>
                  <w:vAlign w:val="center"/>
                </w:tcPr>
                <w:p w14:paraId="604452DB">
                  <w:pPr>
                    <w:jc w:val="center"/>
                    <w:rPr>
                      <w:rFonts w:hint="eastAsia" w:ascii="宋体" w:hAnsi="宋体" w:eastAsia="宋体" w:cs="宋体"/>
                      <w:i w:val="0"/>
                      <w:iCs w:val="0"/>
                      <w:color w:val="0000FF"/>
                      <w:sz w:val="21"/>
                      <w:szCs w:val="21"/>
                      <w:u w:val="none"/>
                    </w:rPr>
                  </w:pPr>
                </w:p>
              </w:tc>
            </w:tr>
            <w:tr w14:paraId="25603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823" w:type="dxa"/>
                  <w:vMerge w:val="continue"/>
                  <w:tcBorders>
                    <w:tl2br w:val="nil"/>
                    <w:tr2bl w:val="nil"/>
                  </w:tcBorders>
                  <w:shd w:val="clear" w:color="auto" w:fill="auto"/>
                  <w:vAlign w:val="center"/>
                </w:tcPr>
                <w:p w14:paraId="64766EBF">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206217F0">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0E8D4016">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总磷</w:t>
                  </w:r>
                </w:p>
              </w:tc>
              <w:tc>
                <w:tcPr>
                  <w:tcW w:w="824" w:type="dxa"/>
                  <w:tcBorders>
                    <w:tl2br w:val="nil"/>
                    <w:tr2bl w:val="nil"/>
                  </w:tcBorders>
                  <w:shd w:val="clear" w:color="auto" w:fill="auto"/>
                  <w:vAlign w:val="center"/>
                </w:tcPr>
                <w:p w14:paraId="394173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i w:val="0"/>
                      <w:iCs w:val="0"/>
                      <w:color w:val="0000FF"/>
                      <w:kern w:val="0"/>
                      <w:sz w:val="21"/>
                      <w:szCs w:val="21"/>
                      <w:u w:val="none"/>
                      <w:lang w:val="en-US" w:eastAsia="zh-CN" w:bidi="ar"/>
                    </w:rPr>
                    <w:t>3</w:t>
                  </w:r>
                </w:p>
              </w:tc>
              <w:tc>
                <w:tcPr>
                  <w:tcW w:w="824" w:type="dxa"/>
                  <w:tcBorders>
                    <w:tl2br w:val="nil"/>
                    <w:tr2bl w:val="nil"/>
                  </w:tcBorders>
                  <w:shd w:val="clear" w:color="auto" w:fill="auto"/>
                  <w:vAlign w:val="center"/>
                </w:tcPr>
                <w:p w14:paraId="3FBABBB5">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w:t>
                  </w:r>
                  <w:r>
                    <w:rPr>
                      <w:rFonts w:hint="eastAsia" w:cs="Times New Roman"/>
                      <w:i w:val="0"/>
                      <w:iCs w:val="0"/>
                      <w:color w:val="0000FF"/>
                      <w:kern w:val="0"/>
                      <w:sz w:val="21"/>
                      <w:szCs w:val="21"/>
                      <w:u w:val="none"/>
                      <w:lang w:val="en-US" w:eastAsia="zh-CN" w:bidi="ar"/>
                    </w:rPr>
                    <w:t>07</w:t>
                  </w:r>
                </w:p>
              </w:tc>
              <w:tc>
                <w:tcPr>
                  <w:tcW w:w="824" w:type="dxa"/>
                  <w:vMerge w:val="continue"/>
                  <w:tcBorders>
                    <w:tl2br w:val="nil"/>
                    <w:tr2bl w:val="nil"/>
                  </w:tcBorders>
                  <w:shd w:val="clear" w:color="auto" w:fill="auto"/>
                  <w:vAlign w:val="center"/>
                </w:tcPr>
                <w:p w14:paraId="1154DBAF">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401B7FBF">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总磷</w:t>
                  </w:r>
                </w:p>
              </w:tc>
              <w:tc>
                <w:tcPr>
                  <w:tcW w:w="824" w:type="dxa"/>
                  <w:tcBorders>
                    <w:tl2br w:val="nil"/>
                    <w:tr2bl w:val="nil"/>
                  </w:tcBorders>
                  <w:shd w:val="clear" w:color="auto" w:fill="auto"/>
                  <w:vAlign w:val="center"/>
                </w:tcPr>
                <w:p w14:paraId="6F3A7AEE">
                  <w:pPr>
                    <w:keepNext w:val="0"/>
                    <w:keepLines w:val="0"/>
                    <w:widowControl/>
                    <w:suppressLineNumbers w:val="0"/>
                    <w:jc w:val="center"/>
                    <w:textAlignment w:val="center"/>
                    <w:rPr>
                      <w:rFonts w:hint="eastAsia"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3</w:t>
                  </w:r>
                </w:p>
              </w:tc>
              <w:tc>
                <w:tcPr>
                  <w:tcW w:w="824" w:type="dxa"/>
                  <w:tcBorders>
                    <w:tl2br w:val="nil"/>
                    <w:tr2bl w:val="nil"/>
                  </w:tcBorders>
                  <w:shd w:val="clear" w:color="auto" w:fill="auto"/>
                  <w:vAlign w:val="center"/>
                </w:tcPr>
                <w:p w14:paraId="099A8CB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0.0034</w:t>
                  </w:r>
                </w:p>
              </w:tc>
              <w:tc>
                <w:tcPr>
                  <w:tcW w:w="824" w:type="dxa"/>
                  <w:vMerge w:val="continue"/>
                  <w:tcBorders>
                    <w:tl2br w:val="nil"/>
                    <w:tr2bl w:val="nil"/>
                  </w:tcBorders>
                  <w:shd w:val="clear" w:color="auto" w:fill="auto"/>
                  <w:vAlign w:val="center"/>
                </w:tcPr>
                <w:p w14:paraId="3CC6AC1A">
                  <w:pPr>
                    <w:jc w:val="center"/>
                    <w:rPr>
                      <w:rFonts w:hint="eastAsia" w:ascii="宋体" w:hAnsi="宋体" w:eastAsia="宋体" w:cs="宋体"/>
                      <w:i w:val="0"/>
                      <w:iCs w:val="0"/>
                      <w:color w:val="0000FF"/>
                      <w:sz w:val="21"/>
                      <w:szCs w:val="21"/>
                      <w:u w:val="none"/>
                    </w:rPr>
                  </w:pPr>
                </w:p>
              </w:tc>
            </w:tr>
            <w:tr w14:paraId="2D199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823" w:type="dxa"/>
                  <w:vMerge w:val="restart"/>
                  <w:tcBorders>
                    <w:tl2br w:val="nil"/>
                    <w:tr2bl w:val="nil"/>
                  </w:tcBorders>
                  <w:shd w:val="clear" w:color="auto" w:fill="auto"/>
                  <w:vAlign w:val="center"/>
                </w:tcPr>
                <w:p w14:paraId="17B0E196">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生产废水</w:t>
                  </w:r>
                </w:p>
              </w:tc>
              <w:tc>
                <w:tcPr>
                  <w:tcW w:w="823" w:type="dxa"/>
                  <w:vMerge w:val="restart"/>
                  <w:tcBorders>
                    <w:tl2br w:val="nil"/>
                    <w:tr2bl w:val="nil"/>
                  </w:tcBorders>
                  <w:shd w:val="clear" w:color="auto" w:fill="auto"/>
                  <w:vAlign w:val="center"/>
                </w:tcPr>
                <w:p w14:paraId="1C2A378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902</w:t>
                  </w:r>
                </w:p>
              </w:tc>
              <w:tc>
                <w:tcPr>
                  <w:tcW w:w="824" w:type="dxa"/>
                  <w:tcBorders>
                    <w:tl2br w:val="nil"/>
                    <w:tr2bl w:val="nil"/>
                  </w:tcBorders>
                  <w:shd w:val="clear" w:color="auto" w:fill="auto"/>
                  <w:vAlign w:val="center"/>
                </w:tcPr>
                <w:p w14:paraId="5FD09D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pH</w:t>
                  </w:r>
                </w:p>
              </w:tc>
              <w:tc>
                <w:tcPr>
                  <w:tcW w:w="824" w:type="dxa"/>
                  <w:tcBorders>
                    <w:tl2br w:val="nil"/>
                    <w:tr2bl w:val="nil"/>
                  </w:tcBorders>
                  <w:shd w:val="clear" w:color="auto" w:fill="auto"/>
                  <w:vAlign w:val="center"/>
                </w:tcPr>
                <w:p w14:paraId="3AFB68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6~9</w:t>
                  </w:r>
                </w:p>
              </w:tc>
              <w:tc>
                <w:tcPr>
                  <w:tcW w:w="824" w:type="dxa"/>
                  <w:tcBorders>
                    <w:tl2br w:val="nil"/>
                    <w:tr2bl w:val="nil"/>
                  </w:tcBorders>
                  <w:shd w:val="clear" w:color="auto" w:fill="auto"/>
                  <w:vAlign w:val="center"/>
                </w:tcPr>
                <w:p w14:paraId="67D24AA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24" w:type="dxa"/>
                  <w:vMerge w:val="continue"/>
                  <w:tcBorders>
                    <w:tl2br w:val="nil"/>
                    <w:tr2bl w:val="nil"/>
                  </w:tcBorders>
                  <w:shd w:val="clear" w:color="auto" w:fill="auto"/>
                  <w:vAlign w:val="center"/>
                </w:tcPr>
                <w:p w14:paraId="27612C89">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229C30EE">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石油类</w:t>
                  </w:r>
                </w:p>
              </w:tc>
              <w:tc>
                <w:tcPr>
                  <w:tcW w:w="824" w:type="dxa"/>
                  <w:tcBorders>
                    <w:tl2br w:val="nil"/>
                    <w:tr2bl w:val="nil"/>
                  </w:tcBorders>
                  <w:shd w:val="clear" w:color="auto" w:fill="auto"/>
                  <w:vAlign w:val="center"/>
                </w:tcPr>
                <w:p w14:paraId="0A5B0AD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7.88</w:t>
                  </w:r>
                </w:p>
              </w:tc>
              <w:tc>
                <w:tcPr>
                  <w:tcW w:w="824" w:type="dxa"/>
                  <w:tcBorders>
                    <w:tl2br w:val="nil"/>
                    <w:tr2bl w:val="nil"/>
                  </w:tcBorders>
                  <w:shd w:val="clear" w:color="auto" w:fill="auto"/>
                  <w:vAlign w:val="center"/>
                </w:tcPr>
                <w:p w14:paraId="40DFAF9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w:t>
                  </w:r>
                </w:p>
              </w:tc>
              <w:tc>
                <w:tcPr>
                  <w:tcW w:w="824" w:type="dxa"/>
                  <w:vMerge w:val="continue"/>
                  <w:tcBorders>
                    <w:tl2br w:val="nil"/>
                    <w:tr2bl w:val="nil"/>
                  </w:tcBorders>
                  <w:shd w:val="clear" w:color="auto" w:fill="auto"/>
                  <w:vAlign w:val="center"/>
                </w:tcPr>
                <w:p w14:paraId="63D37624">
                  <w:pPr>
                    <w:jc w:val="center"/>
                    <w:rPr>
                      <w:rFonts w:hint="eastAsia" w:ascii="宋体" w:hAnsi="宋体" w:eastAsia="宋体" w:cs="宋体"/>
                      <w:i w:val="0"/>
                      <w:iCs w:val="0"/>
                      <w:color w:val="0000FF"/>
                      <w:sz w:val="21"/>
                      <w:szCs w:val="21"/>
                      <w:u w:val="none"/>
                    </w:rPr>
                  </w:pPr>
                </w:p>
              </w:tc>
            </w:tr>
            <w:tr w14:paraId="1EB02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823" w:type="dxa"/>
                  <w:vMerge w:val="continue"/>
                  <w:tcBorders>
                    <w:tl2br w:val="nil"/>
                    <w:tr2bl w:val="nil"/>
                  </w:tcBorders>
                  <w:shd w:val="clear" w:color="auto" w:fill="auto"/>
                  <w:vAlign w:val="center"/>
                </w:tcPr>
                <w:p w14:paraId="043F439C">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0F69575F">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2BAAB21F">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824" w:type="dxa"/>
                  <w:tcBorders>
                    <w:tl2br w:val="nil"/>
                    <w:tr2bl w:val="nil"/>
                  </w:tcBorders>
                  <w:shd w:val="clear" w:color="auto" w:fill="auto"/>
                  <w:vAlign w:val="center"/>
                </w:tcPr>
                <w:p w14:paraId="37A6671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280</w:t>
                  </w:r>
                </w:p>
              </w:tc>
              <w:tc>
                <w:tcPr>
                  <w:tcW w:w="824" w:type="dxa"/>
                  <w:tcBorders>
                    <w:tl2br w:val="nil"/>
                    <w:tr2bl w:val="nil"/>
                  </w:tcBorders>
                  <w:shd w:val="clear" w:color="auto" w:fill="auto"/>
                  <w:vAlign w:val="center"/>
                </w:tcPr>
                <w:p w14:paraId="6D666D34">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2526</w:t>
                  </w:r>
                </w:p>
              </w:tc>
              <w:tc>
                <w:tcPr>
                  <w:tcW w:w="824" w:type="dxa"/>
                  <w:vMerge w:val="continue"/>
                  <w:tcBorders>
                    <w:tl2br w:val="nil"/>
                    <w:tr2bl w:val="nil"/>
                  </w:tcBorders>
                  <w:shd w:val="clear" w:color="auto" w:fill="auto"/>
                  <w:vAlign w:val="center"/>
                </w:tcPr>
                <w:p w14:paraId="63BEDFED">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6A36CC5C">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总锌</w:t>
                  </w:r>
                </w:p>
              </w:tc>
              <w:tc>
                <w:tcPr>
                  <w:tcW w:w="824" w:type="dxa"/>
                  <w:tcBorders>
                    <w:tl2br w:val="nil"/>
                    <w:tr2bl w:val="nil"/>
                  </w:tcBorders>
                  <w:shd w:val="clear" w:color="auto" w:fill="auto"/>
                  <w:vAlign w:val="center"/>
                </w:tcPr>
                <w:p w14:paraId="67BC04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79</w:t>
                  </w:r>
                </w:p>
              </w:tc>
              <w:tc>
                <w:tcPr>
                  <w:tcW w:w="824" w:type="dxa"/>
                  <w:tcBorders>
                    <w:tl2br w:val="nil"/>
                    <w:tr2bl w:val="nil"/>
                  </w:tcBorders>
                  <w:shd w:val="clear" w:color="auto" w:fill="auto"/>
                  <w:vAlign w:val="center"/>
                </w:tcPr>
                <w:p w14:paraId="7B3BE2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0.0009</w:t>
                  </w:r>
                </w:p>
              </w:tc>
              <w:tc>
                <w:tcPr>
                  <w:tcW w:w="824" w:type="dxa"/>
                  <w:vMerge w:val="continue"/>
                  <w:tcBorders>
                    <w:tl2br w:val="nil"/>
                    <w:tr2bl w:val="nil"/>
                  </w:tcBorders>
                  <w:shd w:val="clear" w:color="auto" w:fill="auto"/>
                  <w:vAlign w:val="center"/>
                </w:tcPr>
                <w:p w14:paraId="68593841">
                  <w:pPr>
                    <w:jc w:val="center"/>
                    <w:rPr>
                      <w:rFonts w:hint="eastAsia" w:ascii="宋体" w:hAnsi="宋体" w:eastAsia="宋体" w:cs="宋体"/>
                      <w:i w:val="0"/>
                      <w:iCs w:val="0"/>
                      <w:color w:val="0000FF"/>
                      <w:sz w:val="21"/>
                      <w:szCs w:val="21"/>
                      <w:u w:val="none"/>
                    </w:rPr>
                  </w:pPr>
                </w:p>
              </w:tc>
            </w:tr>
            <w:tr w14:paraId="41204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85" w:hRule="atLeast"/>
                <w:jc w:val="center"/>
              </w:trPr>
              <w:tc>
                <w:tcPr>
                  <w:tcW w:w="823" w:type="dxa"/>
                  <w:vMerge w:val="continue"/>
                  <w:tcBorders>
                    <w:tl2br w:val="nil"/>
                    <w:tr2bl w:val="nil"/>
                  </w:tcBorders>
                  <w:shd w:val="clear" w:color="auto" w:fill="auto"/>
                  <w:vAlign w:val="center"/>
                </w:tcPr>
                <w:p w14:paraId="56B13349">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4FC17EE7">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37432F66">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BOD</w:t>
                  </w:r>
                  <w:r>
                    <w:rPr>
                      <w:rStyle w:val="135"/>
                      <w:rFonts w:eastAsia="宋体"/>
                      <w:color w:val="0000FF"/>
                      <w:lang w:val="en-US" w:eastAsia="zh-CN" w:bidi="ar"/>
                    </w:rPr>
                    <w:t>5</w:t>
                  </w:r>
                </w:p>
              </w:tc>
              <w:tc>
                <w:tcPr>
                  <w:tcW w:w="824" w:type="dxa"/>
                  <w:tcBorders>
                    <w:tl2br w:val="nil"/>
                    <w:tr2bl w:val="nil"/>
                  </w:tcBorders>
                  <w:shd w:val="clear" w:color="auto" w:fill="auto"/>
                  <w:vAlign w:val="center"/>
                </w:tcPr>
                <w:p w14:paraId="352D5B5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160</w:t>
                  </w:r>
                </w:p>
              </w:tc>
              <w:tc>
                <w:tcPr>
                  <w:tcW w:w="824" w:type="dxa"/>
                  <w:tcBorders>
                    <w:tl2br w:val="nil"/>
                    <w:tr2bl w:val="nil"/>
                  </w:tcBorders>
                  <w:shd w:val="clear" w:color="auto" w:fill="auto"/>
                  <w:vAlign w:val="center"/>
                </w:tcPr>
                <w:p w14:paraId="36C3BA0E">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0.1</w:t>
                  </w:r>
                  <w:r>
                    <w:rPr>
                      <w:rFonts w:hint="eastAsia" w:cs="Times New Roman"/>
                      <w:i w:val="0"/>
                      <w:iCs w:val="0"/>
                      <w:color w:val="0000FF"/>
                      <w:kern w:val="0"/>
                      <w:sz w:val="21"/>
                      <w:szCs w:val="21"/>
                      <w:u w:val="none"/>
                      <w:lang w:val="en-US" w:eastAsia="zh-CN" w:bidi="ar"/>
                    </w:rPr>
                    <w:t>443</w:t>
                  </w:r>
                </w:p>
              </w:tc>
              <w:tc>
                <w:tcPr>
                  <w:tcW w:w="4120" w:type="dxa"/>
                  <w:gridSpan w:val="5"/>
                  <w:vMerge w:val="restart"/>
                  <w:tcBorders>
                    <w:tl2br w:val="nil"/>
                    <w:tr2bl w:val="nil"/>
                  </w:tcBorders>
                  <w:shd w:val="clear" w:color="auto" w:fill="auto"/>
                  <w:vAlign w:val="center"/>
                </w:tcPr>
                <w:p w14:paraId="0231222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06AF3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823" w:type="dxa"/>
                  <w:vMerge w:val="continue"/>
                  <w:tcBorders>
                    <w:tl2br w:val="nil"/>
                    <w:tr2bl w:val="nil"/>
                  </w:tcBorders>
                  <w:shd w:val="clear" w:color="auto" w:fill="auto"/>
                  <w:vAlign w:val="center"/>
                </w:tcPr>
                <w:p w14:paraId="45E1DC13">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59914108">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43656900">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824" w:type="dxa"/>
                  <w:tcBorders>
                    <w:tl2br w:val="nil"/>
                    <w:tr2bl w:val="nil"/>
                  </w:tcBorders>
                  <w:shd w:val="clear" w:color="auto" w:fill="auto"/>
                  <w:vAlign w:val="center"/>
                </w:tcPr>
                <w:p w14:paraId="26B0D49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180</w:t>
                  </w:r>
                </w:p>
              </w:tc>
              <w:tc>
                <w:tcPr>
                  <w:tcW w:w="824" w:type="dxa"/>
                  <w:tcBorders>
                    <w:tl2br w:val="nil"/>
                    <w:tr2bl w:val="nil"/>
                  </w:tcBorders>
                  <w:shd w:val="clear" w:color="auto" w:fill="auto"/>
                  <w:vAlign w:val="center"/>
                </w:tcPr>
                <w:p w14:paraId="436EB6C6">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1624</w:t>
                  </w:r>
                </w:p>
              </w:tc>
              <w:tc>
                <w:tcPr>
                  <w:tcW w:w="4120" w:type="dxa"/>
                  <w:gridSpan w:val="5"/>
                  <w:vMerge w:val="continue"/>
                  <w:tcBorders>
                    <w:tl2br w:val="nil"/>
                    <w:tr2bl w:val="nil"/>
                  </w:tcBorders>
                  <w:shd w:val="clear" w:color="auto" w:fill="auto"/>
                  <w:vAlign w:val="center"/>
                </w:tcPr>
                <w:p w14:paraId="20BA6EC9">
                  <w:pPr>
                    <w:jc w:val="center"/>
                    <w:rPr>
                      <w:rFonts w:hint="default" w:ascii="Times New Roman" w:hAnsi="Times New Roman" w:eastAsia="宋体" w:cs="Times New Roman"/>
                      <w:i w:val="0"/>
                      <w:iCs w:val="0"/>
                      <w:color w:val="0000FF"/>
                      <w:sz w:val="21"/>
                      <w:szCs w:val="21"/>
                      <w:u w:val="none"/>
                    </w:rPr>
                  </w:pPr>
                </w:p>
              </w:tc>
            </w:tr>
            <w:tr w14:paraId="15CCD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23" w:type="dxa"/>
                  <w:vMerge w:val="continue"/>
                  <w:tcBorders>
                    <w:tl2br w:val="nil"/>
                    <w:tr2bl w:val="nil"/>
                  </w:tcBorders>
                  <w:shd w:val="clear" w:color="auto" w:fill="auto"/>
                  <w:vAlign w:val="center"/>
                </w:tcPr>
                <w:p w14:paraId="75425130">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1D02052A">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79530564">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总磷</w:t>
                  </w:r>
                </w:p>
              </w:tc>
              <w:tc>
                <w:tcPr>
                  <w:tcW w:w="824" w:type="dxa"/>
                  <w:tcBorders>
                    <w:tl2br w:val="nil"/>
                    <w:tr2bl w:val="nil"/>
                  </w:tcBorders>
                  <w:shd w:val="clear" w:color="auto" w:fill="auto"/>
                  <w:vAlign w:val="center"/>
                </w:tcPr>
                <w:p w14:paraId="27639E44">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3</w:t>
                  </w:r>
                </w:p>
              </w:tc>
              <w:tc>
                <w:tcPr>
                  <w:tcW w:w="824" w:type="dxa"/>
                  <w:tcBorders>
                    <w:tl2br w:val="nil"/>
                    <w:tr2bl w:val="nil"/>
                  </w:tcBorders>
                  <w:shd w:val="clear" w:color="auto" w:fill="auto"/>
                  <w:vAlign w:val="center"/>
                </w:tcPr>
                <w:p w14:paraId="58089304">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w:t>
                  </w:r>
                  <w:r>
                    <w:rPr>
                      <w:rFonts w:hint="eastAsia" w:cs="Times New Roman"/>
                      <w:i w:val="0"/>
                      <w:iCs w:val="0"/>
                      <w:color w:val="0000FF"/>
                      <w:kern w:val="0"/>
                      <w:sz w:val="21"/>
                      <w:szCs w:val="21"/>
                      <w:u w:val="none"/>
                      <w:lang w:val="en-US" w:eastAsia="zh-CN" w:bidi="ar"/>
                    </w:rPr>
                    <w:t>27</w:t>
                  </w:r>
                </w:p>
              </w:tc>
              <w:tc>
                <w:tcPr>
                  <w:tcW w:w="4120" w:type="dxa"/>
                  <w:gridSpan w:val="5"/>
                  <w:vMerge w:val="continue"/>
                  <w:tcBorders>
                    <w:tl2br w:val="nil"/>
                    <w:tr2bl w:val="nil"/>
                  </w:tcBorders>
                  <w:shd w:val="clear" w:color="auto" w:fill="auto"/>
                  <w:vAlign w:val="center"/>
                </w:tcPr>
                <w:p w14:paraId="1D23A317">
                  <w:pPr>
                    <w:jc w:val="center"/>
                    <w:rPr>
                      <w:rFonts w:hint="default" w:ascii="Times New Roman" w:hAnsi="Times New Roman" w:eastAsia="宋体" w:cs="Times New Roman"/>
                      <w:i w:val="0"/>
                      <w:iCs w:val="0"/>
                      <w:color w:val="0000FF"/>
                      <w:sz w:val="21"/>
                      <w:szCs w:val="21"/>
                      <w:u w:val="none"/>
                    </w:rPr>
                  </w:pPr>
                </w:p>
              </w:tc>
            </w:tr>
            <w:tr w14:paraId="6F531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23" w:type="dxa"/>
                  <w:vMerge w:val="continue"/>
                  <w:tcBorders>
                    <w:tl2br w:val="nil"/>
                    <w:tr2bl w:val="nil"/>
                  </w:tcBorders>
                  <w:shd w:val="clear" w:color="auto" w:fill="auto"/>
                  <w:vAlign w:val="center"/>
                </w:tcPr>
                <w:p w14:paraId="0F02B22E">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7B0634B5">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2E2ED8FA">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石油类</w:t>
                  </w:r>
                </w:p>
              </w:tc>
              <w:tc>
                <w:tcPr>
                  <w:tcW w:w="824" w:type="dxa"/>
                  <w:tcBorders>
                    <w:tl2br w:val="nil"/>
                    <w:tr2bl w:val="nil"/>
                  </w:tcBorders>
                  <w:shd w:val="clear" w:color="auto" w:fill="auto"/>
                  <w:vAlign w:val="center"/>
                </w:tcPr>
                <w:p w14:paraId="3EA2717D">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10</w:t>
                  </w:r>
                </w:p>
              </w:tc>
              <w:tc>
                <w:tcPr>
                  <w:tcW w:w="824" w:type="dxa"/>
                  <w:tcBorders>
                    <w:tl2br w:val="nil"/>
                    <w:tr2bl w:val="nil"/>
                  </w:tcBorders>
                  <w:shd w:val="clear" w:color="auto" w:fill="auto"/>
                  <w:vAlign w:val="center"/>
                </w:tcPr>
                <w:p w14:paraId="2969973A">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0.009</w:t>
                  </w:r>
                </w:p>
              </w:tc>
              <w:tc>
                <w:tcPr>
                  <w:tcW w:w="4120" w:type="dxa"/>
                  <w:gridSpan w:val="5"/>
                  <w:vMerge w:val="continue"/>
                  <w:tcBorders>
                    <w:tl2br w:val="nil"/>
                    <w:tr2bl w:val="nil"/>
                  </w:tcBorders>
                  <w:shd w:val="clear" w:color="auto" w:fill="auto"/>
                  <w:vAlign w:val="center"/>
                </w:tcPr>
                <w:p w14:paraId="4F745F47">
                  <w:pPr>
                    <w:jc w:val="center"/>
                    <w:rPr>
                      <w:rFonts w:hint="default" w:ascii="Times New Roman" w:hAnsi="Times New Roman" w:eastAsia="宋体" w:cs="Times New Roman"/>
                      <w:i w:val="0"/>
                      <w:iCs w:val="0"/>
                      <w:color w:val="0000FF"/>
                      <w:sz w:val="21"/>
                      <w:szCs w:val="21"/>
                      <w:u w:val="none"/>
                    </w:rPr>
                  </w:pPr>
                </w:p>
              </w:tc>
            </w:tr>
            <w:tr w14:paraId="737A7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23" w:type="dxa"/>
                  <w:vMerge w:val="continue"/>
                  <w:tcBorders>
                    <w:tl2br w:val="nil"/>
                    <w:tr2bl w:val="nil"/>
                  </w:tcBorders>
                  <w:shd w:val="clear" w:color="auto" w:fill="auto"/>
                  <w:vAlign w:val="center"/>
                </w:tcPr>
                <w:p w14:paraId="3F9946E4">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539631BC">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7F9AEBC1">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总氮</w:t>
                  </w:r>
                </w:p>
              </w:tc>
              <w:tc>
                <w:tcPr>
                  <w:tcW w:w="824" w:type="dxa"/>
                  <w:tcBorders>
                    <w:tl2br w:val="nil"/>
                    <w:tr2bl w:val="nil"/>
                  </w:tcBorders>
                  <w:shd w:val="clear" w:color="auto" w:fill="auto"/>
                  <w:vAlign w:val="center"/>
                </w:tcPr>
                <w:p w14:paraId="29875D5F">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824" w:type="dxa"/>
                  <w:tcBorders>
                    <w:tl2br w:val="nil"/>
                    <w:tr2bl w:val="nil"/>
                  </w:tcBorders>
                  <w:shd w:val="clear" w:color="auto" w:fill="auto"/>
                  <w:vAlign w:val="center"/>
                </w:tcPr>
                <w:p w14:paraId="699CF500">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0.0045</w:t>
                  </w:r>
                </w:p>
              </w:tc>
              <w:tc>
                <w:tcPr>
                  <w:tcW w:w="4120" w:type="dxa"/>
                  <w:gridSpan w:val="5"/>
                  <w:vMerge w:val="continue"/>
                  <w:tcBorders>
                    <w:tl2br w:val="nil"/>
                    <w:tr2bl w:val="nil"/>
                  </w:tcBorders>
                  <w:shd w:val="clear" w:color="auto" w:fill="auto"/>
                  <w:vAlign w:val="center"/>
                </w:tcPr>
                <w:p w14:paraId="37E070A1">
                  <w:pPr>
                    <w:jc w:val="center"/>
                    <w:rPr>
                      <w:rFonts w:hint="default" w:ascii="Times New Roman" w:hAnsi="Times New Roman" w:eastAsia="宋体" w:cs="Times New Roman"/>
                      <w:i w:val="0"/>
                      <w:iCs w:val="0"/>
                      <w:color w:val="0000FF"/>
                      <w:sz w:val="21"/>
                      <w:szCs w:val="21"/>
                      <w:u w:val="none"/>
                    </w:rPr>
                  </w:pPr>
                </w:p>
              </w:tc>
            </w:tr>
            <w:tr w14:paraId="0DC4C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23" w:type="dxa"/>
                  <w:vMerge w:val="continue"/>
                  <w:tcBorders>
                    <w:tl2br w:val="nil"/>
                    <w:tr2bl w:val="nil"/>
                  </w:tcBorders>
                  <w:shd w:val="clear" w:color="auto" w:fill="auto"/>
                  <w:vAlign w:val="center"/>
                </w:tcPr>
                <w:p w14:paraId="121AE5E8">
                  <w:pPr>
                    <w:jc w:val="center"/>
                    <w:rPr>
                      <w:rFonts w:hint="eastAsia" w:ascii="宋体" w:hAnsi="宋体" w:eastAsia="宋体" w:cs="宋体"/>
                      <w:i w:val="0"/>
                      <w:iCs w:val="0"/>
                      <w:color w:val="0000FF"/>
                      <w:sz w:val="21"/>
                      <w:szCs w:val="21"/>
                      <w:u w:val="none"/>
                    </w:rPr>
                  </w:pPr>
                </w:p>
              </w:tc>
              <w:tc>
                <w:tcPr>
                  <w:tcW w:w="823" w:type="dxa"/>
                  <w:vMerge w:val="continue"/>
                  <w:tcBorders>
                    <w:tl2br w:val="nil"/>
                    <w:tr2bl w:val="nil"/>
                  </w:tcBorders>
                  <w:shd w:val="clear" w:color="auto" w:fill="auto"/>
                  <w:vAlign w:val="center"/>
                </w:tcPr>
                <w:p w14:paraId="1B05705D">
                  <w:pPr>
                    <w:jc w:val="center"/>
                    <w:rPr>
                      <w:rFonts w:hint="default" w:ascii="Times New Roman" w:hAnsi="Times New Roman" w:eastAsia="宋体" w:cs="Times New Roman"/>
                      <w:i w:val="0"/>
                      <w:iCs w:val="0"/>
                      <w:color w:val="0000FF"/>
                      <w:sz w:val="21"/>
                      <w:szCs w:val="21"/>
                      <w:u w:val="none"/>
                    </w:rPr>
                  </w:pPr>
                </w:p>
              </w:tc>
              <w:tc>
                <w:tcPr>
                  <w:tcW w:w="824" w:type="dxa"/>
                  <w:tcBorders>
                    <w:tl2br w:val="nil"/>
                    <w:tr2bl w:val="nil"/>
                  </w:tcBorders>
                  <w:shd w:val="clear" w:color="auto" w:fill="auto"/>
                  <w:vAlign w:val="center"/>
                </w:tcPr>
                <w:p w14:paraId="4151A5D0">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总锌</w:t>
                  </w:r>
                </w:p>
              </w:tc>
              <w:tc>
                <w:tcPr>
                  <w:tcW w:w="824" w:type="dxa"/>
                  <w:tcBorders>
                    <w:tl2br w:val="nil"/>
                    <w:tr2bl w:val="nil"/>
                  </w:tcBorders>
                  <w:shd w:val="clear" w:color="auto" w:fill="auto"/>
                  <w:vAlign w:val="center"/>
                </w:tcPr>
                <w:p w14:paraId="073A17F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824" w:type="dxa"/>
                  <w:tcBorders>
                    <w:tl2br w:val="nil"/>
                    <w:tr2bl w:val="nil"/>
                  </w:tcBorders>
                  <w:shd w:val="clear" w:color="auto" w:fill="auto"/>
                  <w:vAlign w:val="center"/>
                </w:tcPr>
                <w:p w14:paraId="1E782277">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0.0009</w:t>
                  </w:r>
                </w:p>
              </w:tc>
              <w:tc>
                <w:tcPr>
                  <w:tcW w:w="4120" w:type="dxa"/>
                  <w:gridSpan w:val="5"/>
                  <w:vMerge w:val="continue"/>
                  <w:tcBorders>
                    <w:tl2br w:val="nil"/>
                    <w:tr2bl w:val="nil"/>
                  </w:tcBorders>
                  <w:shd w:val="clear" w:color="auto" w:fill="auto"/>
                  <w:vAlign w:val="center"/>
                </w:tcPr>
                <w:p w14:paraId="581BDC86">
                  <w:pPr>
                    <w:jc w:val="center"/>
                    <w:rPr>
                      <w:rFonts w:hint="default" w:ascii="Times New Roman" w:hAnsi="Times New Roman" w:eastAsia="宋体" w:cs="Times New Roman"/>
                      <w:i w:val="0"/>
                      <w:iCs w:val="0"/>
                      <w:color w:val="0000FF"/>
                      <w:sz w:val="21"/>
                      <w:szCs w:val="21"/>
                      <w:u w:val="none"/>
                    </w:rPr>
                  </w:pPr>
                </w:p>
              </w:tc>
            </w:tr>
          </w:tbl>
          <w:p w14:paraId="6DD04D15">
            <w:pPr>
              <w:keepNext w:val="0"/>
              <w:keepLines w:val="0"/>
              <w:suppressLineNumbers w:val="0"/>
              <w:spacing w:before="0" w:beforeAutospacing="0" w:after="0" w:afterAutospacing="0" w:line="360" w:lineRule="auto"/>
              <w:ind w:left="0" w:right="0" w:firstLine="422" w:firstLineChars="200"/>
              <w:rPr>
                <w:b/>
                <w:bCs/>
                <w:color w:val="auto"/>
                <w:szCs w:val="21"/>
                <w:highlight w:val="none"/>
              </w:rPr>
            </w:pPr>
            <w:r>
              <w:rPr>
                <w:rFonts w:hint="eastAsia"/>
                <w:b/>
                <w:bCs/>
                <w:color w:val="auto"/>
                <w:szCs w:val="21"/>
                <w:highlight w:val="none"/>
              </w:rPr>
              <w:t>2.2</w:t>
            </w:r>
            <w:r>
              <w:rPr>
                <w:b/>
                <w:bCs/>
                <w:color w:val="auto"/>
                <w:szCs w:val="21"/>
                <w:highlight w:val="none"/>
              </w:rPr>
              <w:t xml:space="preserve"> </w:t>
            </w:r>
            <w:r>
              <w:rPr>
                <w:rFonts w:hint="eastAsia"/>
                <w:b/>
                <w:bCs/>
                <w:color w:val="auto"/>
                <w:szCs w:val="21"/>
                <w:highlight w:val="none"/>
              </w:rPr>
              <w:t>污染治理措施技术可行性分析</w:t>
            </w:r>
          </w:p>
          <w:p w14:paraId="62E6629B">
            <w:pPr>
              <w:spacing w:line="360" w:lineRule="auto"/>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（1）生活污水处理设施可行性分析</w:t>
            </w:r>
          </w:p>
          <w:p w14:paraId="00A53ACF">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ascii="Times New Roman" w:hAnsi="Times New Roman" w:eastAsia="宋体" w:cs="Times New Roman"/>
                <w:color w:val="auto"/>
                <w:sz w:val="21"/>
                <w:szCs w:val="21"/>
                <w:highlight w:val="none"/>
                <w:lang w:val="en-US" w:eastAsia="zh-CN"/>
              </w:rPr>
              <w:t>本项目生活污水产生量为</w:t>
            </w:r>
            <w:r>
              <w:rPr>
                <w:rFonts w:hint="eastAsia" w:cs="Times New Roman"/>
                <w:color w:val="auto"/>
                <w:sz w:val="21"/>
                <w:szCs w:val="21"/>
                <w:highlight w:val="none"/>
                <w:lang w:val="en-US" w:eastAsia="zh-CN"/>
              </w:rPr>
              <w:t>240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r>
              <w:rPr>
                <w:rFonts w:hint="eastAsia" w:cs="Times New Roman"/>
                <w:color w:val="auto"/>
                <w:sz w:val="21"/>
                <w:szCs w:val="21"/>
                <w:highlight w:val="none"/>
                <w:lang w:val="en-US" w:eastAsia="zh-CN"/>
              </w:rPr>
              <w:t>（0.8m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厂区现有化粪池处理规模15m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/d，剩余处理能力1.6m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/d足够处理扩建项目生活污水。生活污水</w:t>
            </w:r>
            <w:r>
              <w:rPr>
                <w:rFonts w:hint="eastAsia" w:ascii="Times New Roman" w:hAnsi="Times New Roman" w:eastAsia="宋体" w:cs="Times New Roman"/>
                <w:color w:val="auto"/>
                <w:sz w:val="21"/>
                <w:szCs w:val="21"/>
                <w:highlight w:val="none"/>
                <w:lang w:val="en-US" w:eastAsia="zh-CN"/>
              </w:rPr>
              <w:t>主要污染物为COD、</w:t>
            </w: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SS、氨氮、TN、TP，通过化粪池处理可以达</w:t>
            </w:r>
            <w:r>
              <w:rPr>
                <w:rFonts w:hint="eastAsia" w:cs="Times New Roman"/>
                <w:color w:val="auto"/>
                <w:sz w:val="21"/>
                <w:szCs w:val="21"/>
                <w:highlight w:val="none"/>
                <w:lang w:val="en-US" w:eastAsia="zh-CN"/>
              </w:rPr>
              <w:t>李口镇污水处理厂</w:t>
            </w:r>
            <w:r>
              <w:rPr>
                <w:rFonts w:hint="eastAsia" w:ascii="Times New Roman" w:hAnsi="Times New Roman" w:eastAsia="宋体" w:cs="Times New Roman"/>
                <w:color w:val="auto"/>
                <w:sz w:val="21"/>
                <w:szCs w:val="21"/>
                <w:highlight w:val="none"/>
                <w:lang w:val="en-US" w:eastAsia="zh-CN"/>
              </w:rPr>
              <w:t>接管标准，通过污水管网排入</w:t>
            </w:r>
            <w:r>
              <w:rPr>
                <w:rFonts w:hint="eastAsia" w:cs="Times New Roman"/>
                <w:color w:val="auto"/>
                <w:sz w:val="21"/>
                <w:szCs w:val="21"/>
                <w:highlight w:val="none"/>
                <w:lang w:val="en-US" w:eastAsia="zh-CN"/>
              </w:rPr>
              <w:t>李口镇污水处理厂进一步</w:t>
            </w:r>
            <w:r>
              <w:rPr>
                <w:rFonts w:hint="eastAsia" w:ascii="Times New Roman" w:hAnsi="Times New Roman" w:eastAsia="宋体" w:cs="Times New Roman"/>
                <w:color w:val="auto"/>
                <w:sz w:val="21"/>
                <w:szCs w:val="21"/>
                <w:highlight w:val="none"/>
                <w:lang w:val="en-US" w:eastAsia="zh-CN"/>
              </w:rPr>
              <w:t>深度处理</w:t>
            </w:r>
            <w:r>
              <w:rPr>
                <w:rFonts w:hint="eastAsia"/>
                <w:color w:val="auto"/>
                <w:szCs w:val="21"/>
                <w:highlight w:val="none"/>
              </w:rPr>
              <w:t>。</w:t>
            </w:r>
          </w:p>
          <w:p w14:paraId="3D4FD43F">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根据《村镇生活污染防治最佳可行技术指南》（试行），村镇生活污水污染防治最佳可行单元技术为三格式化粪池、沼气发酵池、人工湿地、土地快速渗滤、稳定塘、厌氧滤池、生物接触氧化法、脱氮除磷活性污泥法、膜生物反应器；三格式化粪池对污染物的去除效率为COD：40%~50%、SS：60%~70%、TN≤10%、TP≤20%。本项目生活</w:t>
            </w:r>
            <w:r>
              <w:rPr>
                <w:rFonts w:hint="eastAsia"/>
                <w:color w:val="auto"/>
                <w:szCs w:val="21"/>
                <w:highlight w:val="none"/>
                <w:lang w:val="en-US" w:eastAsia="zh-CN"/>
              </w:rPr>
              <w:t>污水</w:t>
            </w:r>
            <w:r>
              <w:rPr>
                <w:rFonts w:hint="eastAsia"/>
                <w:color w:val="auto"/>
                <w:szCs w:val="21"/>
                <w:highlight w:val="none"/>
              </w:rPr>
              <w:t>采用化粪池处理为可行技术</w:t>
            </w:r>
            <w:r>
              <w:rPr>
                <w:rFonts w:hint="eastAsia"/>
                <w:color w:val="auto"/>
                <w:szCs w:val="21"/>
                <w:highlight w:val="none"/>
                <w:lang w:eastAsia="zh-CN"/>
              </w:rPr>
              <w:t>。本项目化粪池对COD去除率取</w:t>
            </w:r>
            <w:r>
              <w:rPr>
                <w:rFonts w:hint="eastAsia"/>
                <w:color w:val="auto"/>
                <w:szCs w:val="21"/>
                <w:highlight w:val="none"/>
                <w:lang w:val="en-US" w:eastAsia="zh-CN"/>
              </w:rPr>
              <w:t>33.33</w:t>
            </w:r>
            <w:r>
              <w:rPr>
                <w:rFonts w:hint="eastAsia"/>
                <w:color w:val="auto"/>
                <w:szCs w:val="21"/>
                <w:highlight w:val="none"/>
                <w:lang w:eastAsia="zh-CN"/>
              </w:rPr>
              <w:t>%、对SS去除率取</w:t>
            </w:r>
            <w:r>
              <w:rPr>
                <w:rFonts w:hint="eastAsia"/>
                <w:color w:val="auto"/>
                <w:szCs w:val="21"/>
                <w:highlight w:val="none"/>
                <w:lang w:val="en-US" w:eastAsia="zh-CN"/>
              </w:rPr>
              <w:t>43.75</w:t>
            </w:r>
            <w:r>
              <w:rPr>
                <w:rFonts w:hint="eastAsia"/>
                <w:color w:val="auto"/>
                <w:szCs w:val="21"/>
                <w:highlight w:val="none"/>
                <w:lang w:eastAsia="zh-CN"/>
              </w:rPr>
              <w:t>%，均不超过指南要求。项目生活污水经化粪池处理后，可对悬浮物有较大的削减作用，对COD等也有一定的去除效果。</w:t>
            </w:r>
          </w:p>
          <w:p w14:paraId="7A7962F8">
            <w:pPr>
              <w:keepNext w:val="0"/>
              <w:keepLines w:val="0"/>
              <w:pageBreakBefore w:val="0"/>
              <w:shd w:val="clear" w:color="auto" w:fill="auto"/>
              <w:kinsoku/>
              <w:wordWrap/>
              <w:overflowPunct/>
              <w:topLinePunct w:val="0"/>
              <w:autoSpaceDE/>
              <w:autoSpaceDN/>
              <w:bidi w:val="0"/>
              <w:spacing w:line="360" w:lineRule="auto"/>
              <w:ind w:left="0" w:leftChars="0" w:right="0" w:firstLine="420" w:firstLineChars="200"/>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（2）生产废水处理设施可行性分析</w:t>
            </w:r>
          </w:p>
          <w:p w14:paraId="20C7E8E1">
            <w:pPr>
              <w:keepNext w:val="0"/>
              <w:keepLines w:val="0"/>
              <w:pageBreakBefore w:val="0"/>
              <w:shd w:val="clear" w:color="auto" w:fill="auto"/>
              <w:kinsoku/>
              <w:wordWrap/>
              <w:overflowPunct/>
              <w:topLinePunct w:val="0"/>
              <w:autoSpaceDE/>
              <w:autoSpaceDN/>
              <w:bidi w:val="0"/>
              <w:spacing w:line="360" w:lineRule="auto"/>
              <w:ind w:left="0" w:leftChars="0" w:right="0"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项目生产废水</w:t>
            </w:r>
            <w:r>
              <w:rPr>
                <w:rFonts w:hint="eastAsia" w:cs="Times New Roman"/>
                <w:color w:val="auto"/>
                <w:kern w:val="0"/>
                <w:sz w:val="21"/>
                <w:szCs w:val="21"/>
                <w:highlight w:val="none"/>
                <w:lang w:val="en-US" w:eastAsia="zh-CN"/>
              </w:rPr>
              <w:t>为喷塑前表面处理废水，经厂区污水处理站TW002处理后与处理后的生活污水和现有项目废水一起接管至李口镇污水处理厂进一步处理</w:t>
            </w:r>
            <w:r>
              <w:rPr>
                <w:rFonts w:hint="eastAsia" w:ascii="Times New Roman" w:hAnsi="Times New Roman" w:eastAsia="宋体" w:cs="Times New Roman"/>
                <w:color w:val="auto"/>
                <w:kern w:val="0"/>
                <w:sz w:val="21"/>
                <w:szCs w:val="21"/>
                <w:highlight w:val="none"/>
                <w:lang w:val="en-US" w:eastAsia="zh-CN"/>
              </w:rPr>
              <w:t>。具体处理工艺如下</w:t>
            </w:r>
          </w:p>
          <w:p w14:paraId="55E63A10">
            <w:pPr>
              <w:pStyle w:val="1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3228975" cy="4762500"/>
                  <wp:effectExtent l="0" t="0" r="9525" b="0"/>
                  <wp:docPr id="11" name="图片 11" descr="工艺流程-第 6 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艺流程-第 6 页"/>
                          <pic:cNvPicPr>
                            <a:picLocks noChangeAspect="1"/>
                          </pic:cNvPicPr>
                        </pic:nvPicPr>
                        <pic:blipFill>
                          <a:blip r:embed="rId19"/>
                          <a:stretch>
                            <a:fillRect/>
                          </a:stretch>
                        </pic:blipFill>
                        <pic:spPr>
                          <a:xfrm>
                            <a:off x="0" y="0"/>
                            <a:ext cx="3228975" cy="4762500"/>
                          </a:xfrm>
                          <a:prstGeom prst="rect">
                            <a:avLst/>
                          </a:prstGeom>
                        </pic:spPr>
                      </pic:pic>
                    </a:graphicData>
                  </a:graphic>
                </wp:inline>
              </w:drawing>
            </w:r>
          </w:p>
          <w:p w14:paraId="124E927D">
            <w:pPr>
              <w:pStyle w:val="10"/>
              <w:jc w:val="center"/>
              <w:rPr>
                <w:rFonts w:hint="eastAsia"/>
                <w:b/>
                <w:bCs/>
                <w:color w:val="auto"/>
                <w:sz w:val="21"/>
                <w:szCs w:val="22"/>
                <w:highlight w:val="none"/>
                <w:lang w:val="en-US" w:eastAsia="zh-CN"/>
              </w:rPr>
            </w:pPr>
            <w:r>
              <w:rPr>
                <w:rFonts w:hint="eastAsia"/>
                <w:b/>
                <w:bCs/>
                <w:color w:val="auto"/>
                <w:sz w:val="21"/>
                <w:szCs w:val="22"/>
                <w:highlight w:val="none"/>
                <w:lang w:val="en-US" w:eastAsia="zh-CN"/>
              </w:rPr>
              <w:t>图4-2本项目生产废水处理工艺流程图</w:t>
            </w:r>
          </w:p>
          <w:p w14:paraId="595242C3">
            <w:pPr>
              <w:pStyle w:val="10"/>
              <w:ind w:firstLine="420" w:firstLineChars="200"/>
              <w:jc w:val="both"/>
              <w:rPr>
                <w:rFonts w:hint="default"/>
                <w:b w:val="0"/>
                <w:bCs w:val="0"/>
                <w:color w:val="auto"/>
                <w:highlight w:val="none"/>
                <w:lang w:val="en-US" w:eastAsia="zh-CN"/>
              </w:rPr>
            </w:pPr>
            <w:r>
              <w:rPr>
                <w:rFonts w:hint="eastAsia"/>
                <w:b w:val="0"/>
                <w:bCs w:val="0"/>
                <w:color w:val="auto"/>
                <w:sz w:val="21"/>
                <w:szCs w:val="22"/>
                <w:highlight w:val="none"/>
                <w:lang w:val="en-US" w:eastAsia="zh-CN"/>
              </w:rPr>
              <w:t>工艺简述：</w:t>
            </w:r>
          </w:p>
          <w:p w14:paraId="464BBD14">
            <w:pPr>
              <w:keepNext w:val="0"/>
              <w:keepLines w:val="0"/>
              <w:suppressLineNumbers w:val="0"/>
              <w:spacing w:before="0" w:beforeAutospacing="0" w:after="0" w:afterAutospacing="0" w:line="360" w:lineRule="auto"/>
              <w:ind w:left="0" w:right="0" w:firstLine="420" w:firstLineChars="200"/>
              <w:rPr>
                <w:rFonts w:hint="eastAsia"/>
                <w:b w:val="0"/>
                <w:bCs w:val="0"/>
                <w:color w:val="auto"/>
                <w:szCs w:val="21"/>
                <w:highlight w:val="none"/>
              </w:rPr>
            </w:pPr>
            <w:r>
              <w:rPr>
                <w:rFonts w:hint="eastAsia"/>
                <w:b w:val="0"/>
                <w:bCs w:val="0"/>
                <w:color w:val="auto"/>
                <w:szCs w:val="21"/>
                <w:highlight w:val="none"/>
              </w:rPr>
              <w:t>废水通过耐腐蚀管道汇集到集水池，集水池除对废水及汇集和储存作用外，还可以去除废水中的粗大粒子和浮油，使废水水质水量均衡。</w:t>
            </w:r>
          </w:p>
          <w:p w14:paraId="6F5CE78F">
            <w:pPr>
              <w:keepNext w:val="0"/>
              <w:keepLines w:val="0"/>
              <w:suppressLineNumbers w:val="0"/>
              <w:spacing w:before="0" w:beforeAutospacing="0" w:after="0" w:afterAutospacing="0" w:line="360" w:lineRule="auto"/>
              <w:ind w:left="0" w:right="0" w:firstLine="420" w:firstLineChars="200"/>
              <w:rPr>
                <w:rFonts w:hint="eastAsia"/>
                <w:b w:val="0"/>
                <w:bCs w:val="0"/>
                <w:color w:val="auto"/>
                <w:szCs w:val="21"/>
                <w:highlight w:val="none"/>
              </w:rPr>
            </w:pPr>
            <w:r>
              <w:rPr>
                <w:rFonts w:hint="eastAsia"/>
                <w:b w:val="0"/>
                <w:bCs w:val="0"/>
                <w:color w:val="auto"/>
                <w:szCs w:val="21"/>
                <w:highlight w:val="none"/>
              </w:rPr>
              <w:t>废水然后进入中和池，加入NaOH药剂调节溶液PH＞10.0，加入Ca</w:t>
            </w:r>
            <w:r>
              <w:rPr>
                <w:rFonts w:hint="eastAsia"/>
                <w:b w:val="0"/>
                <w:bCs w:val="0"/>
                <w:color w:val="auto"/>
                <w:szCs w:val="21"/>
                <w:highlight w:val="none"/>
                <w:vertAlign w:val="superscript"/>
              </w:rPr>
              <w:t>2+</w:t>
            </w:r>
            <w:r>
              <w:rPr>
                <w:rFonts w:hint="eastAsia"/>
                <w:b w:val="0"/>
                <w:bCs w:val="0"/>
                <w:color w:val="auto"/>
                <w:szCs w:val="21"/>
                <w:highlight w:val="none"/>
              </w:rPr>
              <w:t>沉淀废水中含磷物质</w:t>
            </w:r>
            <w:r>
              <w:rPr>
                <w:rFonts w:hint="eastAsia"/>
                <w:b w:val="0"/>
                <w:bCs w:val="0"/>
                <w:color w:val="auto"/>
                <w:szCs w:val="21"/>
                <w:highlight w:val="none"/>
                <w:lang w:val="en-US" w:eastAsia="zh-CN"/>
              </w:rPr>
              <w:t>及少量锌离子，</w:t>
            </w:r>
            <w:r>
              <w:rPr>
                <w:rFonts w:hint="eastAsia"/>
                <w:b w:val="0"/>
                <w:bCs w:val="0"/>
                <w:color w:val="auto"/>
                <w:szCs w:val="21"/>
                <w:highlight w:val="none"/>
              </w:rPr>
              <w:t>中和后的废水进入混凝池，添加PAM混凝剂，混凝处理，有效去除水中的微小悬浮物、胶体及油脂类物质以形成良好的絮凝团后到斜管沉淀塔进行高效固液分离。</w:t>
            </w:r>
          </w:p>
          <w:p w14:paraId="0CBD329F">
            <w:pPr>
              <w:keepNext w:val="0"/>
              <w:keepLines w:val="0"/>
              <w:suppressLineNumbers w:val="0"/>
              <w:spacing w:before="0" w:beforeAutospacing="0" w:after="0" w:afterAutospacing="0" w:line="360" w:lineRule="auto"/>
              <w:ind w:left="0" w:right="0" w:firstLine="420" w:firstLineChars="200"/>
              <w:rPr>
                <w:rFonts w:hint="eastAsia"/>
                <w:b w:val="0"/>
                <w:bCs w:val="0"/>
                <w:color w:val="auto"/>
                <w:szCs w:val="21"/>
                <w:highlight w:val="none"/>
              </w:rPr>
            </w:pPr>
            <w:r>
              <w:rPr>
                <w:rFonts w:hint="eastAsia"/>
                <w:b w:val="0"/>
                <w:bCs w:val="0"/>
                <w:color w:val="auto"/>
                <w:szCs w:val="21"/>
                <w:highlight w:val="none"/>
              </w:rPr>
              <w:t>混凝池出水自流进入斜管沉淀塔中，斜管沉淀塔中内敷设了许多间隔较小的平行倾斜板或直径较小的平行倾斜塔的沉淀装置，提高了沉淀效果和出水率，通过加入强酸调节溶液PH，加入絮凝剂PAC和PAM，使废水中细小絮体变成较大的絮体胶团并沉淀，有效去除COD、SS及杂质固体。</w:t>
            </w:r>
          </w:p>
          <w:p w14:paraId="3D43A742">
            <w:pPr>
              <w:keepNext w:val="0"/>
              <w:keepLines w:val="0"/>
              <w:suppressLineNumbers w:val="0"/>
              <w:spacing w:before="0" w:beforeAutospacing="0" w:after="0" w:afterAutospacing="0" w:line="360" w:lineRule="auto"/>
              <w:ind w:left="0" w:right="0" w:firstLine="420" w:firstLineChars="200"/>
              <w:rPr>
                <w:rFonts w:hint="eastAsia"/>
                <w:b w:val="0"/>
                <w:bCs w:val="0"/>
                <w:color w:val="auto"/>
                <w:szCs w:val="21"/>
                <w:highlight w:val="none"/>
              </w:rPr>
            </w:pPr>
            <w:r>
              <w:rPr>
                <w:rFonts w:hint="eastAsia"/>
                <w:b w:val="0"/>
                <w:bCs w:val="0"/>
                <w:color w:val="auto"/>
                <w:szCs w:val="21"/>
                <w:highlight w:val="none"/>
              </w:rPr>
              <w:t>污水在斜管沉淀塔中停留调整一定时间后自流入过滤器，进行污水的除浊处理，有效地去除水中的较大颗粒悬浮物和胶体等。过滤器出水和经化粪池处理的生活污水一起排入李口镇污水处理厂进行处理，出水排入</w:t>
            </w:r>
            <w:r>
              <w:rPr>
                <w:rFonts w:hint="eastAsia"/>
                <w:b w:val="0"/>
                <w:bCs w:val="0"/>
                <w:color w:val="auto"/>
                <w:szCs w:val="21"/>
                <w:highlight w:val="none"/>
                <w:lang w:eastAsia="zh-CN"/>
              </w:rPr>
              <w:t>其葛河</w:t>
            </w:r>
            <w:r>
              <w:rPr>
                <w:rFonts w:hint="eastAsia"/>
                <w:b w:val="0"/>
                <w:bCs w:val="0"/>
                <w:color w:val="auto"/>
                <w:szCs w:val="21"/>
                <w:highlight w:val="none"/>
              </w:rPr>
              <w:t>。</w:t>
            </w:r>
          </w:p>
          <w:p w14:paraId="50341A6B">
            <w:pPr>
              <w:keepNext w:val="0"/>
              <w:keepLines w:val="0"/>
              <w:suppressLineNumbers w:val="0"/>
              <w:spacing w:before="0" w:beforeAutospacing="0" w:after="0" w:afterAutospacing="0" w:line="360" w:lineRule="auto"/>
              <w:ind w:left="0" w:right="0" w:firstLine="420" w:firstLineChars="200"/>
              <w:rPr>
                <w:rFonts w:hint="eastAsia"/>
                <w:b w:val="0"/>
                <w:bCs w:val="0"/>
                <w:color w:val="auto"/>
                <w:szCs w:val="21"/>
                <w:highlight w:val="none"/>
              </w:rPr>
            </w:pPr>
            <w:r>
              <w:rPr>
                <w:rFonts w:hint="eastAsia"/>
                <w:b w:val="0"/>
                <w:bCs w:val="0"/>
                <w:color w:val="auto"/>
                <w:szCs w:val="21"/>
                <w:highlight w:val="none"/>
              </w:rPr>
              <w:t>项目</w:t>
            </w:r>
            <w:r>
              <w:rPr>
                <w:rFonts w:hint="eastAsia"/>
                <w:b w:val="0"/>
                <w:bCs w:val="0"/>
                <w:color w:val="auto"/>
                <w:szCs w:val="21"/>
                <w:highlight w:val="none"/>
                <w:lang w:val="en-US" w:eastAsia="zh-CN"/>
              </w:rPr>
              <w:t>新建</w:t>
            </w:r>
            <w:r>
              <w:rPr>
                <w:rFonts w:hint="eastAsia"/>
                <w:b w:val="0"/>
                <w:bCs w:val="0"/>
                <w:color w:val="auto"/>
                <w:szCs w:val="21"/>
                <w:highlight w:val="none"/>
              </w:rPr>
              <w:t>污水</w:t>
            </w:r>
            <w:r>
              <w:rPr>
                <w:rFonts w:hint="eastAsia"/>
                <w:b w:val="0"/>
                <w:bCs w:val="0"/>
                <w:color w:val="auto"/>
                <w:szCs w:val="21"/>
                <w:highlight w:val="none"/>
                <w:lang w:val="en-US" w:eastAsia="zh-CN"/>
              </w:rPr>
              <w:t>处理</w:t>
            </w:r>
            <w:r>
              <w:rPr>
                <w:rFonts w:hint="eastAsia"/>
                <w:b w:val="0"/>
                <w:bCs w:val="0"/>
                <w:color w:val="auto"/>
                <w:szCs w:val="21"/>
                <w:highlight w:val="none"/>
              </w:rPr>
              <w:t>站设计能力为10m</w:t>
            </w:r>
            <w:r>
              <w:rPr>
                <w:rFonts w:hint="eastAsia"/>
                <w:b w:val="0"/>
                <w:bCs w:val="0"/>
                <w:color w:val="auto"/>
                <w:szCs w:val="21"/>
                <w:highlight w:val="none"/>
                <w:vertAlign w:val="superscript"/>
              </w:rPr>
              <w:t>3</w:t>
            </w:r>
            <w:r>
              <w:rPr>
                <w:rFonts w:hint="eastAsia"/>
                <w:b w:val="0"/>
                <w:bCs w:val="0"/>
                <w:color w:val="auto"/>
                <w:szCs w:val="21"/>
                <w:highlight w:val="none"/>
              </w:rPr>
              <w:t>/h，根据企业提供的环评资料，</w:t>
            </w:r>
            <w:r>
              <w:rPr>
                <w:rFonts w:hint="eastAsia"/>
                <w:b w:val="0"/>
                <w:bCs w:val="0"/>
                <w:color w:val="auto"/>
                <w:szCs w:val="21"/>
                <w:highlight w:val="none"/>
                <w:lang w:val="en-US" w:eastAsia="zh-CN"/>
              </w:rPr>
              <w:t>现有</w:t>
            </w:r>
            <w:r>
              <w:rPr>
                <w:rFonts w:hint="eastAsia"/>
                <w:b w:val="0"/>
                <w:bCs w:val="0"/>
                <w:color w:val="auto"/>
                <w:szCs w:val="21"/>
                <w:highlight w:val="none"/>
              </w:rPr>
              <w:t>项目</w:t>
            </w:r>
            <w:r>
              <w:rPr>
                <w:rFonts w:hint="eastAsia"/>
                <w:b w:val="0"/>
                <w:bCs w:val="0"/>
                <w:color w:val="auto"/>
                <w:szCs w:val="21"/>
                <w:highlight w:val="none"/>
                <w:lang w:val="en-US" w:eastAsia="zh-CN"/>
              </w:rPr>
              <w:t>喷塑前处理</w:t>
            </w:r>
            <w:r>
              <w:rPr>
                <w:rFonts w:hint="eastAsia"/>
                <w:b w:val="0"/>
                <w:bCs w:val="0"/>
                <w:color w:val="auto"/>
                <w:szCs w:val="21"/>
                <w:highlight w:val="none"/>
              </w:rPr>
              <w:t>生产废水排放量约</w:t>
            </w:r>
            <w:r>
              <w:rPr>
                <w:rFonts w:hint="eastAsia"/>
                <w:b w:val="0"/>
                <w:bCs w:val="0"/>
                <w:color w:val="auto"/>
                <w:szCs w:val="21"/>
                <w:highlight w:val="none"/>
                <w:lang w:val="en-US" w:eastAsia="zh-CN"/>
              </w:rPr>
              <w:t>2.32</w:t>
            </w:r>
            <w:r>
              <w:rPr>
                <w:rFonts w:hint="eastAsia"/>
                <w:b w:val="0"/>
                <w:bCs w:val="0"/>
                <w:color w:val="auto"/>
                <w:szCs w:val="21"/>
                <w:highlight w:val="none"/>
              </w:rPr>
              <w:t>m</w:t>
            </w:r>
            <w:r>
              <w:rPr>
                <w:rFonts w:hint="eastAsia"/>
                <w:b w:val="0"/>
                <w:bCs w:val="0"/>
                <w:color w:val="auto"/>
                <w:szCs w:val="21"/>
                <w:highlight w:val="none"/>
                <w:vertAlign w:val="superscript"/>
              </w:rPr>
              <w:t>3</w:t>
            </w:r>
            <w:r>
              <w:rPr>
                <w:rFonts w:hint="eastAsia"/>
                <w:b w:val="0"/>
                <w:bCs w:val="0"/>
                <w:color w:val="auto"/>
                <w:szCs w:val="21"/>
                <w:highlight w:val="none"/>
              </w:rPr>
              <w:t>/h，本扩建项目生产废水排放量约</w:t>
            </w:r>
            <w:r>
              <w:rPr>
                <w:rFonts w:hint="eastAsia"/>
                <w:b w:val="0"/>
                <w:bCs w:val="0"/>
                <w:color w:val="auto"/>
                <w:szCs w:val="21"/>
                <w:highlight w:val="none"/>
                <w:lang w:val="en-US" w:eastAsia="zh-CN"/>
              </w:rPr>
              <w:t>3.01</w:t>
            </w:r>
            <w:r>
              <w:rPr>
                <w:rFonts w:hint="eastAsia"/>
                <w:b w:val="0"/>
                <w:bCs w:val="0"/>
                <w:color w:val="auto"/>
                <w:szCs w:val="21"/>
                <w:highlight w:val="none"/>
              </w:rPr>
              <w:t>m</w:t>
            </w:r>
            <w:r>
              <w:rPr>
                <w:rFonts w:hint="eastAsia"/>
                <w:b w:val="0"/>
                <w:bCs w:val="0"/>
                <w:color w:val="auto"/>
                <w:szCs w:val="21"/>
                <w:highlight w:val="none"/>
                <w:vertAlign w:val="superscript"/>
              </w:rPr>
              <w:t>3</w:t>
            </w:r>
            <w:r>
              <w:rPr>
                <w:rFonts w:hint="eastAsia"/>
                <w:b w:val="0"/>
                <w:bCs w:val="0"/>
                <w:color w:val="auto"/>
                <w:szCs w:val="21"/>
                <w:highlight w:val="none"/>
              </w:rPr>
              <w:t>/h，</w:t>
            </w:r>
            <w:r>
              <w:rPr>
                <w:rFonts w:hint="eastAsia"/>
                <w:b w:val="0"/>
                <w:bCs w:val="0"/>
                <w:color w:val="auto"/>
                <w:szCs w:val="21"/>
                <w:highlight w:val="none"/>
                <w:lang w:val="en-US" w:eastAsia="zh-CN"/>
              </w:rPr>
              <w:t>扩建</w:t>
            </w:r>
            <w:r>
              <w:rPr>
                <w:rFonts w:hint="eastAsia"/>
                <w:b w:val="0"/>
                <w:bCs w:val="0"/>
                <w:color w:val="auto"/>
                <w:szCs w:val="21"/>
                <w:highlight w:val="none"/>
              </w:rPr>
              <w:t>污水</w:t>
            </w:r>
            <w:r>
              <w:rPr>
                <w:rFonts w:hint="eastAsia"/>
                <w:b w:val="0"/>
                <w:bCs w:val="0"/>
                <w:color w:val="auto"/>
                <w:szCs w:val="21"/>
                <w:highlight w:val="none"/>
                <w:lang w:val="en-US" w:eastAsia="zh-CN"/>
              </w:rPr>
              <w:t>处理</w:t>
            </w:r>
            <w:r>
              <w:rPr>
                <w:rFonts w:hint="eastAsia"/>
                <w:b w:val="0"/>
                <w:bCs w:val="0"/>
                <w:color w:val="auto"/>
                <w:szCs w:val="21"/>
                <w:highlight w:val="none"/>
              </w:rPr>
              <w:t>站</w:t>
            </w:r>
            <w:r>
              <w:rPr>
                <w:rFonts w:hint="eastAsia"/>
                <w:b w:val="0"/>
                <w:bCs w:val="0"/>
                <w:color w:val="auto"/>
                <w:szCs w:val="21"/>
                <w:highlight w:val="none"/>
                <w:lang w:val="en-US" w:eastAsia="zh-CN"/>
              </w:rPr>
              <w:t>水量上</w:t>
            </w:r>
            <w:r>
              <w:rPr>
                <w:rFonts w:hint="eastAsia"/>
                <w:b w:val="0"/>
                <w:bCs w:val="0"/>
                <w:color w:val="auto"/>
                <w:szCs w:val="21"/>
                <w:highlight w:val="none"/>
              </w:rPr>
              <w:t>可以满足废水的处理要求。</w:t>
            </w:r>
          </w:p>
          <w:p w14:paraId="63D08E8D">
            <w:pPr>
              <w:keepNext w:val="0"/>
              <w:keepLines w:val="0"/>
              <w:suppressLineNumbers w:val="0"/>
              <w:spacing w:before="0" w:beforeAutospacing="0" w:after="0" w:afterAutospacing="0" w:line="360" w:lineRule="auto"/>
              <w:ind w:left="0" w:right="0" w:firstLine="420" w:firstLineChars="200"/>
              <w:rPr>
                <w:rFonts w:hint="eastAsia"/>
                <w:b w:val="0"/>
                <w:bCs w:val="0"/>
                <w:color w:val="0000FF"/>
                <w:szCs w:val="21"/>
                <w:highlight w:val="none"/>
              </w:rPr>
            </w:pPr>
            <w:r>
              <w:rPr>
                <w:rFonts w:hint="eastAsia"/>
                <w:b w:val="0"/>
                <w:bCs w:val="0"/>
                <w:color w:val="auto"/>
                <w:szCs w:val="21"/>
                <w:highlight w:val="none"/>
                <w:lang w:val="en-US" w:eastAsia="zh-CN"/>
              </w:rPr>
              <w:t>（6）沉淀</w:t>
            </w:r>
            <w:r>
              <w:rPr>
                <w:rFonts w:hint="eastAsia"/>
                <w:b w:val="0"/>
                <w:bCs w:val="0"/>
                <w:color w:val="0000FF"/>
                <w:szCs w:val="21"/>
                <w:highlight w:val="none"/>
                <w:lang w:val="en-US" w:eastAsia="zh-CN"/>
              </w:rPr>
              <w:t>污泥经污泥脱水后，干化污泥委托有资质单位处置。</w:t>
            </w:r>
          </w:p>
          <w:p w14:paraId="273A8C80">
            <w:pPr>
              <w:keepNext w:val="0"/>
              <w:keepLines w:val="0"/>
              <w:suppressLineNumbers w:val="0"/>
              <w:spacing w:before="0" w:beforeAutospacing="0" w:after="0" w:afterAutospacing="0" w:line="360" w:lineRule="auto"/>
              <w:ind w:right="0"/>
              <w:jc w:val="center"/>
              <w:rPr>
                <w:rFonts w:hint="eastAsia"/>
                <w:b w:val="0"/>
                <w:bCs w:val="0"/>
                <w:color w:val="0000FF"/>
                <w:szCs w:val="21"/>
                <w:highlight w:val="none"/>
              </w:rPr>
            </w:pPr>
            <w:r>
              <w:rPr>
                <w:rFonts w:hint="eastAsia"/>
                <w:b/>
                <w:bCs/>
                <w:color w:val="0000FF"/>
                <w:kern w:val="0"/>
                <w:sz w:val="21"/>
                <w:szCs w:val="21"/>
                <w:highlight w:val="none"/>
                <w:lang w:val="en-US" w:eastAsia="zh-CN"/>
              </w:rPr>
              <w:t>表4-20本项目生产废水污水处理系统效率一览表</w:t>
            </w:r>
          </w:p>
          <w:tbl>
            <w:tblPr>
              <w:tblStyle w:val="30"/>
              <w:tblW w:w="5000" w:type="pct"/>
              <w:jc w:val="center"/>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Layout w:type="fixed"/>
              <w:tblCellMar>
                <w:top w:w="0" w:type="dxa"/>
                <w:left w:w="28" w:type="dxa"/>
                <w:bottom w:w="0" w:type="dxa"/>
                <w:right w:w="28" w:type="dxa"/>
              </w:tblCellMar>
            </w:tblPr>
            <w:tblGrid>
              <w:gridCol w:w="974"/>
              <w:gridCol w:w="930"/>
              <w:gridCol w:w="904"/>
              <w:gridCol w:w="904"/>
              <w:gridCol w:w="904"/>
              <w:gridCol w:w="904"/>
              <w:gridCol w:w="904"/>
              <w:gridCol w:w="904"/>
              <w:gridCol w:w="910"/>
            </w:tblGrid>
            <w:tr w14:paraId="6AD73FB2">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1904" w:type="dxa"/>
                  <w:gridSpan w:val="2"/>
                  <w:tcBorders>
                    <w:tl2br w:val="single" w:color="474747" w:sz="4" w:space="0"/>
                  </w:tcBorders>
                  <w:shd w:val="clear" w:color="auto" w:fill="auto"/>
                  <w:vAlign w:val="center"/>
                </w:tcPr>
                <w:p w14:paraId="4BB80B96">
                  <w:pPr>
                    <w:keepNext w:val="0"/>
                    <w:keepLines w:val="0"/>
                    <w:widowControl/>
                    <w:suppressLineNumbers w:val="0"/>
                    <w:jc w:val="right"/>
                    <w:textAlignment w:val="center"/>
                    <w:rPr>
                      <w:rFonts w:hint="eastAsia" w:ascii="宋体" w:hAnsi="宋体" w:eastAsia="宋体" w:cs="宋体"/>
                      <w:i w:val="0"/>
                      <w:iCs w:val="0"/>
                      <w:color w:val="0000FF"/>
                      <w:kern w:val="0"/>
                      <w:sz w:val="21"/>
                      <w:szCs w:val="21"/>
                      <w:highlight w:val="none"/>
                      <w:u w:val="none"/>
                      <w:lang w:val="en-US" w:eastAsia="zh-CN" w:bidi="ar"/>
                    </w:rPr>
                  </w:pPr>
                  <w:r>
                    <w:rPr>
                      <w:rFonts w:hint="eastAsia" w:ascii="宋体" w:hAnsi="宋体" w:eastAsia="宋体" w:cs="宋体"/>
                      <w:i w:val="0"/>
                      <w:iCs w:val="0"/>
                      <w:color w:val="0000FF"/>
                      <w:kern w:val="0"/>
                      <w:sz w:val="21"/>
                      <w:szCs w:val="21"/>
                      <w:highlight w:val="none"/>
                      <w:u w:val="none"/>
                      <w:lang w:val="en-US" w:eastAsia="zh-CN" w:bidi="ar"/>
                    </w:rPr>
                    <w:t>污染因子</w:t>
                  </w:r>
                </w:p>
                <w:p w14:paraId="20CB99DD">
                  <w:pPr>
                    <w:keepNext w:val="0"/>
                    <w:keepLines w:val="0"/>
                    <w:widowControl/>
                    <w:suppressLineNumbers w:val="0"/>
                    <w:jc w:val="both"/>
                    <w:textAlignment w:val="center"/>
                    <w:rPr>
                      <w:rFonts w:hint="default" w:ascii="宋体" w:hAnsi="宋体" w:eastAsia="宋体" w:cs="宋体"/>
                      <w:i w:val="0"/>
                      <w:iCs w:val="0"/>
                      <w:color w:val="0000FF"/>
                      <w:sz w:val="21"/>
                      <w:szCs w:val="21"/>
                      <w:highlight w:val="none"/>
                      <w:u w:val="none"/>
                      <w:lang w:val="en-US"/>
                    </w:rPr>
                  </w:pPr>
                  <w:r>
                    <w:rPr>
                      <w:rFonts w:hint="eastAsia" w:ascii="宋体" w:hAnsi="宋体" w:eastAsia="宋体" w:cs="宋体"/>
                      <w:i w:val="0"/>
                      <w:iCs w:val="0"/>
                      <w:color w:val="0000FF"/>
                      <w:kern w:val="0"/>
                      <w:sz w:val="21"/>
                      <w:szCs w:val="21"/>
                      <w:highlight w:val="none"/>
                      <w:u w:val="none"/>
                      <w:lang w:val="en-US" w:eastAsia="zh-CN" w:bidi="ar"/>
                    </w:rPr>
                    <w:t>处理单元</w:t>
                  </w:r>
                </w:p>
              </w:tc>
              <w:tc>
                <w:tcPr>
                  <w:tcW w:w="904" w:type="dxa"/>
                  <w:tcBorders>
                    <w:tl2br w:val="nil"/>
                    <w:tr2bl w:val="nil"/>
                  </w:tcBorders>
                  <w:shd w:val="clear" w:color="auto" w:fill="auto"/>
                  <w:vAlign w:val="center"/>
                </w:tcPr>
                <w:p w14:paraId="12438A0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CODcr</w:t>
                  </w:r>
                </w:p>
                <w:p w14:paraId="5B7503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(mg/</w:t>
                  </w:r>
                  <w:r>
                    <w:rPr>
                      <w:rFonts w:hint="eastAsia" w:ascii="Times New Roman" w:hAnsi="Times New Roman" w:eastAsia="宋体" w:cs="Times New Roman"/>
                      <w:i w:val="0"/>
                      <w:iCs w:val="0"/>
                      <w:color w:val="0000FF"/>
                      <w:kern w:val="0"/>
                      <w:sz w:val="21"/>
                      <w:szCs w:val="21"/>
                      <w:highlight w:val="none"/>
                      <w:u w:val="none"/>
                      <w:lang w:val="en-US" w:eastAsia="zh-CN" w:bidi="ar"/>
                    </w:rPr>
                    <w:t>L</w:t>
                  </w:r>
                  <w:r>
                    <w:rPr>
                      <w:rFonts w:hint="default" w:ascii="Times New Roman" w:hAnsi="Times New Roman" w:eastAsia="宋体" w:cs="Times New Roman"/>
                      <w:i w:val="0"/>
                      <w:iCs w:val="0"/>
                      <w:color w:val="0000FF"/>
                      <w:kern w:val="0"/>
                      <w:sz w:val="21"/>
                      <w:szCs w:val="21"/>
                      <w:highlight w:val="none"/>
                      <w:u w:val="none"/>
                      <w:lang w:val="en-US" w:eastAsia="zh-CN" w:bidi="ar"/>
                    </w:rPr>
                    <w:t>)</w:t>
                  </w:r>
                </w:p>
              </w:tc>
              <w:tc>
                <w:tcPr>
                  <w:tcW w:w="904" w:type="dxa"/>
                  <w:tcBorders>
                    <w:tl2br w:val="nil"/>
                    <w:tr2bl w:val="nil"/>
                  </w:tcBorders>
                  <w:shd w:val="clear" w:color="auto" w:fill="auto"/>
                  <w:vAlign w:val="center"/>
                </w:tcPr>
                <w:p w14:paraId="5A4A945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SS</w:t>
                  </w:r>
                </w:p>
                <w:p w14:paraId="6E1A68E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(mg/L)</w:t>
                  </w:r>
                </w:p>
              </w:tc>
              <w:tc>
                <w:tcPr>
                  <w:tcW w:w="904" w:type="dxa"/>
                  <w:tcBorders>
                    <w:tl2br w:val="nil"/>
                    <w:tr2bl w:val="nil"/>
                  </w:tcBorders>
                  <w:shd w:val="clear" w:color="auto" w:fill="auto"/>
                  <w:vAlign w:val="center"/>
                </w:tcPr>
                <w:p w14:paraId="0468E0B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BOD</w:t>
                  </w:r>
                  <w:r>
                    <w:rPr>
                      <w:rFonts w:hint="eastAsia" w:cs="Times New Roman"/>
                      <w:i w:val="0"/>
                      <w:iCs w:val="0"/>
                      <w:color w:val="0000FF"/>
                      <w:kern w:val="0"/>
                      <w:sz w:val="21"/>
                      <w:szCs w:val="21"/>
                      <w:highlight w:val="none"/>
                      <w:u w:val="none"/>
                      <w:vertAlign w:val="subscript"/>
                      <w:lang w:val="en-US" w:eastAsia="zh-CN" w:bidi="ar"/>
                    </w:rPr>
                    <w:t>5</w:t>
                  </w:r>
                </w:p>
              </w:tc>
              <w:tc>
                <w:tcPr>
                  <w:tcW w:w="904" w:type="dxa"/>
                  <w:tcBorders>
                    <w:tl2br w:val="nil"/>
                    <w:tr2bl w:val="nil"/>
                  </w:tcBorders>
                  <w:shd w:val="clear" w:color="auto" w:fill="auto"/>
                  <w:vAlign w:val="center"/>
                </w:tcPr>
                <w:p w14:paraId="2D3DCC3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TP</w:t>
                  </w:r>
                </w:p>
              </w:tc>
              <w:tc>
                <w:tcPr>
                  <w:tcW w:w="904" w:type="dxa"/>
                  <w:tcBorders>
                    <w:tl2br w:val="nil"/>
                    <w:tr2bl w:val="nil"/>
                  </w:tcBorders>
                  <w:shd w:val="clear" w:color="auto" w:fill="auto"/>
                  <w:vAlign w:val="center"/>
                </w:tcPr>
                <w:p w14:paraId="5330459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总氮</w:t>
                  </w:r>
                </w:p>
              </w:tc>
              <w:tc>
                <w:tcPr>
                  <w:tcW w:w="904" w:type="dxa"/>
                  <w:tcBorders>
                    <w:tl2br w:val="nil"/>
                    <w:tr2bl w:val="nil"/>
                  </w:tcBorders>
                  <w:shd w:val="clear" w:color="auto" w:fill="auto"/>
                  <w:vAlign w:val="center"/>
                </w:tcPr>
                <w:p w14:paraId="5D3D60F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ascii="宋体" w:hAnsi="宋体" w:eastAsia="宋体" w:cs="宋体"/>
                      <w:i w:val="0"/>
                      <w:iCs w:val="0"/>
                      <w:color w:val="0000FF"/>
                      <w:kern w:val="0"/>
                      <w:sz w:val="21"/>
                      <w:szCs w:val="21"/>
                      <w:u w:val="none"/>
                      <w:lang w:val="en-US" w:eastAsia="zh-CN" w:bidi="ar"/>
                    </w:rPr>
                    <w:t>石油类</w:t>
                  </w:r>
                </w:p>
              </w:tc>
              <w:tc>
                <w:tcPr>
                  <w:tcW w:w="910" w:type="dxa"/>
                  <w:tcBorders>
                    <w:tl2br w:val="nil"/>
                    <w:tr2bl w:val="nil"/>
                  </w:tcBorders>
                  <w:shd w:val="clear" w:color="auto" w:fill="auto"/>
                  <w:vAlign w:val="center"/>
                </w:tcPr>
                <w:p w14:paraId="0409363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总锌</w:t>
                  </w:r>
                </w:p>
              </w:tc>
            </w:tr>
            <w:tr w14:paraId="60E26526">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974" w:type="dxa"/>
                  <w:tcBorders>
                    <w:tl2br w:val="nil"/>
                    <w:tr2bl w:val="nil"/>
                  </w:tcBorders>
                  <w:shd w:val="clear" w:color="auto" w:fill="auto"/>
                  <w:vAlign w:val="center"/>
                </w:tcPr>
                <w:p w14:paraId="605D9D46">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cs="宋体"/>
                      <w:i w:val="0"/>
                      <w:iCs w:val="0"/>
                      <w:color w:val="0000FF"/>
                      <w:kern w:val="0"/>
                      <w:sz w:val="21"/>
                      <w:szCs w:val="21"/>
                      <w:highlight w:val="none"/>
                      <w:u w:val="none"/>
                      <w:lang w:val="en-US" w:eastAsia="zh-CN" w:bidi="ar"/>
                    </w:rPr>
                    <w:t>生产废水</w:t>
                  </w:r>
                </w:p>
              </w:tc>
              <w:tc>
                <w:tcPr>
                  <w:tcW w:w="930" w:type="dxa"/>
                  <w:tcBorders>
                    <w:tl2br w:val="nil"/>
                    <w:tr2bl w:val="nil"/>
                  </w:tcBorders>
                  <w:shd w:val="clear" w:color="auto" w:fill="auto"/>
                  <w:vAlign w:val="center"/>
                </w:tcPr>
                <w:p w14:paraId="189FC8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w:t>
                  </w:r>
                </w:p>
              </w:tc>
              <w:tc>
                <w:tcPr>
                  <w:tcW w:w="904" w:type="dxa"/>
                  <w:tcBorders>
                    <w:tl2br w:val="nil"/>
                    <w:tr2bl w:val="nil"/>
                  </w:tcBorders>
                  <w:shd w:val="clear" w:color="auto" w:fill="auto"/>
                  <w:vAlign w:val="center"/>
                </w:tcPr>
                <w:p w14:paraId="4E70B49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566.52</w:t>
                  </w:r>
                </w:p>
              </w:tc>
              <w:tc>
                <w:tcPr>
                  <w:tcW w:w="904" w:type="dxa"/>
                  <w:tcBorders>
                    <w:tl2br w:val="nil"/>
                    <w:tr2bl w:val="nil"/>
                  </w:tcBorders>
                  <w:shd w:val="clear" w:color="auto" w:fill="auto"/>
                  <w:vAlign w:val="center"/>
                </w:tcPr>
                <w:p w14:paraId="083679D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490.69</w:t>
                  </w:r>
                </w:p>
              </w:tc>
              <w:tc>
                <w:tcPr>
                  <w:tcW w:w="904" w:type="dxa"/>
                  <w:tcBorders>
                    <w:tl2br w:val="nil"/>
                    <w:tr2bl w:val="nil"/>
                  </w:tcBorders>
                  <w:shd w:val="clear" w:color="auto" w:fill="auto"/>
                  <w:vAlign w:val="center"/>
                </w:tcPr>
                <w:p w14:paraId="0D4FBF9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282.15</w:t>
                  </w:r>
                </w:p>
              </w:tc>
              <w:tc>
                <w:tcPr>
                  <w:tcW w:w="904" w:type="dxa"/>
                  <w:tcBorders>
                    <w:tl2br w:val="nil"/>
                    <w:tr2bl w:val="nil"/>
                  </w:tcBorders>
                  <w:shd w:val="clear" w:color="auto" w:fill="auto"/>
                  <w:vAlign w:val="center"/>
                </w:tcPr>
                <w:p w14:paraId="3809894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20.04</w:t>
                  </w:r>
                </w:p>
              </w:tc>
              <w:tc>
                <w:tcPr>
                  <w:tcW w:w="904" w:type="dxa"/>
                  <w:tcBorders>
                    <w:tl2br w:val="nil"/>
                    <w:tr2bl w:val="nil"/>
                  </w:tcBorders>
                  <w:shd w:val="clear" w:color="auto" w:fill="auto"/>
                  <w:vAlign w:val="center"/>
                </w:tcPr>
                <w:p w14:paraId="04EE193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10.98</w:t>
                  </w:r>
                </w:p>
              </w:tc>
              <w:tc>
                <w:tcPr>
                  <w:tcW w:w="904" w:type="dxa"/>
                  <w:tcBorders>
                    <w:tl2br w:val="nil"/>
                    <w:tr2bl w:val="nil"/>
                  </w:tcBorders>
                  <w:shd w:val="clear" w:color="auto" w:fill="auto"/>
                  <w:vAlign w:val="center"/>
                </w:tcPr>
                <w:p w14:paraId="6AD600E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190.47</w:t>
                  </w:r>
                </w:p>
              </w:tc>
              <w:tc>
                <w:tcPr>
                  <w:tcW w:w="910" w:type="dxa"/>
                  <w:tcBorders>
                    <w:tl2br w:val="nil"/>
                    <w:tr2bl w:val="nil"/>
                  </w:tcBorders>
                  <w:shd w:val="clear" w:color="auto" w:fill="auto"/>
                  <w:vAlign w:val="center"/>
                </w:tcPr>
                <w:p w14:paraId="50CAE22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10.98</w:t>
                  </w:r>
                </w:p>
              </w:tc>
            </w:tr>
            <w:tr w14:paraId="140D13CC">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974" w:type="dxa"/>
                  <w:vMerge w:val="restart"/>
                  <w:tcBorders>
                    <w:tl2br w:val="nil"/>
                    <w:tr2bl w:val="nil"/>
                  </w:tcBorders>
                  <w:shd w:val="clear" w:color="auto" w:fill="auto"/>
                  <w:vAlign w:val="center"/>
                </w:tcPr>
                <w:p w14:paraId="1197368F">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cs="宋体"/>
                      <w:i w:val="0"/>
                      <w:iCs w:val="0"/>
                      <w:color w:val="0000FF"/>
                      <w:kern w:val="0"/>
                      <w:sz w:val="21"/>
                      <w:szCs w:val="21"/>
                      <w:highlight w:val="none"/>
                      <w:u w:val="none"/>
                      <w:lang w:val="en-US" w:eastAsia="zh-CN" w:bidi="ar"/>
                    </w:rPr>
                    <w:t>隔油集水池</w:t>
                  </w:r>
                </w:p>
              </w:tc>
              <w:tc>
                <w:tcPr>
                  <w:tcW w:w="930" w:type="dxa"/>
                  <w:tcBorders>
                    <w:tl2br w:val="nil"/>
                    <w:tr2bl w:val="nil"/>
                  </w:tcBorders>
                  <w:shd w:val="clear" w:color="auto" w:fill="auto"/>
                  <w:vAlign w:val="center"/>
                </w:tcPr>
                <w:p w14:paraId="654134FE">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进水</w:t>
                  </w:r>
                </w:p>
              </w:tc>
              <w:tc>
                <w:tcPr>
                  <w:tcW w:w="904" w:type="dxa"/>
                  <w:tcBorders>
                    <w:tl2br w:val="nil"/>
                    <w:tr2bl w:val="nil"/>
                  </w:tcBorders>
                  <w:shd w:val="clear" w:color="auto" w:fill="auto"/>
                  <w:vAlign w:val="center"/>
                </w:tcPr>
                <w:p w14:paraId="2B7DBE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566.52</w:t>
                  </w:r>
                </w:p>
              </w:tc>
              <w:tc>
                <w:tcPr>
                  <w:tcW w:w="904" w:type="dxa"/>
                  <w:tcBorders>
                    <w:tl2br w:val="nil"/>
                    <w:tr2bl w:val="nil"/>
                  </w:tcBorders>
                  <w:shd w:val="clear" w:color="auto" w:fill="auto"/>
                  <w:vAlign w:val="center"/>
                </w:tcPr>
                <w:p w14:paraId="0F44AD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490.69</w:t>
                  </w:r>
                </w:p>
              </w:tc>
              <w:tc>
                <w:tcPr>
                  <w:tcW w:w="904" w:type="dxa"/>
                  <w:tcBorders>
                    <w:tl2br w:val="nil"/>
                    <w:tr2bl w:val="nil"/>
                  </w:tcBorders>
                  <w:shd w:val="clear" w:color="auto" w:fill="auto"/>
                  <w:vAlign w:val="center"/>
                </w:tcPr>
                <w:p w14:paraId="3DF8E5D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282.15</w:t>
                  </w:r>
                </w:p>
              </w:tc>
              <w:tc>
                <w:tcPr>
                  <w:tcW w:w="904" w:type="dxa"/>
                  <w:tcBorders>
                    <w:tl2br w:val="nil"/>
                    <w:tr2bl w:val="nil"/>
                  </w:tcBorders>
                  <w:shd w:val="clear" w:color="auto" w:fill="auto"/>
                  <w:vAlign w:val="center"/>
                </w:tcPr>
                <w:p w14:paraId="61D30B0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20.04</w:t>
                  </w:r>
                </w:p>
              </w:tc>
              <w:tc>
                <w:tcPr>
                  <w:tcW w:w="904" w:type="dxa"/>
                  <w:tcBorders>
                    <w:tl2br w:val="nil"/>
                    <w:tr2bl w:val="nil"/>
                  </w:tcBorders>
                  <w:shd w:val="clear" w:color="auto" w:fill="auto"/>
                  <w:vAlign w:val="center"/>
                </w:tcPr>
                <w:p w14:paraId="4EE4A85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10.98</w:t>
                  </w:r>
                </w:p>
              </w:tc>
              <w:tc>
                <w:tcPr>
                  <w:tcW w:w="904" w:type="dxa"/>
                  <w:tcBorders>
                    <w:tl2br w:val="nil"/>
                    <w:tr2bl w:val="nil"/>
                  </w:tcBorders>
                  <w:shd w:val="clear" w:color="auto" w:fill="auto"/>
                  <w:vAlign w:val="center"/>
                </w:tcPr>
                <w:p w14:paraId="071B6B9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190.47</w:t>
                  </w:r>
                </w:p>
              </w:tc>
              <w:tc>
                <w:tcPr>
                  <w:tcW w:w="910" w:type="dxa"/>
                  <w:tcBorders>
                    <w:tl2br w:val="nil"/>
                    <w:tr2bl w:val="nil"/>
                  </w:tcBorders>
                  <w:shd w:val="clear" w:color="auto" w:fill="auto"/>
                  <w:vAlign w:val="center"/>
                </w:tcPr>
                <w:p w14:paraId="05662A6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10.98</w:t>
                  </w:r>
                </w:p>
              </w:tc>
            </w:tr>
            <w:tr w14:paraId="3AA73406">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01BFDF09">
                  <w:pPr>
                    <w:jc w:val="center"/>
                    <w:rPr>
                      <w:rFonts w:hint="eastAsia" w:ascii="宋体" w:hAnsi="宋体" w:eastAsia="宋体" w:cs="宋体"/>
                      <w:i w:val="0"/>
                      <w:iCs w:val="0"/>
                      <w:color w:val="0000FF"/>
                      <w:sz w:val="21"/>
                      <w:szCs w:val="21"/>
                      <w:highlight w:val="none"/>
                      <w:u w:val="none"/>
                    </w:rPr>
                  </w:pPr>
                </w:p>
              </w:tc>
              <w:tc>
                <w:tcPr>
                  <w:tcW w:w="930" w:type="dxa"/>
                  <w:tcBorders>
                    <w:tl2br w:val="nil"/>
                    <w:tr2bl w:val="nil"/>
                  </w:tcBorders>
                  <w:shd w:val="clear" w:color="auto" w:fill="auto"/>
                  <w:vAlign w:val="center"/>
                </w:tcPr>
                <w:p w14:paraId="59290132">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出水</w:t>
                  </w:r>
                </w:p>
              </w:tc>
              <w:tc>
                <w:tcPr>
                  <w:tcW w:w="904" w:type="dxa"/>
                  <w:tcBorders>
                    <w:tl2br w:val="nil"/>
                    <w:tr2bl w:val="nil"/>
                  </w:tcBorders>
                  <w:shd w:val="clear" w:color="auto" w:fill="auto"/>
                  <w:vAlign w:val="center"/>
                </w:tcPr>
                <w:p w14:paraId="1780AB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904" w:type="dxa"/>
                  <w:tcBorders>
                    <w:tl2br w:val="nil"/>
                    <w:tr2bl w:val="nil"/>
                  </w:tcBorders>
                  <w:shd w:val="clear" w:color="auto" w:fill="auto"/>
                  <w:vAlign w:val="center"/>
                </w:tcPr>
                <w:p w14:paraId="26E4F7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400</w:t>
                  </w:r>
                </w:p>
              </w:tc>
              <w:tc>
                <w:tcPr>
                  <w:tcW w:w="904" w:type="dxa"/>
                  <w:tcBorders>
                    <w:tl2br w:val="nil"/>
                    <w:tr2bl w:val="nil"/>
                  </w:tcBorders>
                  <w:shd w:val="clear" w:color="auto" w:fill="auto"/>
                  <w:vAlign w:val="center"/>
                </w:tcPr>
                <w:p w14:paraId="4D02E44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250</w:t>
                  </w:r>
                </w:p>
              </w:tc>
              <w:tc>
                <w:tcPr>
                  <w:tcW w:w="904" w:type="dxa"/>
                  <w:tcBorders>
                    <w:tl2br w:val="nil"/>
                    <w:tr2bl w:val="nil"/>
                  </w:tcBorders>
                  <w:shd w:val="clear" w:color="auto" w:fill="auto"/>
                  <w:vAlign w:val="center"/>
                </w:tcPr>
                <w:p w14:paraId="21481C4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20.04</w:t>
                  </w:r>
                </w:p>
              </w:tc>
              <w:tc>
                <w:tcPr>
                  <w:tcW w:w="904" w:type="dxa"/>
                  <w:tcBorders>
                    <w:tl2br w:val="nil"/>
                    <w:tr2bl w:val="nil"/>
                  </w:tcBorders>
                  <w:shd w:val="clear" w:color="auto" w:fill="auto"/>
                  <w:vAlign w:val="center"/>
                </w:tcPr>
                <w:p w14:paraId="2F45DCD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10.98</w:t>
                  </w:r>
                </w:p>
              </w:tc>
              <w:tc>
                <w:tcPr>
                  <w:tcW w:w="904" w:type="dxa"/>
                  <w:tcBorders>
                    <w:tl2br w:val="nil"/>
                    <w:tr2bl w:val="nil"/>
                  </w:tcBorders>
                  <w:shd w:val="clear" w:color="auto" w:fill="auto"/>
                  <w:vAlign w:val="center"/>
                </w:tcPr>
                <w:p w14:paraId="061031A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910" w:type="dxa"/>
                  <w:tcBorders>
                    <w:tl2br w:val="nil"/>
                    <w:tr2bl w:val="nil"/>
                  </w:tcBorders>
                  <w:shd w:val="clear" w:color="auto" w:fill="auto"/>
                  <w:vAlign w:val="center"/>
                </w:tcPr>
                <w:p w14:paraId="03971CA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10.98</w:t>
                  </w:r>
                </w:p>
              </w:tc>
            </w:tr>
            <w:tr w14:paraId="3F259366">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386FF28C">
                  <w:pPr>
                    <w:jc w:val="center"/>
                    <w:rPr>
                      <w:rFonts w:hint="eastAsia" w:ascii="宋体" w:hAnsi="宋体" w:eastAsia="宋体" w:cs="宋体"/>
                      <w:i w:val="0"/>
                      <w:iCs w:val="0"/>
                      <w:color w:val="0000FF"/>
                      <w:sz w:val="21"/>
                      <w:szCs w:val="21"/>
                      <w:highlight w:val="none"/>
                      <w:u w:val="none"/>
                    </w:rPr>
                  </w:pPr>
                </w:p>
              </w:tc>
              <w:tc>
                <w:tcPr>
                  <w:tcW w:w="930" w:type="dxa"/>
                  <w:tcBorders>
                    <w:tl2br w:val="nil"/>
                    <w:tr2bl w:val="nil"/>
                  </w:tcBorders>
                  <w:shd w:val="clear" w:color="auto" w:fill="auto"/>
                  <w:vAlign w:val="center"/>
                </w:tcPr>
                <w:p w14:paraId="310C2C38">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去除率</w:t>
                  </w:r>
                </w:p>
              </w:tc>
              <w:tc>
                <w:tcPr>
                  <w:tcW w:w="904" w:type="dxa"/>
                  <w:tcBorders>
                    <w:tl2br w:val="nil"/>
                    <w:tr2bl w:val="nil"/>
                  </w:tcBorders>
                  <w:shd w:val="clear" w:color="auto" w:fill="auto"/>
                  <w:vAlign w:val="center"/>
                </w:tcPr>
                <w:p w14:paraId="196CCDD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904" w:type="dxa"/>
                  <w:tcBorders>
                    <w:tl2br w:val="nil"/>
                    <w:tr2bl w:val="nil"/>
                  </w:tcBorders>
                  <w:shd w:val="clear" w:color="auto" w:fill="auto"/>
                  <w:vAlign w:val="center"/>
                </w:tcPr>
                <w:p w14:paraId="5A0393E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904" w:type="dxa"/>
                  <w:tcBorders>
                    <w:tl2br w:val="nil"/>
                    <w:tr2bl w:val="nil"/>
                  </w:tcBorders>
                  <w:shd w:val="clear" w:color="auto" w:fill="auto"/>
                  <w:vAlign w:val="center"/>
                </w:tcPr>
                <w:p w14:paraId="5876BF6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11%</w:t>
                  </w:r>
                </w:p>
              </w:tc>
              <w:tc>
                <w:tcPr>
                  <w:tcW w:w="904" w:type="dxa"/>
                  <w:tcBorders>
                    <w:tl2br w:val="nil"/>
                    <w:tr2bl w:val="nil"/>
                  </w:tcBorders>
                  <w:shd w:val="clear" w:color="auto" w:fill="auto"/>
                  <w:vAlign w:val="center"/>
                </w:tcPr>
                <w:p w14:paraId="2E7A010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904" w:type="dxa"/>
                  <w:tcBorders>
                    <w:tl2br w:val="nil"/>
                    <w:tr2bl w:val="nil"/>
                  </w:tcBorders>
                  <w:shd w:val="clear" w:color="auto" w:fill="auto"/>
                  <w:vAlign w:val="center"/>
                </w:tcPr>
                <w:p w14:paraId="1E312C9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904" w:type="dxa"/>
                  <w:tcBorders>
                    <w:tl2br w:val="nil"/>
                    <w:tr2bl w:val="nil"/>
                  </w:tcBorders>
                  <w:shd w:val="clear" w:color="auto" w:fill="auto"/>
                  <w:vAlign w:val="center"/>
                </w:tcPr>
                <w:p w14:paraId="0DC8E8C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74%</w:t>
                  </w:r>
                </w:p>
              </w:tc>
              <w:tc>
                <w:tcPr>
                  <w:tcW w:w="910" w:type="dxa"/>
                  <w:tcBorders>
                    <w:tl2br w:val="nil"/>
                    <w:tr2bl w:val="nil"/>
                  </w:tcBorders>
                  <w:shd w:val="clear" w:color="auto" w:fill="auto"/>
                  <w:vAlign w:val="center"/>
                </w:tcPr>
                <w:p w14:paraId="7D4ACD1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r>
            <w:tr w14:paraId="79058DE4">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974" w:type="dxa"/>
                  <w:vMerge w:val="restart"/>
                  <w:tcBorders>
                    <w:tl2br w:val="nil"/>
                    <w:tr2bl w:val="nil"/>
                  </w:tcBorders>
                  <w:shd w:val="clear" w:color="auto" w:fill="auto"/>
                  <w:vAlign w:val="center"/>
                </w:tcPr>
                <w:p w14:paraId="2B3FAEAE">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lang w:val="en-US" w:eastAsia="zh-CN"/>
                    </w:rPr>
                  </w:pPr>
                  <w:r>
                    <w:rPr>
                      <w:rFonts w:hint="eastAsia" w:ascii="宋体" w:hAnsi="宋体" w:cs="宋体"/>
                      <w:i w:val="0"/>
                      <w:iCs w:val="0"/>
                      <w:color w:val="0000FF"/>
                      <w:sz w:val="21"/>
                      <w:szCs w:val="21"/>
                      <w:highlight w:val="none"/>
                      <w:u w:val="none"/>
                      <w:lang w:val="en-US" w:eastAsia="zh-CN"/>
                    </w:rPr>
                    <w:t>中和池</w:t>
                  </w:r>
                </w:p>
              </w:tc>
              <w:tc>
                <w:tcPr>
                  <w:tcW w:w="930" w:type="dxa"/>
                  <w:tcBorders>
                    <w:tl2br w:val="nil"/>
                    <w:tr2bl w:val="nil"/>
                  </w:tcBorders>
                  <w:shd w:val="clear" w:color="auto" w:fill="auto"/>
                  <w:vAlign w:val="center"/>
                </w:tcPr>
                <w:p w14:paraId="3BEB79D7">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进水</w:t>
                  </w:r>
                </w:p>
              </w:tc>
              <w:tc>
                <w:tcPr>
                  <w:tcW w:w="904" w:type="dxa"/>
                  <w:tcBorders>
                    <w:tl2br w:val="nil"/>
                    <w:tr2bl w:val="nil"/>
                  </w:tcBorders>
                  <w:shd w:val="clear" w:color="auto" w:fill="auto"/>
                  <w:vAlign w:val="center"/>
                </w:tcPr>
                <w:p w14:paraId="2D6538D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highlight w:val="none"/>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904" w:type="dxa"/>
                  <w:tcBorders>
                    <w:tl2br w:val="nil"/>
                    <w:tr2bl w:val="nil"/>
                  </w:tcBorders>
                  <w:shd w:val="clear" w:color="auto" w:fill="auto"/>
                  <w:vAlign w:val="center"/>
                </w:tcPr>
                <w:p w14:paraId="5638FA10">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highlight w:val="none"/>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400</w:t>
                  </w:r>
                </w:p>
              </w:tc>
              <w:tc>
                <w:tcPr>
                  <w:tcW w:w="904" w:type="dxa"/>
                  <w:tcBorders>
                    <w:tl2br w:val="nil"/>
                    <w:tr2bl w:val="nil"/>
                  </w:tcBorders>
                  <w:shd w:val="clear" w:color="auto" w:fill="auto"/>
                  <w:vAlign w:val="center"/>
                </w:tcPr>
                <w:p w14:paraId="7B1141F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250</w:t>
                  </w:r>
                </w:p>
              </w:tc>
              <w:tc>
                <w:tcPr>
                  <w:tcW w:w="904" w:type="dxa"/>
                  <w:tcBorders>
                    <w:tl2br w:val="nil"/>
                    <w:tr2bl w:val="nil"/>
                  </w:tcBorders>
                  <w:shd w:val="clear" w:color="auto" w:fill="auto"/>
                  <w:vAlign w:val="center"/>
                </w:tcPr>
                <w:p w14:paraId="40EB40D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20.04</w:t>
                  </w:r>
                </w:p>
              </w:tc>
              <w:tc>
                <w:tcPr>
                  <w:tcW w:w="904" w:type="dxa"/>
                  <w:tcBorders>
                    <w:tl2br w:val="nil"/>
                    <w:tr2bl w:val="nil"/>
                  </w:tcBorders>
                  <w:shd w:val="clear" w:color="auto" w:fill="auto"/>
                  <w:vAlign w:val="center"/>
                </w:tcPr>
                <w:p w14:paraId="45E644F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10.98</w:t>
                  </w:r>
                </w:p>
              </w:tc>
              <w:tc>
                <w:tcPr>
                  <w:tcW w:w="904" w:type="dxa"/>
                  <w:tcBorders>
                    <w:tl2br w:val="nil"/>
                    <w:tr2bl w:val="nil"/>
                  </w:tcBorders>
                  <w:shd w:val="clear" w:color="auto" w:fill="auto"/>
                  <w:vAlign w:val="center"/>
                </w:tcPr>
                <w:p w14:paraId="7BEC4E1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910" w:type="dxa"/>
                  <w:tcBorders>
                    <w:tl2br w:val="nil"/>
                    <w:tr2bl w:val="nil"/>
                  </w:tcBorders>
                  <w:shd w:val="clear" w:color="auto" w:fill="auto"/>
                  <w:vAlign w:val="center"/>
                </w:tcPr>
                <w:p w14:paraId="475816E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10.98</w:t>
                  </w:r>
                </w:p>
              </w:tc>
            </w:tr>
            <w:tr w14:paraId="307FD5B7">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657DCB36">
                  <w:pPr>
                    <w:keepNext w:val="0"/>
                    <w:keepLines w:val="0"/>
                    <w:widowControl/>
                    <w:suppressLineNumbers w:val="0"/>
                    <w:jc w:val="center"/>
                    <w:textAlignment w:val="center"/>
                    <w:rPr>
                      <w:rFonts w:hint="eastAsia" w:ascii="宋体" w:hAnsi="宋体" w:cs="宋体"/>
                      <w:i w:val="0"/>
                      <w:iCs w:val="0"/>
                      <w:color w:val="0000FF"/>
                      <w:sz w:val="21"/>
                      <w:szCs w:val="21"/>
                      <w:highlight w:val="none"/>
                      <w:u w:val="none"/>
                      <w:lang w:val="en-US" w:eastAsia="zh-CN"/>
                    </w:rPr>
                  </w:pPr>
                </w:p>
              </w:tc>
              <w:tc>
                <w:tcPr>
                  <w:tcW w:w="930" w:type="dxa"/>
                  <w:tcBorders>
                    <w:tl2br w:val="nil"/>
                    <w:tr2bl w:val="nil"/>
                  </w:tcBorders>
                  <w:shd w:val="clear" w:color="auto" w:fill="auto"/>
                  <w:vAlign w:val="center"/>
                </w:tcPr>
                <w:p w14:paraId="00B9DBEF">
                  <w:pPr>
                    <w:keepNext w:val="0"/>
                    <w:keepLines w:val="0"/>
                    <w:widowControl/>
                    <w:suppressLineNumbers w:val="0"/>
                    <w:jc w:val="center"/>
                    <w:textAlignment w:val="center"/>
                    <w:rPr>
                      <w:rFonts w:hint="eastAsia" w:ascii="宋体" w:hAnsi="宋体" w:eastAsia="宋体" w:cs="宋体"/>
                      <w:i w:val="0"/>
                      <w:iCs w:val="0"/>
                      <w:color w:val="0000FF"/>
                      <w:kern w:val="0"/>
                      <w:sz w:val="21"/>
                      <w:szCs w:val="21"/>
                      <w:highlight w:val="none"/>
                      <w:u w:val="none"/>
                      <w:lang w:val="en-US" w:eastAsia="zh-CN" w:bidi="ar"/>
                    </w:rPr>
                  </w:pPr>
                  <w:r>
                    <w:rPr>
                      <w:rFonts w:hint="eastAsia" w:ascii="宋体" w:hAnsi="宋体" w:eastAsia="宋体" w:cs="宋体"/>
                      <w:i w:val="0"/>
                      <w:iCs w:val="0"/>
                      <w:color w:val="0000FF"/>
                      <w:kern w:val="0"/>
                      <w:sz w:val="21"/>
                      <w:szCs w:val="21"/>
                      <w:highlight w:val="none"/>
                      <w:u w:val="none"/>
                      <w:lang w:val="en-US" w:eastAsia="zh-CN" w:bidi="ar"/>
                    </w:rPr>
                    <w:t>出水</w:t>
                  </w:r>
                </w:p>
              </w:tc>
              <w:tc>
                <w:tcPr>
                  <w:tcW w:w="904" w:type="dxa"/>
                  <w:tcBorders>
                    <w:tl2br w:val="nil"/>
                    <w:tr2bl w:val="nil"/>
                  </w:tcBorders>
                  <w:shd w:val="clear" w:color="auto" w:fill="auto"/>
                  <w:vAlign w:val="center"/>
                </w:tcPr>
                <w:p w14:paraId="06248E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904" w:type="dxa"/>
                  <w:tcBorders>
                    <w:tl2br w:val="nil"/>
                    <w:tr2bl w:val="nil"/>
                  </w:tcBorders>
                  <w:shd w:val="clear" w:color="auto" w:fill="auto"/>
                  <w:vAlign w:val="center"/>
                </w:tcPr>
                <w:p w14:paraId="63A057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350</w:t>
                  </w:r>
                </w:p>
              </w:tc>
              <w:tc>
                <w:tcPr>
                  <w:tcW w:w="904" w:type="dxa"/>
                  <w:tcBorders>
                    <w:tl2br w:val="nil"/>
                    <w:tr2bl w:val="nil"/>
                  </w:tcBorders>
                  <w:shd w:val="clear" w:color="auto" w:fill="auto"/>
                  <w:vAlign w:val="center"/>
                </w:tcPr>
                <w:p w14:paraId="1688CF8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250</w:t>
                  </w:r>
                </w:p>
              </w:tc>
              <w:tc>
                <w:tcPr>
                  <w:tcW w:w="904" w:type="dxa"/>
                  <w:tcBorders>
                    <w:tl2br w:val="nil"/>
                    <w:tr2bl w:val="nil"/>
                  </w:tcBorders>
                  <w:shd w:val="clear" w:color="auto" w:fill="auto"/>
                  <w:vAlign w:val="center"/>
                </w:tcPr>
                <w:p w14:paraId="6B092BD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904" w:type="dxa"/>
                  <w:tcBorders>
                    <w:tl2br w:val="nil"/>
                    <w:tr2bl w:val="nil"/>
                  </w:tcBorders>
                  <w:shd w:val="clear" w:color="auto" w:fill="auto"/>
                  <w:vAlign w:val="center"/>
                </w:tcPr>
                <w:p w14:paraId="3D60AEC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04" w:type="dxa"/>
                  <w:tcBorders>
                    <w:tl2br w:val="nil"/>
                    <w:tr2bl w:val="nil"/>
                  </w:tcBorders>
                  <w:shd w:val="clear" w:color="auto" w:fill="auto"/>
                  <w:vAlign w:val="center"/>
                </w:tcPr>
                <w:p w14:paraId="3258223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910" w:type="dxa"/>
                  <w:tcBorders>
                    <w:tl2br w:val="nil"/>
                    <w:tr2bl w:val="nil"/>
                  </w:tcBorders>
                  <w:shd w:val="clear" w:color="auto" w:fill="auto"/>
                  <w:vAlign w:val="center"/>
                </w:tcPr>
                <w:p w14:paraId="6AED68C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9091F09">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2D0EE41F">
                  <w:pPr>
                    <w:keepNext w:val="0"/>
                    <w:keepLines w:val="0"/>
                    <w:widowControl/>
                    <w:suppressLineNumbers w:val="0"/>
                    <w:jc w:val="center"/>
                    <w:textAlignment w:val="center"/>
                    <w:rPr>
                      <w:rFonts w:hint="eastAsia" w:ascii="宋体" w:hAnsi="宋体" w:cs="宋体"/>
                      <w:i w:val="0"/>
                      <w:iCs w:val="0"/>
                      <w:color w:val="0000FF"/>
                      <w:sz w:val="21"/>
                      <w:szCs w:val="21"/>
                      <w:highlight w:val="none"/>
                      <w:u w:val="none"/>
                      <w:lang w:val="en-US" w:eastAsia="zh-CN"/>
                    </w:rPr>
                  </w:pPr>
                </w:p>
              </w:tc>
              <w:tc>
                <w:tcPr>
                  <w:tcW w:w="930" w:type="dxa"/>
                  <w:tcBorders>
                    <w:tl2br w:val="nil"/>
                    <w:tr2bl w:val="nil"/>
                  </w:tcBorders>
                  <w:shd w:val="clear" w:color="auto" w:fill="auto"/>
                  <w:vAlign w:val="center"/>
                </w:tcPr>
                <w:p w14:paraId="37772979">
                  <w:pPr>
                    <w:keepNext w:val="0"/>
                    <w:keepLines w:val="0"/>
                    <w:widowControl/>
                    <w:suppressLineNumbers w:val="0"/>
                    <w:jc w:val="center"/>
                    <w:textAlignment w:val="center"/>
                    <w:rPr>
                      <w:rFonts w:hint="eastAsia" w:ascii="宋体" w:hAnsi="宋体" w:eastAsia="宋体" w:cs="宋体"/>
                      <w:i w:val="0"/>
                      <w:iCs w:val="0"/>
                      <w:color w:val="0000FF"/>
                      <w:kern w:val="0"/>
                      <w:sz w:val="21"/>
                      <w:szCs w:val="21"/>
                      <w:highlight w:val="none"/>
                      <w:u w:val="none"/>
                      <w:lang w:val="en-US" w:eastAsia="zh-CN" w:bidi="ar"/>
                    </w:rPr>
                  </w:pPr>
                  <w:r>
                    <w:rPr>
                      <w:rFonts w:hint="eastAsia" w:ascii="宋体" w:hAnsi="宋体" w:eastAsia="宋体" w:cs="宋体"/>
                      <w:i w:val="0"/>
                      <w:iCs w:val="0"/>
                      <w:color w:val="0000FF"/>
                      <w:kern w:val="0"/>
                      <w:sz w:val="21"/>
                      <w:szCs w:val="21"/>
                      <w:highlight w:val="none"/>
                      <w:u w:val="none"/>
                      <w:lang w:val="en-US" w:eastAsia="zh-CN" w:bidi="ar"/>
                    </w:rPr>
                    <w:t>去除率</w:t>
                  </w:r>
                </w:p>
              </w:tc>
              <w:tc>
                <w:tcPr>
                  <w:tcW w:w="904" w:type="dxa"/>
                  <w:tcBorders>
                    <w:tl2br w:val="nil"/>
                    <w:tr2bl w:val="nil"/>
                  </w:tcBorders>
                  <w:shd w:val="clear" w:color="auto" w:fill="auto"/>
                  <w:vAlign w:val="center"/>
                </w:tcPr>
                <w:p w14:paraId="19C259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904" w:type="dxa"/>
                  <w:tcBorders>
                    <w:tl2br w:val="nil"/>
                    <w:tr2bl w:val="nil"/>
                  </w:tcBorders>
                  <w:shd w:val="clear" w:color="auto" w:fill="auto"/>
                  <w:vAlign w:val="center"/>
                </w:tcPr>
                <w:p w14:paraId="365B92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13%</w:t>
                  </w:r>
                </w:p>
              </w:tc>
              <w:tc>
                <w:tcPr>
                  <w:tcW w:w="904" w:type="dxa"/>
                  <w:tcBorders>
                    <w:tl2br w:val="nil"/>
                    <w:tr2bl w:val="nil"/>
                  </w:tcBorders>
                  <w:shd w:val="clear" w:color="auto" w:fill="auto"/>
                  <w:vAlign w:val="center"/>
                </w:tcPr>
                <w:p w14:paraId="0F594D6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904" w:type="dxa"/>
                  <w:tcBorders>
                    <w:tl2br w:val="nil"/>
                    <w:tr2bl w:val="nil"/>
                  </w:tcBorders>
                  <w:shd w:val="clear" w:color="auto" w:fill="auto"/>
                  <w:vAlign w:val="center"/>
                </w:tcPr>
                <w:p w14:paraId="03AE837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75%</w:t>
                  </w:r>
                </w:p>
              </w:tc>
              <w:tc>
                <w:tcPr>
                  <w:tcW w:w="904" w:type="dxa"/>
                  <w:tcBorders>
                    <w:tl2br w:val="nil"/>
                    <w:tr2bl w:val="nil"/>
                  </w:tcBorders>
                  <w:shd w:val="clear" w:color="auto" w:fill="auto"/>
                  <w:vAlign w:val="center"/>
                </w:tcPr>
                <w:p w14:paraId="0569B44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904" w:type="dxa"/>
                  <w:tcBorders>
                    <w:tl2br w:val="nil"/>
                    <w:tr2bl w:val="nil"/>
                  </w:tcBorders>
                  <w:shd w:val="clear" w:color="auto" w:fill="auto"/>
                  <w:vAlign w:val="center"/>
                </w:tcPr>
                <w:p w14:paraId="60B91C1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910" w:type="dxa"/>
                  <w:tcBorders>
                    <w:tl2br w:val="nil"/>
                    <w:tr2bl w:val="nil"/>
                  </w:tcBorders>
                  <w:shd w:val="clear" w:color="auto" w:fill="auto"/>
                  <w:vAlign w:val="center"/>
                </w:tcPr>
                <w:p w14:paraId="1715075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91%</w:t>
                  </w:r>
                </w:p>
              </w:tc>
            </w:tr>
            <w:tr w14:paraId="334F41D1">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974" w:type="dxa"/>
                  <w:vMerge w:val="restart"/>
                  <w:tcBorders>
                    <w:tl2br w:val="nil"/>
                    <w:tr2bl w:val="nil"/>
                  </w:tcBorders>
                  <w:shd w:val="clear" w:color="auto" w:fill="auto"/>
                  <w:vAlign w:val="center"/>
                </w:tcPr>
                <w:p w14:paraId="6D39009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cs="Times New Roman"/>
                      <w:i w:val="0"/>
                      <w:iCs w:val="0"/>
                      <w:color w:val="0000FF"/>
                      <w:kern w:val="0"/>
                      <w:sz w:val="21"/>
                      <w:szCs w:val="21"/>
                      <w:highlight w:val="none"/>
                      <w:u w:val="none"/>
                      <w:lang w:val="en-US" w:eastAsia="zh-CN" w:bidi="ar"/>
                    </w:rPr>
                    <w:t>混凝池</w:t>
                  </w:r>
                </w:p>
              </w:tc>
              <w:tc>
                <w:tcPr>
                  <w:tcW w:w="930" w:type="dxa"/>
                  <w:tcBorders>
                    <w:tl2br w:val="nil"/>
                    <w:tr2bl w:val="nil"/>
                  </w:tcBorders>
                  <w:shd w:val="clear" w:color="auto" w:fill="auto"/>
                  <w:vAlign w:val="center"/>
                </w:tcPr>
                <w:p w14:paraId="6839CC3C">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进水</w:t>
                  </w:r>
                </w:p>
              </w:tc>
              <w:tc>
                <w:tcPr>
                  <w:tcW w:w="904" w:type="dxa"/>
                  <w:tcBorders>
                    <w:tl2br w:val="nil"/>
                    <w:tr2bl w:val="nil"/>
                  </w:tcBorders>
                  <w:shd w:val="clear" w:color="auto" w:fill="auto"/>
                  <w:vAlign w:val="center"/>
                </w:tcPr>
                <w:p w14:paraId="340E49B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highlight w:val="none"/>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904" w:type="dxa"/>
                  <w:tcBorders>
                    <w:tl2br w:val="nil"/>
                    <w:tr2bl w:val="nil"/>
                  </w:tcBorders>
                  <w:shd w:val="clear" w:color="auto" w:fill="auto"/>
                  <w:vAlign w:val="center"/>
                </w:tcPr>
                <w:p w14:paraId="41D9EB77">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highlight w:val="none"/>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350</w:t>
                  </w:r>
                </w:p>
              </w:tc>
              <w:tc>
                <w:tcPr>
                  <w:tcW w:w="904" w:type="dxa"/>
                  <w:tcBorders>
                    <w:tl2br w:val="nil"/>
                    <w:tr2bl w:val="nil"/>
                  </w:tcBorders>
                  <w:shd w:val="clear" w:color="auto" w:fill="auto"/>
                  <w:vAlign w:val="center"/>
                </w:tcPr>
                <w:p w14:paraId="7216EC1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250</w:t>
                  </w:r>
                </w:p>
              </w:tc>
              <w:tc>
                <w:tcPr>
                  <w:tcW w:w="904" w:type="dxa"/>
                  <w:tcBorders>
                    <w:tl2br w:val="nil"/>
                    <w:tr2bl w:val="nil"/>
                  </w:tcBorders>
                  <w:shd w:val="clear" w:color="auto" w:fill="auto"/>
                  <w:vAlign w:val="center"/>
                </w:tcPr>
                <w:p w14:paraId="13193B8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904" w:type="dxa"/>
                  <w:tcBorders>
                    <w:tl2br w:val="nil"/>
                    <w:tr2bl w:val="nil"/>
                  </w:tcBorders>
                  <w:shd w:val="clear" w:color="auto" w:fill="auto"/>
                  <w:vAlign w:val="center"/>
                </w:tcPr>
                <w:p w14:paraId="6E6C044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04" w:type="dxa"/>
                  <w:tcBorders>
                    <w:tl2br w:val="nil"/>
                    <w:tr2bl w:val="nil"/>
                  </w:tcBorders>
                  <w:shd w:val="clear" w:color="auto" w:fill="auto"/>
                  <w:vAlign w:val="center"/>
                </w:tcPr>
                <w:p w14:paraId="48D36AD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910" w:type="dxa"/>
                  <w:tcBorders>
                    <w:tl2br w:val="nil"/>
                    <w:tr2bl w:val="nil"/>
                  </w:tcBorders>
                  <w:shd w:val="clear" w:color="auto" w:fill="auto"/>
                  <w:vAlign w:val="center"/>
                </w:tcPr>
                <w:p w14:paraId="6727304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666E1278">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25E1C628">
                  <w:pPr>
                    <w:jc w:val="center"/>
                    <w:rPr>
                      <w:rFonts w:hint="default" w:ascii="Times New Roman" w:hAnsi="Times New Roman" w:eastAsia="宋体" w:cs="Times New Roman"/>
                      <w:i w:val="0"/>
                      <w:iCs w:val="0"/>
                      <w:color w:val="0000FF"/>
                      <w:sz w:val="21"/>
                      <w:szCs w:val="21"/>
                      <w:highlight w:val="none"/>
                      <w:u w:val="none"/>
                    </w:rPr>
                  </w:pPr>
                </w:p>
              </w:tc>
              <w:tc>
                <w:tcPr>
                  <w:tcW w:w="930" w:type="dxa"/>
                  <w:tcBorders>
                    <w:tl2br w:val="nil"/>
                    <w:tr2bl w:val="nil"/>
                  </w:tcBorders>
                  <w:shd w:val="clear" w:color="auto" w:fill="auto"/>
                  <w:vAlign w:val="center"/>
                </w:tcPr>
                <w:p w14:paraId="7FFF2F89">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出水</w:t>
                  </w:r>
                </w:p>
              </w:tc>
              <w:tc>
                <w:tcPr>
                  <w:tcW w:w="904" w:type="dxa"/>
                  <w:tcBorders>
                    <w:tl2br w:val="nil"/>
                    <w:tr2bl w:val="nil"/>
                  </w:tcBorders>
                  <w:shd w:val="clear" w:color="auto" w:fill="auto"/>
                  <w:vAlign w:val="center"/>
                </w:tcPr>
                <w:p w14:paraId="77B3AC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eastAsia" w:cs="Times New Roman"/>
                      <w:i w:val="0"/>
                      <w:iCs w:val="0"/>
                      <w:color w:val="0000FF"/>
                      <w:kern w:val="0"/>
                      <w:sz w:val="21"/>
                      <w:szCs w:val="21"/>
                      <w:u w:val="none"/>
                      <w:lang w:val="en-US" w:eastAsia="zh-CN" w:bidi="ar"/>
                    </w:rPr>
                    <w:t>40</w:t>
                  </w:r>
                  <w:r>
                    <w:rPr>
                      <w:rFonts w:hint="default" w:ascii="Times New Roman" w:hAnsi="Times New Roman" w:eastAsia="宋体" w:cs="Times New Roman"/>
                      <w:i w:val="0"/>
                      <w:iCs w:val="0"/>
                      <w:color w:val="0000FF"/>
                      <w:kern w:val="0"/>
                      <w:sz w:val="21"/>
                      <w:szCs w:val="21"/>
                      <w:u w:val="none"/>
                      <w:lang w:val="en-US" w:eastAsia="zh-CN" w:bidi="ar"/>
                    </w:rPr>
                    <w:t>0</w:t>
                  </w:r>
                </w:p>
              </w:tc>
              <w:tc>
                <w:tcPr>
                  <w:tcW w:w="904" w:type="dxa"/>
                  <w:tcBorders>
                    <w:tl2br w:val="nil"/>
                    <w:tr2bl w:val="nil"/>
                  </w:tcBorders>
                  <w:shd w:val="clear" w:color="auto" w:fill="auto"/>
                  <w:vAlign w:val="center"/>
                </w:tcPr>
                <w:p w14:paraId="6DAB86C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eastAsia" w:cs="Times New Roman"/>
                      <w:i w:val="0"/>
                      <w:iCs w:val="0"/>
                      <w:color w:val="0000FF"/>
                      <w:kern w:val="0"/>
                      <w:sz w:val="21"/>
                      <w:szCs w:val="21"/>
                      <w:u w:val="none"/>
                      <w:lang w:val="en-US" w:eastAsia="zh-CN" w:bidi="ar"/>
                    </w:rPr>
                    <w:t>200</w:t>
                  </w:r>
                </w:p>
              </w:tc>
              <w:tc>
                <w:tcPr>
                  <w:tcW w:w="904" w:type="dxa"/>
                  <w:tcBorders>
                    <w:tl2br w:val="nil"/>
                    <w:tr2bl w:val="nil"/>
                  </w:tcBorders>
                  <w:shd w:val="clear" w:color="auto" w:fill="auto"/>
                  <w:vAlign w:val="center"/>
                </w:tcPr>
                <w:p w14:paraId="338C548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230</w:t>
                  </w:r>
                </w:p>
              </w:tc>
              <w:tc>
                <w:tcPr>
                  <w:tcW w:w="904" w:type="dxa"/>
                  <w:tcBorders>
                    <w:tl2br w:val="nil"/>
                    <w:tr2bl w:val="nil"/>
                  </w:tcBorders>
                  <w:shd w:val="clear" w:color="auto" w:fill="auto"/>
                  <w:vAlign w:val="center"/>
                </w:tcPr>
                <w:p w14:paraId="2A6032C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4</w:t>
                  </w:r>
                </w:p>
              </w:tc>
              <w:tc>
                <w:tcPr>
                  <w:tcW w:w="904" w:type="dxa"/>
                  <w:tcBorders>
                    <w:tl2br w:val="nil"/>
                    <w:tr2bl w:val="nil"/>
                  </w:tcBorders>
                  <w:shd w:val="clear" w:color="auto" w:fill="auto"/>
                  <w:vAlign w:val="center"/>
                </w:tcPr>
                <w:p w14:paraId="0CDBD66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7</w:t>
                  </w:r>
                </w:p>
              </w:tc>
              <w:tc>
                <w:tcPr>
                  <w:tcW w:w="904" w:type="dxa"/>
                  <w:tcBorders>
                    <w:tl2br w:val="nil"/>
                    <w:tr2bl w:val="nil"/>
                  </w:tcBorders>
                  <w:shd w:val="clear" w:color="auto" w:fill="auto"/>
                  <w:vAlign w:val="center"/>
                </w:tcPr>
                <w:p w14:paraId="25F25AB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910" w:type="dxa"/>
                  <w:tcBorders>
                    <w:tl2br w:val="nil"/>
                    <w:tr2bl w:val="nil"/>
                  </w:tcBorders>
                  <w:shd w:val="clear" w:color="auto" w:fill="auto"/>
                  <w:vAlign w:val="center"/>
                </w:tcPr>
                <w:p w14:paraId="0FB9668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C05A085">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3C7FA3D5">
                  <w:pPr>
                    <w:jc w:val="center"/>
                    <w:rPr>
                      <w:rFonts w:hint="default" w:ascii="Times New Roman" w:hAnsi="Times New Roman" w:eastAsia="宋体" w:cs="Times New Roman"/>
                      <w:i w:val="0"/>
                      <w:iCs w:val="0"/>
                      <w:color w:val="0000FF"/>
                      <w:sz w:val="21"/>
                      <w:szCs w:val="21"/>
                      <w:highlight w:val="none"/>
                      <w:u w:val="none"/>
                    </w:rPr>
                  </w:pPr>
                </w:p>
              </w:tc>
              <w:tc>
                <w:tcPr>
                  <w:tcW w:w="930" w:type="dxa"/>
                  <w:tcBorders>
                    <w:tl2br w:val="nil"/>
                    <w:tr2bl w:val="nil"/>
                  </w:tcBorders>
                  <w:shd w:val="clear" w:color="auto" w:fill="auto"/>
                  <w:vAlign w:val="center"/>
                </w:tcPr>
                <w:p w14:paraId="5F90DAF9">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去除率</w:t>
                  </w:r>
                </w:p>
              </w:tc>
              <w:tc>
                <w:tcPr>
                  <w:tcW w:w="904" w:type="dxa"/>
                  <w:tcBorders>
                    <w:tl2br w:val="nil"/>
                    <w:tr2bl w:val="nil"/>
                  </w:tcBorders>
                  <w:shd w:val="clear" w:color="auto" w:fill="auto"/>
                  <w:vAlign w:val="center"/>
                </w:tcPr>
                <w:p w14:paraId="71E44C6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cs="Times New Roman"/>
                      <w:i w:val="0"/>
                      <w:iCs w:val="0"/>
                      <w:color w:val="0000FF"/>
                      <w:kern w:val="0"/>
                      <w:sz w:val="21"/>
                      <w:szCs w:val="21"/>
                      <w:u w:val="none"/>
                      <w:lang w:val="en-US" w:eastAsia="zh-CN" w:bidi="ar"/>
                    </w:rPr>
                    <w:t>2</w:t>
                  </w:r>
                  <w:r>
                    <w:rPr>
                      <w:rFonts w:hint="default" w:ascii="Times New Roman" w:hAnsi="Times New Roman" w:eastAsia="宋体" w:cs="Times New Roman"/>
                      <w:i w:val="0"/>
                      <w:iCs w:val="0"/>
                      <w:color w:val="0000FF"/>
                      <w:kern w:val="0"/>
                      <w:sz w:val="21"/>
                      <w:szCs w:val="21"/>
                      <w:u w:val="none"/>
                      <w:lang w:val="en-US" w:eastAsia="zh-CN" w:bidi="ar"/>
                    </w:rPr>
                    <w:t>0%</w:t>
                  </w:r>
                </w:p>
              </w:tc>
              <w:tc>
                <w:tcPr>
                  <w:tcW w:w="904" w:type="dxa"/>
                  <w:tcBorders>
                    <w:tl2br w:val="nil"/>
                    <w:tr2bl w:val="nil"/>
                  </w:tcBorders>
                  <w:shd w:val="clear" w:color="auto" w:fill="auto"/>
                  <w:vAlign w:val="center"/>
                </w:tcPr>
                <w:p w14:paraId="309BD24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cs="Times New Roman"/>
                      <w:i w:val="0"/>
                      <w:iCs w:val="0"/>
                      <w:color w:val="0000FF"/>
                      <w:kern w:val="0"/>
                      <w:sz w:val="21"/>
                      <w:szCs w:val="21"/>
                      <w:u w:val="none"/>
                      <w:lang w:val="en-US" w:eastAsia="zh-CN" w:bidi="ar"/>
                    </w:rPr>
                    <w:t>42.86</w:t>
                  </w:r>
                  <w:r>
                    <w:rPr>
                      <w:rFonts w:hint="default" w:ascii="Times New Roman" w:hAnsi="Times New Roman" w:eastAsia="宋体" w:cs="Times New Roman"/>
                      <w:i w:val="0"/>
                      <w:iCs w:val="0"/>
                      <w:color w:val="0000FF"/>
                      <w:kern w:val="0"/>
                      <w:sz w:val="21"/>
                      <w:szCs w:val="21"/>
                      <w:u w:val="none"/>
                      <w:lang w:val="en-US" w:eastAsia="zh-CN" w:bidi="ar"/>
                    </w:rPr>
                    <w:t>%</w:t>
                  </w:r>
                </w:p>
              </w:tc>
              <w:tc>
                <w:tcPr>
                  <w:tcW w:w="904" w:type="dxa"/>
                  <w:tcBorders>
                    <w:tl2br w:val="nil"/>
                    <w:tr2bl w:val="nil"/>
                  </w:tcBorders>
                  <w:shd w:val="clear" w:color="auto" w:fill="auto"/>
                  <w:vAlign w:val="center"/>
                </w:tcPr>
                <w:p w14:paraId="6A21DD8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04" w:type="dxa"/>
                  <w:tcBorders>
                    <w:tl2br w:val="nil"/>
                    <w:tr2bl w:val="nil"/>
                  </w:tcBorders>
                  <w:shd w:val="clear" w:color="auto" w:fill="auto"/>
                  <w:vAlign w:val="center"/>
                </w:tcPr>
                <w:p w14:paraId="49C1CAC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20</w:t>
                  </w:r>
                  <w:r>
                    <w:rPr>
                      <w:rFonts w:hint="default" w:ascii="Times New Roman" w:hAnsi="Times New Roman" w:eastAsia="宋体" w:cs="Times New Roman"/>
                      <w:i w:val="0"/>
                      <w:iCs w:val="0"/>
                      <w:color w:val="0000FF"/>
                      <w:kern w:val="0"/>
                      <w:sz w:val="21"/>
                      <w:szCs w:val="21"/>
                      <w:u w:val="none"/>
                      <w:lang w:val="en-US" w:eastAsia="zh-CN" w:bidi="ar"/>
                    </w:rPr>
                    <w:t>%</w:t>
                  </w:r>
                </w:p>
              </w:tc>
              <w:tc>
                <w:tcPr>
                  <w:tcW w:w="904" w:type="dxa"/>
                  <w:tcBorders>
                    <w:tl2br w:val="nil"/>
                    <w:tr2bl w:val="nil"/>
                  </w:tcBorders>
                  <w:shd w:val="clear" w:color="auto" w:fill="auto"/>
                  <w:vAlign w:val="center"/>
                </w:tcPr>
                <w:p w14:paraId="1EE134B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13%</w:t>
                  </w:r>
                </w:p>
              </w:tc>
              <w:tc>
                <w:tcPr>
                  <w:tcW w:w="904" w:type="dxa"/>
                  <w:tcBorders>
                    <w:tl2br w:val="nil"/>
                    <w:tr2bl w:val="nil"/>
                  </w:tcBorders>
                  <w:shd w:val="clear" w:color="auto" w:fill="auto"/>
                  <w:vAlign w:val="center"/>
                </w:tcPr>
                <w:p w14:paraId="5952822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40%</w:t>
                  </w:r>
                </w:p>
              </w:tc>
              <w:tc>
                <w:tcPr>
                  <w:tcW w:w="910" w:type="dxa"/>
                  <w:tcBorders>
                    <w:tl2br w:val="nil"/>
                    <w:tr2bl w:val="nil"/>
                  </w:tcBorders>
                  <w:shd w:val="clear" w:color="auto" w:fill="auto"/>
                  <w:vAlign w:val="center"/>
                </w:tcPr>
                <w:p w14:paraId="52B6E22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r>
            <w:tr w14:paraId="3E11AE81">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974" w:type="dxa"/>
                  <w:vMerge w:val="restart"/>
                  <w:tcBorders>
                    <w:tl2br w:val="nil"/>
                    <w:tr2bl w:val="nil"/>
                  </w:tcBorders>
                  <w:shd w:val="clear" w:color="auto" w:fill="auto"/>
                  <w:vAlign w:val="center"/>
                </w:tcPr>
                <w:p w14:paraId="3ECA21A9">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b w:val="0"/>
                      <w:bCs w:val="0"/>
                      <w:color w:val="0000FF"/>
                      <w:szCs w:val="21"/>
                      <w:highlight w:val="none"/>
                    </w:rPr>
                    <w:t>斜管沉淀塔</w:t>
                  </w:r>
                </w:p>
              </w:tc>
              <w:tc>
                <w:tcPr>
                  <w:tcW w:w="930" w:type="dxa"/>
                  <w:tcBorders>
                    <w:tl2br w:val="nil"/>
                    <w:tr2bl w:val="nil"/>
                  </w:tcBorders>
                  <w:shd w:val="clear" w:color="auto" w:fill="auto"/>
                  <w:vAlign w:val="center"/>
                </w:tcPr>
                <w:p w14:paraId="08393A7D">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进水</w:t>
                  </w:r>
                </w:p>
              </w:tc>
              <w:tc>
                <w:tcPr>
                  <w:tcW w:w="904" w:type="dxa"/>
                  <w:tcBorders>
                    <w:tl2br w:val="nil"/>
                    <w:tr2bl w:val="nil"/>
                  </w:tcBorders>
                  <w:shd w:val="clear" w:color="auto" w:fill="auto"/>
                  <w:vAlign w:val="center"/>
                </w:tcPr>
                <w:p w14:paraId="1B69F3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450</w:t>
                  </w:r>
                </w:p>
              </w:tc>
              <w:tc>
                <w:tcPr>
                  <w:tcW w:w="904" w:type="dxa"/>
                  <w:tcBorders>
                    <w:tl2br w:val="nil"/>
                    <w:tr2bl w:val="nil"/>
                  </w:tcBorders>
                  <w:shd w:val="clear" w:color="auto" w:fill="auto"/>
                  <w:vAlign w:val="center"/>
                </w:tcPr>
                <w:p w14:paraId="638C9EF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eastAsia" w:cs="Times New Roman"/>
                      <w:i w:val="0"/>
                      <w:iCs w:val="0"/>
                      <w:color w:val="0000FF"/>
                      <w:kern w:val="0"/>
                      <w:sz w:val="21"/>
                      <w:szCs w:val="21"/>
                      <w:u w:val="none"/>
                      <w:lang w:val="en-US" w:eastAsia="zh-CN" w:bidi="ar"/>
                    </w:rPr>
                    <w:t>200</w:t>
                  </w:r>
                </w:p>
              </w:tc>
              <w:tc>
                <w:tcPr>
                  <w:tcW w:w="904" w:type="dxa"/>
                  <w:tcBorders>
                    <w:tl2br w:val="nil"/>
                    <w:tr2bl w:val="nil"/>
                  </w:tcBorders>
                  <w:shd w:val="clear" w:color="auto" w:fill="auto"/>
                  <w:vAlign w:val="center"/>
                </w:tcPr>
                <w:p w14:paraId="1C0639F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230</w:t>
                  </w:r>
                </w:p>
              </w:tc>
              <w:tc>
                <w:tcPr>
                  <w:tcW w:w="904" w:type="dxa"/>
                  <w:tcBorders>
                    <w:tl2br w:val="nil"/>
                    <w:tr2bl w:val="nil"/>
                  </w:tcBorders>
                  <w:shd w:val="clear" w:color="auto" w:fill="auto"/>
                  <w:vAlign w:val="center"/>
                </w:tcPr>
                <w:p w14:paraId="3A5A01B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4</w:t>
                  </w:r>
                </w:p>
              </w:tc>
              <w:tc>
                <w:tcPr>
                  <w:tcW w:w="904" w:type="dxa"/>
                  <w:tcBorders>
                    <w:tl2br w:val="nil"/>
                    <w:tr2bl w:val="nil"/>
                  </w:tcBorders>
                  <w:shd w:val="clear" w:color="auto" w:fill="auto"/>
                  <w:vAlign w:val="center"/>
                </w:tcPr>
                <w:p w14:paraId="065815A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7</w:t>
                  </w:r>
                </w:p>
              </w:tc>
              <w:tc>
                <w:tcPr>
                  <w:tcW w:w="904" w:type="dxa"/>
                  <w:tcBorders>
                    <w:tl2br w:val="nil"/>
                    <w:tr2bl w:val="nil"/>
                  </w:tcBorders>
                  <w:shd w:val="clear" w:color="auto" w:fill="auto"/>
                  <w:vAlign w:val="center"/>
                </w:tcPr>
                <w:p w14:paraId="656CB96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910" w:type="dxa"/>
                  <w:tcBorders>
                    <w:tl2br w:val="nil"/>
                    <w:tr2bl w:val="nil"/>
                  </w:tcBorders>
                  <w:shd w:val="clear" w:color="auto" w:fill="auto"/>
                  <w:vAlign w:val="center"/>
                </w:tcPr>
                <w:p w14:paraId="3D756FD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C204E12">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680B5FE3">
                  <w:pPr>
                    <w:jc w:val="center"/>
                    <w:rPr>
                      <w:rFonts w:hint="eastAsia" w:ascii="宋体" w:hAnsi="宋体" w:eastAsia="宋体" w:cs="宋体"/>
                      <w:i w:val="0"/>
                      <w:iCs w:val="0"/>
                      <w:color w:val="0000FF"/>
                      <w:sz w:val="21"/>
                      <w:szCs w:val="21"/>
                      <w:highlight w:val="none"/>
                      <w:u w:val="none"/>
                    </w:rPr>
                  </w:pPr>
                </w:p>
              </w:tc>
              <w:tc>
                <w:tcPr>
                  <w:tcW w:w="930" w:type="dxa"/>
                  <w:tcBorders>
                    <w:tl2br w:val="nil"/>
                    <w:tr2bl w:val="nil"/>
                  </w:tcBorders>
                  <w:shd w:val="clear" w:color="auto" w:fill="auto"/>
                  <w:vAlign w:val="center"/>
                </w:tcPr>
                <w:p w14:paraId="4A76C049">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出水</w:t>
                  </w:r>
                </w:p>
              </w:tc>
              <w:tc>
                <w:tcPr>
                  <w:tcW w:w="904" w:type="dxa"/>
                  <w:tcBorders>
                    <w:tl2br w:val="nil"/>
                    <w:tr2bl w:val="nil"/>
                  </w:tcBorders>
                  <w:shd w:val="clear" w:color="auto" w:fill="auto"/>
                  <w:vAlign w:val="center"/>
                </w:tcPr>
                <w:p w14:paraId="0699AD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eastAsia" w:cs="Times New Roman"/>
                      <w:i w:val="0"/>
                      <w:iCs w:val="0"/>
                      <w:color w:val="0000FF"/>
                      <w:kern w:val="0"/>
                      <w:sz w:val="21"/>
                      <w:szCs w:val="21"/>
                      <w:u w:val="none"/>
                      <w:lang w:val="en-US" w:eastAsia="zh-CN" w:bidi="ar"/>
                    </w:rPr>
                    <w:t>300</w:t>
                  </w:r>
                </w:p>
              </w:tc>
              <w:tc>
                <w:tcPr>
                  <w:tcW w:w="904" w:type="dxa"/>
                  <w:tcBorders>
                    <w:tl2br w:val="nil"/>
                    <w:tr2bl w:val="nil"/>
                  </w:tcBorders>
                  <w:shd w:val="clear" w:color="auto" w:fill="auto"/>
                  <w:vAlign w:val="center"/>
                </w:tcPr>
                <w:p w14:paraId="5025F97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eastAsia" w:cs="Times New Roman"/>
                      <w:i w:val="0"/>
                      <w:iCs w:val="0"/>
                      <w:color w:val="0000FF"/>
                      <w:kern w:val="0"/>
                      <w:sz w:val="21"/>
                      <w:szCs w:val="21"/>
                      <w:u w:val="none"/>
                      <w:lang w:val="en-US" w:eastAsia="zh-CN" w:bidi="ar"/>
                    </w:rPr>
                    <w:t>180</w:t>
                  </w:r>
                </w:p>
              </w:tc>
              <w:tc>
                <w:tcPr>
                  <w:tcW w:w="904" w:type="dxa"/>
                  <w:tcBorders>
                    <w:tl2br w:val="nil"/>
                    <w:tr2bl w:val="nil"/>
                  </w:tcBorders>
                  <w:shd w:val="clear" w:color="auto" w:fill="auto"/>
                  <w:vAlign w:val="center"/>
                </w:tcPr>
                <w:p w14:paraId="063211A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200</w:t>
                  </w:r>
                </w:p>
              </w:tc>
              <w:tc>
                <w:tcPr>
                  <w:tcW w:w="904" w:type="dxa"/>
                  <w:tcBorders>
                    <w:tl2br w:val="nil"/>
                    <w:tr2bl w:val="nil"/>
                  </w:tcBorders>
                  <w:shd w:val="clear" w:color="auto" w:fill="auto"/>
                  <w:vAlign w:val="center"/>
                </w:tcPr>
                <w:p w14:paraId="7887646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3</w:t>
                  </w:r>
                </w:p>
              </w:tc>
              <w:tc>
                <w:tcPr>
                  <w:tcW w:w="904" w:type="dxa"/>
                  <w:tcBorders>
                    <w:tl2br w:val="nil"/>
                    <w:tr2bl w:val="nil"/>
                  </w:tcBorders>
                  <w:shd w:val="clear" w:color="auto" w:fill="auto"/>
                  <w:vAlign w:val="center"/>
                </w:tcPr>
                <w:p w14:paraId="14B4A36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6</w:t>
                  </w:r>
                </w:p>
              </w:tc>
              <w:tc>
                <w:tcPr>
                  <w:tcW w:w="904" w:type="dxa"/>
                  <w:tcBorders>
                    <w:tl2br w:val="nil"/>
                    <w:tr2bl w:val="nil"/>
                  </w:tcBorders>
                  <w:shd w:val="clear" w:color="auto" w:fill="auto"/>
                  <w:vAlign w:val="center"/>
                </w:tcPr>
                <w:p w14:paraId="0DA43CE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910" w:type="dxa"/>
                  <w:tcBorders>
                    <w:tl2br w:val="nil"/>
                    <w:tr2bl w:val="nil"/>
                  </w:tcBorders>
                  <w:shd w:val="clear" w:color="auto" w:fill="auto"/>
                  <w:vAlign w:val="center"/>
                </w:tcPr>
                <w:p w14:paraId="3449B32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054D631">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73D8970C">
                  <w:pPr>
                    <w:jc w:val="center"/>
                    <w:rPr>
                      <w:rFonts w:hint="eastAsia" w:ascii="宋体" w:hAnsi="宋体" w:eastAsia="宋体" w:cs="宋体"/>
                      <w:i w:val="0"/>
                      <w:iCs w:val="0"/>
                      <w:color w:val="0000FF"/>
                      <w:sz w:val="21"/>
                      <w:szCs w:val="21"/>
                      <w:highlight w:val="none"/>
                      <w:u w:val="none"/>
                    </w:rPr>
                  </w:pPr>
                </w:p>
              </w:tc>
              <w:tc>
                <w:tcPr>
                  <w:tcW w:w="930" w:type="dxa"/>
                  <w:tcBorders>
                    <w:tl2br w:val="nil"/>
                    <w:tr2bl w:val="nil"/>
                  </w:tcBorders>
                  <w:shd w:val="clear" w:color="auto" w:fill="auto"/>
                  <w:vAlign w:val="center"/>
                </w:tcPr>
                <w:p w14:paraId="752519C6">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去除率</w:t>
                  </w:r>
                </w:p>
              </w:tc>
              <w:tc>
                <w:tcPr>
                  <w:tcW w:w="904" w:type="dxa"/>
                  <w:tcBorders>
                    <w:tl2br w:val="nil"/>
                    <w:tr2bl w:val="nil"/>
                  </w:tcBorders>
                  <w:shd w:val="clear" w:color="auto" w:fill="auto"/>
                  <w:vAlign w:val="center"/>
                </w:tcPr>
                <w:p w14:paraId="473021A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cs="Times New Roman"/>
                      <w:i w:val="0"/>
                      <w:iCs w:val="0"/>
                      <w:color w:val="0000FF"/>
                      <w:kern w:val="0"/>
                      <w:sz w:val="21"/>
                      <w:szCs w:val="21"/>
                      <w:u w:val="none"/>
                      <w:lang w:val="en-US" w:eastAsia="zh-CN" w:bidi="ar"/>
                    </w:rPr>
                    <w:t>33.33</w:t>
                  </w:r>
                  <w:r>
                    <w:rPr>
                      <w:rFonts w:hint="default" w:ascii="Times New Roman" w:hAnsi="Times New Roman" w:eastAsia="宋体" w:cs="Times New Roman"/>
                      <w:i w:val="0"/>
                      <w:iCs w:val="0"/>
                      <w:color w:val="0000FF"/>
                      <w:kern w:val="0"/>
                      <w:sz w:val="21"/>
                      <w:szCs w:val="21"/>
                      <w:u w:val="none"/>
                      <w:lang w:val="en-US" w:eastAsia="zh-CN" w:bidi="ar"/>
                    </w:rPr>
                    <w:t>%</w:t>
                  </w:r>
                </w:p>
              </w:tc>
              <w:tc>
                <w:tcPr>
                  <w:tcW w:w="904" w:type="dxa"/>
                  <w:tcBorders>
                    <w:tl2br w:val="nil"/>
                    <w:tr2bl w:val="nil"/>
                  </w:tcBorders>
                  <w:shd w:val="clear" w:color="auto" w:fill="auto"/>
                  <w:vAlign w:val="center"/>
                </w:tcPr>
                <w:p w14:paraId="6AD9ACF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cs="Times New Roman"/>
                      <w:i w:val="0"/>
                      <w:iCs w:val="0"/>
                      <w:color w:val="0000FF"/>
                      <w:kern w:val="0"/>
                      <w:sz w:val="21"/>
                      <w:szCs w:val="21"/>
                      <w:u w:val="none"/>
                      <w:lang w:val="en-US" w:eastAsia="zh-CN" w:bidi="ar"/>
                    </w:rPr>
                    <w:t>10</w:t>
                  </w:r>
                  <w:r>
                    <w:rPr>
                      <w:rFonts w:hint="default" w:ascii="Times New Roman" w:hAnsi="Times New Roman" w:eastAsia="宋体" w:cs="Times New Roman"/>
                      <w:i w:val="0"/>
                      <w:iCs w:val="0"/>
                      <w:color w:val="0000FF"/>
                      <w:kern w:val="0"/>
                      <w:sz w:val="21"/>
                      <w:szCs w:val="21"/>
                      <w:u w:val="none"/>
                      <w:lang w:val="en-US" w:eastAsia="zh-CN" w:bidi="ar"/>
                    </w:rPr>
                    <w:t>%</w:t>
                  </w:r>
                </w:p>
              </w:tc>
              <w:tc>
                <w:tcPr>
                  <w:tcW w:w="904" w:type="dxa"/>
                  <w:tcBorders>
                    <w:tl2br w:val="nil"/>
                    <w:tr2bl w:val="nil"/>
                  </w:tcBorders>
                  <w:shd w:val="clear" w:color="auto" w:fill="auto"/>
                  <w:vAlign w:val="center"/>
                </w:tcPr>
                <w:p w14:paraId="597CFC9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13.04</w:t>
                  </w:r>
                  <w:r>
                    <w:rPr>
                      <w:rFonts w:hint="default" w:ascii="Times New Roman" w:hAnsi="Times New Roman" w:eastAsia="宋体" w:cs="Times New Roman"/>
                      <w:i w:val="0"/>
                      <w:iCs w:val="0"/>
                      <w:color w:val="0000FF"/>
                      <w:kern w:val="0"/>
                      <w:sz w:val="21"/>
                      <w:szCs w:val="21"/>
                      <w:u w:val="none"/>
                      <w:lang w:val="en-US" w:eastAsia="zh-CN" w:bidi="ar"/>
                    </w:rPr>
                    <w:t>%</w:t>
                  </w:r>
                </w:p>
              </w:tc>
              <w:tc>
                <w:tcPr>
                  <w:tcW w:w="904" w:type="dxa"/>
                  <w:tcBorders>
                    <w:tl2br w:val="nil"/>
                    <w:tr2bl w:val="nil"/>
                  </w:tcBorders>
                  <w:shd w:val="clear" w:color="auto" w:fill="auto"/>
                  <w:vAlign w:val="center"/>
                </w:tcPr>
                <w:p w14:paraId="1825802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25</w:t>
                  </w:r>
                  <w:r>
                    <w:rPr>
                      <w:rFonts w:hint="default" w:ascii="Times New Roman" w:hAnsi="Times New Roman" w:eastAsia="宋体" w:cs="Times New Roman"/>
                      <w:i w:val="0"/>
                      <w:iCs w:val="0"/>
                      <w:color w:val="0000FF"/>
                      <w:kern w:val="0"/>
                      <w:sz w:val="21"/>
                      <w:szCs w:val="21"/>
                      <w:u w:val="none"/>
                      <w:lang w:val="en-US" w:eastAsia="zh-CN" w:bidi="ar"/>
                    </w:rPr>
                    <w:t>%</w:t>
                  </w:r>
                </w:p>
              </w:tc>
              <w:tc>
                <w:tcPr>
                  <w:tcW w:w="904" w:type="dxa"/>
                  <w:tcBorders>
                    <w:tl2br w:val="nil"/>
                    <w:tr2bl w:val="nil"/>
                  </w:tcBorders>
                  <w:shd w:val="clear" w:color="auto" w:fill="auto"/>
                  <w:vAlign w:val="center"/>
                </w:tcPr>
                <w:p w14:paraId="0DA82C0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14%</w:t>
                  </w:r>
                </w:p>
              </w:tc>
              <w:tc>
                <w:tcPr>
                  <w:tcW w:w="904" w:type="dxa"/>
                  <w:tcBorders>
                    <w:tl2br w:val="nil"/>
                    <w:tr2bl w:val="nil"/>
                  </w:tcBorders>
                  <w:shd w:val="clear" w:color="auto" w:fill="auto"/>
                  <w:vAlign w:val="center"/>
                </w:tcPr>
                <w:p w14:paraId="6713797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910" w:type="dxa"/>
                  <w:tcBorders>
                    <w:tl2br w:val="nil"/>
                    <w:tr2bl w:val="nil"/>
                  </w:tcBorders>
                  <w:shd w:val="clear" w:color="auto" w:fill="auto"/>
                  <w:vAlign w:val="center"/>
                </w:tcPr>
                <w:p w14:paraId="7682558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r>
            <w:tr w14:paraId="1303ED15">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974" w:type="dxa"/>
                  <w:vMerge w:val="restart"/>
                  <w:tcBorders>
                    <w:tl2br w:val="nil"/>
                    <w:tr2bl w:val="nil"/>
                  </w:tcBorders>
                  <w:shd w:val="clear" w:color="auto" w:fill="auto"/>
                  <w:vAlign w:val="center"/>
                </w:tcPr>
                <w:p w14:paraId="57D75D0F">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cs="宋体"/>
                      <w:i w:val="0"/>
                      <w:iCs w:val="0"/>
                      <w:color w:val="0000FF"/>
                      <w:kern w:val="0"/>
                      <w:sz w:val="21"/>
                      <w:szCs w:val="21"/>
                      <w:highlight w:val="none"/>
                      <w:u w:val="none"/>
                      <w:lang w:val="en-US" w:eastAsia="zh-CN" w:bidi="ar"/>
                    </w:rPr>
                    <w:t>过滤器</w:t>
                  </w:r>
                </w:p>
              </w:tc>
              <w:tc>
                <w:tcPr>
                  <w:tcW w:w="930" w:type="dxa"/>
                  <w:tcBorders>
                    <w:tl2br w:val="nil"/>
                    <w:tr2bl w:val="nil"/>
                  </w:tcBorders>
                  <w:shd w:val="clear" w:color="auto" w:fill="auto"/>
                  <w:vAlign w:val="center"/>
                </w:tcPr>
                <w:p w14:paraId="10C7AA79">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进水</w:t>
                  </w:r>
                </w:p>
              </w:tc>
              <w:tc>
                <w:tcPr>
                  <w:tcW w:w="904" w:type="dxa"/>
                  <w:tcBorders>
                    <w:tl2br w:val="nil"/>
                    <w:tr2bl w:val="nil"/>
                  </w:tcBorders>
                  <w:shd w:val="clear" w:color="auto" w:fill="auto"/>
                  <w:vAlign w:val="center"/>
                </w:tcPr>
                <w:p w14:paraId="69D26A1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eastAsia" w:cs="Times New Roman"/>
                      <w:i w:val="0"/>
                      <w:iCs w:val="0"/>
                      <w:color w:val="0000FF"/>
                      <w:kern w:val="0"/>
                      <w:sz w:val="21"/>
                      <w:szCs w:val="21"/>
                      <w:u w:val="none"/>
                      <w:lang w:val="en-US" w:eastAsia="zh-CN" w:bidi="ar"/>
                    </w:rPr>
                    <w:t>300</w:t>
                  </w:r>
                </w:p>
              </w:tc>
              <w:tc>
                <w:tcPr>
                  <w:tcW w:w="904" w:type="dxa"/>
                  <w:tcBorders>
                    <w:tl2br w:val="nil"/>
                    <w:tr2bl w:val="nil"/>
                  </w:tcBorders>
                  <w:shd w:val="clear" w:color="auto" w:fill="auto"/>
                  <w:vAlign w:val="center"/>
                </w:tcPr>
                <w:p w14:paraId="669F402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eastAsia" w:cs="Times New Roman"/>
                      <w:i w:val="0"/>
                      <w:iCs w:val="0"/>
                      <w:color w:val="0000FF"/>
                      <w:kern w:val="0"/>
                      <w:sz w:val="21"/>
                      <w:szCs w:val="21"/>
                      <w:u w:val="none"/>
                      <w:lang w:val="en-US" w:eastAsia="zh-CN" w:bidi="ar"/>
                    </w:rPr>
                    <w:t>180</w:t>
                  </w:r>
                </w:p>
              </w:tc>
              <w:tc>
                <w:tcPr>
                  <w:tcW w:w="904" w:type="dxa"/>
                  <w:tcBorders>
                    <w:tl2br w:val="nil"/>
                    <w:tr2bl w:val="nil"/>
                  </w:tcBorders>
                  <w:shd w:val="clear" w:color="auto" w:fill="auto"/>
                  <w:vAlign w:val="center"/>
                </w:tcPr>
                <w:p w14:paraId="2DE44BF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cs="Times New Roman"/>
                      <w:i w:val="0"/>
                      <w:iCs w:val="0"/>
                      <w:color w:val="0000FF"/>
                      <w:kern w:val="0"/>
                      <w:sz w:val="21"/>
                      <w:szCs w:val="21"/>
                      <w:u w:val="none"/>
                      <w:lang w:val="en-US" w:eastAsia="zh-CN" w:bidi="ar"/>
                    </w:rPr>
                    <w:t>0</w:t>
                  </w:r>
                  <w:r>
                    <w:rPr>
                      <w:rFonts w:hint="default" w:ascii="Times New Roman" w:hAnsi="Times New Roman" w:eastAsia="宋体" w:cs="Times New Roman"/>
                      <w:i w:val="0"/>
                      <w:iCs w:val="0"/>
                      <w:color w:val="0000FF"/>
                      <w:kern w:val="0"/>
                      <w:sz w:val="21"/>
                      <w:szCs w:val="21"/>
                      <w:u w:val="none"/>
                      <w:lang w:val="en-US" w:eastAsia="zh-CN" w:bidi="ar"/>
                    </w:rPr>
                    <w:t>0</w:t>
                  </w:r>
                </w:p>
              </w:tc>
              <w:tc>
                <w:tcPr>
                  <w:tcW w:w="904" w:type="dxa"/>
                  <w:tcBorders>
                    <w:tl2br w:val="nil"/>
                    <w:tr2bl w:val="nil"/>
                  </w:tcBorders>
                  <w:shd w:val="clear" w:color="auto" w:fill="auto"/>
                  <w:vAlign w:val="center"/>
                </w:tcPr>
                <w:p w14:paraId="3E85978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3</w:t>
                  </w:r>
                </w:p>
              </w:tc>
              <w:tc>
                <w:tcPr>
                  <w:tcW w:w="904" w:type="dxa"/>
                  <w:tcBorders>
                    <w:tl2br w:val="nil"/>
                    <w:tr2bl w:val="nil"/>
                  </w:tcBorders>
                  <w:shd w:val="clear" w:color="auto" w:fill="auto"/>
                  <w:vAlign w:val="center"/>
                </w:tcPr>
                <w:p w14:paraId="3DD0B28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6</w:t>
                  </w:r>
                </w:p>
              </w:tc>
              <w:tc>
                <w:tcPr>
                  <w:tcW w:w="904" w:type="dxa"/>
                  <w:tcBorders>
                    <w:tl2br w:val="nil"/>
                    <w:tr2bl w:val="nil"/>
                  </w:tcBorders>
                  <w:shd w:val="clear" w:color="auto" w:fill="auto"/>
                  <w:vAlign w:val="center"/>
                </w:tcPr>
                <w:p w14:paraId="149EB1D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910" w:type="dxa"/>
                  <w:tcBorders>
                    <w:tl2br w:val="nil"/>
                    <w:tr2bl w:val="nil"/>
                  </w:tcBorders>
                  <w:shd w:val="clear" w:color="auto" w:fill="auto"/>
                  <w:vAlign w:val="center"/>
                </w:tcPr>
                <w:p w14:paraId="736CE30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94A9C9E">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5DF92C6E">
                  <w:pPr>
                    <w:jc w:val="center"/>
                    <w:rPr>
                      <w:rFonts w:hint="eastAsia" w:ascii="宋体" w:hAnsi="宋体" w:eastAsia="宋体" w:cs="宋体"/>
                      <w:i w:val="0"/>
                      <w:iCs w:val="0"/>
                      <w:color w:val="0000FF"/>
                      <w:sz w:val="21"/>
                      <w:szCs w:val="21"/>
                      <w:highlight w:val="none"/>
                      <w:u w:val="none"/>
                    </w:rPr>
                  </w:pPr>
                </w:p>
              </w:tc>
              <w:tc>
                <w:tcPr>
                  <w:tcW w:w="930" w:type="dxa"/>
                  <w:tcBorders>
                    <w:tl2br w:val="nil"/>
                    <w:tr2bl w:val="nil"/>
                  </w:tcBorders>
                  <w:shd w:val="clear" w:color="auto" w:fill="auto"/>
                  <w:vAlign w:val="center"/>
                </w:tcPr>
                <w:p w14:paraId="5BC186D0">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出水</w:t>
                  </w:r>
                </w:p>
              </w:tc>
              <w:tc>
                <w:tcPr>
                  <w:tcW w:w="904" w:type="dxa"/>
                  <w:tcBorders>
                    <w:tl2br w:val="nil"/>
                    <w:tr2bl w:val="nil"/>
                  </w:tcBorders>
                  <w:shd w:val="clear" w:color="auto" w:fill="auto"/>
                  <w:vAlign w:val="center"/>
                </w:tcPr>
                <w:p w14:paraId="7AAF3A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eastAsia" w:cs="Times New Roman"/>
                      <w:i w:val="0"/>
                      <w:iCs w:val="0"/>
                      <w:color w:val="0000FF"/>
                      <w:kern w:val="0"/>
                      <w:sz w:val="21"/>
                      <w:szCs w:val="21"/>
                      <w:u w:val="none"/>
                      <w:lang w:val="en-US" w:eastAsia="zh-CN" w:bidi="ar"/>
                    </w:rPr>
                    <w:t>280</w:t>
                  </w:r>
                </w:p>
              </w:tc>
              <w:tc>
                <w:tcPr>
                  <w:tcW w:w="904" w:type="dxa"/>
                  <w:tcBorders>
                    <w:tl2br w:val="nil"/>
                    <w:tr2bl w:val="nil"/>
                  </w:tcBorders>
                  <w:shd w:val="clear" w:color="auto" w:fill="auto"/>
                  <w:vAlign w:val="center"/>
                </w:tcPr>
                <w:p w14:paraId="0ABAE0F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eastAsia" w:cs="Times New Roman"/>
                      <w:i w:val="0"/>
                      <w:iCs w:val="0"/>
                      <w:color w:val="0000FF"/>
                      <w:kern w:val="0"/>
                      <w:sz w:val="21"/>
                      <w:szCs w:val="21"/>
                      <w:u w:val="none"/>
                      <w:lang w:val="en-US" w:eastAsia="zh-CN" w:bidi="ar"/>
                    </w:rPr>
                    <w:t>120</w:t>
                  </w:r>
                </w:p>
              </w:tc>
              <w:tc>
                <w:tcPr>
                  <w:tcW w:w="904" w:type="dxa"/>
                  <w:tcBorders>
                    <w:tl2br w:val="nil"/>
                    <w:tr2bl w:val="nil"/>
                  </w:tcBorders>
                  <w:shd w:val="clear" w:color="auto" w:fill="auto"/>
                  <w:vAlign w:val="center"/>
                </w:tcPr>
                <w:p w14:paraId="5E483D3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180</w:t>
                  </w:r>
                </w:p>
              </w:tc>
              <w:tc>
                <w:tcPr>
                  <w:tcW w:w="904" w:type="dxa"/>
                  <w:tcBorders>
                    <w:tl2br w:val="nil"/>
                    <w:tr2bl w:val="nil"/>
                  </w:tcBorders>
                  <w:shd w:val="clear" w:color="auto" w:fill="auto"/>
                  <w:vAlign w:val="center"/>
                </w:tcPr>
                <w:p w14:paraId="6AC62F0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3</w:t>
                  </w:r>
                </w:p>
              </w:tc>
              <w:tc>
                <w:tcPr>
                  <w:tcW w:w="904" w:type="dxa"/>
                  <w:tcBorders>
                    <w:tl2br w:val="nil"/>
                    <w:tr2bl w:val="nil"/>
                  </w:tcBorders>
                  <w:shd w:val="clear" w:color="auto" w:fill="auto"/>
                  <w:vAlign w:val="center"/>
                </w:tcPr>
                <w:p w14:paraId="22EE504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904" w:type="dxa"/>
                  <w:tcBorders>
                    <w:tl2br w:val="nil"/>
                    <w:tr2bl w:val="nil"/>
                  </w:tcBorders>
                  <w:shd w:val="clear" w:color="auto" w:fill="auto"/>
                  <w:vAlign w:val="center"/>
                </w:tcPr>
                <w:p w14:paraId="6B33FFA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910" w:type="dxa"/>
                  <w:tcBorders>
                    <w:tl2br w:val="nil"/>
                    <w:tr2bl w:val="nil"/>
                  </w:tcBorders>
                  <w:shd w:val="clear" w:color="auto" w:fill="auto"/>
                  <w:vAlign w:val="center"/>
                </w:tcPr>
                <w:p w14:paraId="3D486DA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2C9B9B29">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974" w:type="dxa"/>
                  <w:vMerge w:val="continue"/>
                  <w:tcBorders>
                    <w:tl2br w:val="nil"/>
                    <w:tr2bl w:val="nil"/>
                  </w:tcBorders>
                  <w:shd w:val="clear" w:color="auto" w:fill="auto"/>
                  <w:vAlign w:val="center"/>
                </w:tcPr>
                <w:p w14:paraId="64C398DD">
                  <w:pPr>
                    <w:jc w:val="center"/>
                    <w:rPr>
                      <w:rFonts w:hint="eastAsia" w:ascii="宋体" w:hAnsi="宋体" w:eastAsia="宋体" w:cs="宋体"/>
                      <w:i w:val="0"/>
                      <w:iCs w:val="0"/>
                      <w:color w:val="0000FF"/>
                      <w:sz w:val="21"/>
                      <w:szCs w:val="21"/>
                      <w:highlight w:val="none"/>
                      <w:u w:val="none"/>
                    </w:rPr>
                  </w:pPr>
                </w:p>
              </w:tc>
              <w:tc>
                <w:tcPr>
                  <w:tcW w:w="930" w:type="dxa"/>
                  <w:tcBorders>
                    <w:tl2br w:val="nil"/>
                    <w:tr2bl w:val="nil"/>
                  </w:tcBorders>
                  <w:shd w:val="clear" w:color="auto" w:fill="auto"/>
                  <w:vAlign w:val="center"/>
                </w:tcPr>
                <w:p w14:paraId="68800262">
                  <w:pPr>
                    <w:keepNext w:val="0"/>
                    <w:keepLines w:val="0"/>
                    <w:widowControl/>
                    <w:suppressLineNumbers w:val="0"/>
                    <w:jc w:val="center"/>
                    <w:textAlignment w:val="center"/>
                    <w:rPr>
                      <w:rFonts w:hint="eastAsia" w:ascii="宋体" w:hAnsi="宋体" w:eastAsia="宋体" w:cs="宋体"/>
                      <w:i w:val="0"/>
                      <w:iCs w:val="0"/>
                      <w:color w:val="0000FF"/>
                      <w:sz w:val="21"/>
                      <w:szCs w:val="21"/>
                      <w:highlight w:val="none"/>
                      <w:u w:val="none"/>
                    </w:rPr>
                  </w:pPr>
                  <w:r>
                    <w:rPr>
                      <w:rFonts w:hint="eastAsia" w:ascii="宋体" w:hAnsi="宋体" w:eastAsia="宋体" w:cs="宋体"/>
                      <w:i w:val="0"/>
                      <w:iCs w:val="0"/>
                      <w:color w:val="0000FF"/>
                      <w:kern w:val="0"/>
                      <w:sz w:val="21"/>
                      <w:szCs w:val="21"/>
                      <w:highlight w:val="none"/>
                      <w:u w:val="none"/>
                      <w:lang w:val="en-US" w:eastAsia="zh-CN" w:bidi="ar"/>
                    </w:rPr>
                    <w:t>去除率</w:t>
                  </w:r>
                </w:p>
              </w:tc>
              <w:tc>
                <w:tcPr>
                  <w:tcW w:w="904" w:type="dxa"/>
                  <w:tcBorders>
                    <w:tl2br w:val="nil"/>
                    <w:tr2bl w:val="nil"/>
                  </w:tcBorders>
                  <w:shd w:val="clear" w:color="auto" w:fill="auto"/>
                  <w:vAlign w:val="center"/>
                </w:tcPr>
                <w:p w14:paraId="34C080D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cs="Times New Roman"/>
                      <w:i w:val="0"/>
                      <w:iCs w:val="0"/>
                      <w:color w:val="0000FF"/>
                      <w:kern w:val="0"/>
                      <w:sz w:val="21"/>
                      <w:szCs w:val="21"/>
                      <w:u w:val="none"/>
                      <w:lang w:val="en-US" w:eastAsia="zh-CN" w:bidi="ar"/>
                    </w:rPr>
                    <w:t>6.67</w:t>
                  </w:r>
                  <w:r>
                    <w:rPr>
                      <w:rFonts w:hint="default" w:ascii="Times New Roman" w:hAnsi="Times New Roman" w:eastAsia="宋体" w:cs="Times New Roman"/>
                      <w:i w:val="0"/>
                      <w:iCs w:val="0"/>
                      <w:color w:val="0000FF"/>
                      <w:kern w:val="0"/>
                      <w:sz w:val="21"/>
                      <w:szCs w:val="21"/>
                      <w:u w:val="none"/>
                      <w:lang w:val="en-US" w:eastAsia="zh-CN" w:bidi="ar"/>
                    </w:rPr>
                    <w:t>%</w:t>
                  </w:r>
                </w:p>
              </w:tc>
              <w:tc>
                <w:tcPr>
                  <w:tcW w:w="904" w:type="dxa"/>
                  <w:tcBorders>
                    <w:tl2br w:val="nil"/>
                    <w:tr2bl w:val="nil"/>
                  </w:tcBorders>
                  <w:shd w:val="clear" w:color="auto" w:fill="auto"/>
                  <w:vAlign w:val="center"/>
                </w:tcPr>
                <w:p w14:paraId="5221B0A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cs="Times New Roman"/>
                      <w:i w:val="0"/>
                      <w:iCs w:val="0"/>
                      <w:color w:val="0000FF"/>
                      <w:kern w:val="0"/>
                      <w:sz w:val="21"/>
                      <w:szCs w:val="21"/>
                      <w:u w:val="none"/>
                      <w:lang w:val="en-US" w:eastAsia="zh-CN" w:bidi="ar"/>
                    </w:rPr>
                    <w:t>11.11</w:t>
                  </w:r>
                  <w:r>
                    <w:rPr>
                      <w:rFonts w:hint="default" w:ascii="Times New Roman" w:hAnsi="Times New Roman" w:eastAsia="宋体" w:cs="Times New Roman"/>
                      <w:i w:val="0"/>
                      <w:iCs w:val="0"/>
                      <w:color w:val="0000FF"/>
                      <w:kern w:val="0"/>
                      <w:sz w:val="21"/>
                      <w:szCs w:val="21"/>
                      <w:u w:val="none"/>
                      <w:lang w:val="en-US" w:eastAsia="zh-CN" w:bidi="ar"/>
                    </w:rPr>
                    <w:t>%</w:t>
                  </w:r>
                </w:p>
              </w:tc>
              <w:tc>
                <w:tcPr>
                  <w:tcW w:w="904" w:type="dxa"/>
                  <w:tcBorders>
                    <w:tl2br w:val="nil"/>
                    <w:tr2bl w:val="nil"/>
                  </w:tcBorders>
                  <w:shd w:val="clear" w:color="auto" w:fill="auto"/>
                  <w:vAlign w:val="center"/>
                </w:tcPr>
                <w:p w14:paraId="70329AB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10</w:t>
                  </w:r>
                  <w:r>
                    <w:rPr>
                      <w:rFonts w:hint="default" w:ascii="Times New Roman" w:hAnsi="Times New Roman" w:eastAsia="宋体" w:cs="Times New Roman"/>
                      <w:i w:val="0"/>
                      <w:iCs w:val="0"/>
                      <w:color w:val="0000FF"/>
                      <w:kern w:val="0"/>
                      <w:sz w:val="21"/>
                      <w:szCs w:val="21"/>
                      <w:u w:val="none"/>
                      <w:lang w:val="en-US" w:eastAsia="zh-CN" w:bidi="ar"/>
                    </w:rPr>
                    <w:t>%</w:t>
                  </w:r>
                </w:p>
              </w:tc>
              <w:tc>
                <w:tcPr>
                  <w:tcW w:w="904" w:type="dxa"/>
                  <w:tcBorders>
                    <w:tl2br w:val="nil"/>
                    <w:tr2bl w:val="nil"/>
                  </w:tcBorders>
                  <w:shd w:val="clear" w:color="auto" w:fill="auto"/>
                  <w:vAlign w:val="center"/>
                </w:tcPr>
                <w:p w14:paraId="6D4FB0E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904" w:type="dxa"/>
                  <w:tcBorders>
                    <w:tl2br w:val="nil"/>
                    <w:tr2bl w:val="nil"/>
                  </w:tcBorders>
                  <w:shd w:val="clear" w:color="auto" w:fill="auto"/>
                  <w:vAlign w:val="center"/>
                </w:tcPr>
                <w:p w14:paraId="59649DE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904" w:type="dxa"/>
                  <w:tcBorders>
                    <w:tl2br w:val="nil"/>
                    <w:tr2bl w:val="nil"/>
                  </w:tcBorders>
                  <w:shd w:val="clear" w:color="auto" w:fill="auto"/>
                  <w:vAlign w:val="center"/>
                </w:tcPr>
                <w:p w14:paraId="3D27C3E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910" w:type="dxa"/>
                  <w:tcBorders>
                    <w:tl2br w:val="nil"/>
                    <w:tr2bl w:val="nil"/>
                  </w:tcBorders>
                  <w:shd w:val="clear" w:color="auto" w:fill="auto"/>
                  <w:vAlign w:val="center"/>
                </w:tcPr>
                <w:p w14:paraId="72D6254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r>
            <w:tr w14:paraId="7047B0BA">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1904" w:type="dxa"/>
                  <w:gridSpan w:val="2"/>
                  <w:tcBorders>
                    <w:tl2br w:val="nil"/>
                    <w:tr2bl w:val="nil"/>
                  </w:tcBorders>
                  <w:shd w:val="clear" w:color="auto" w:fill="auto"/>
                  <w:vAlign w:val="center"/>
                </w:tcPr>
                <w:p w14:paraId="1A6038F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sz w:val="21"/>
                      <w:szCs w:val="21"/>
                      <w:highlight w:val="none"/>
                      <w:u w:val="none"/>
                      <w:lang w:val="en-US" w:eastAsia="zh-CN"/>
                    </w:rPr>
                    <w:t>执行标准（mg/L）</w:t>
                  </w:r>
                </w:p>
              </w:tc>
              <w:tc>
                <w:tcPr>
                  <w:tcW w:w="904" w:type="dxa"/>
                  <w:tcBorders>
                    <w:tl2br w:val="nil"/>
                    <w:tr2bl w:val="nil"/>
                  </w:tcBorders>
                  <w:shd w:val="clear" w:color="auto" w:fill="auto"/>
                  <w:vAlign w:val="center"/>
                </w:tcPr>
                <w:p w14:paraId="5FDBA0A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280</w:t>
                  </w:r>
                </w:p>
              </w:tc>
              <w:tc>
                <w:tcPr>
                  <w:tcW w:w="904" w:type="dxa"/>
                  <w:tcBorders>
                    <w:tl2br w:val="nil"/>
                    <w:tr2bl w:val="nil"/>
                  </w:tcBorders>
                  <w:shd w:val="clear" w:color="auto" w:fill="auto"/>
                  <w:vAlign w:val="center"/>
                </w:tcPr>
                <w:p w14:paraId="5B59EED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160</w:t>
                  </w:r>
                </w:p>
              </w:tc>
              <w:tc>
                <w:tcPr>
                  <w:tcW w:w="904" w:type="dxa"/>
                  <w:tcBorders>
                    <w:tl2br w:val="nil"/>
                    <w:tr2bl w:val="nil"/>
                  </w:tcBorders>
                  <w:shd w:val="clear" w:color="auto" w:fill="auto"/>
                  <w:vAlign w:val="center"/>
                </w:tcPr>
                <w:p w14:paraId="7CAA2A3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180</w:t>
                  </w:r>
                </w:p>
              </w:tc>
              <w:tc>
                <w:tcPr>
                  <w:tcW w:w="904" w:type="dxa"/>
                  <w:tcBorders>
                    <w:tl2br w:val="nil"/>
                    <w:tr2bl w:val="nil"/>
                  </w:tcBorders>
                  <w:shd w:val="clear" w:color="auto" w:fill="auto"/>
                  <w:vAlign w:val="center"/>
                </w:tcPr>
                <w:p w14:paraId="60ADF72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3</w:t>
                  </w:r>
                </w:p>
              </w:tc>
              <w:tc>
                <w:tcPr>
                  <w:tcW w:w="904" w:type="dxa"/>
                  <w:tcBorders>
                    <w:tl2br w:val="nil"/>
                    <w:tr2bl w:val="nil"/>
                  </w:tcBorders>
                  <w:shd w:val="clear" w:color="auto" w:fill="auto"/>
                  <w:vAlign w:val="center"/>
                </w:tcPr>
                <w:p w14:paraId="649693B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u w:val="none"/>
                      <w:lang w:val="en-US" w:eastAsia="zh-CN" w:bidi="ar"/>
                    </w:rPr>
                    <w:t>40</w:t>
                  </w:r>
                </w:p>
              </w:tc>
              <w:tc>
                <w:tcPr>
                  <w:tcW w:w="904" w:type="dxa"/>
                  <w:tcBorders>
                    <w:tl2br w:val="nil"/>
                    <w:tr2bl w:val="nil"/>
                  </w:tcBorders>
                  <w:shd w:val="clear" w:color="auto" w:fill="auto"/>
                  <w:vAlign w:val="center"/>
                </w:tcPr>
                <w:p w14:paraId="70A5E60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910" w:type="dxa"/>
                  <w:tcBorders>
                    <w:tl2br w:val="nil"/>
                    <w:tr2bl w:val="nil"/>
                  </w:tcBorders>
                  <w:shd w:val="clear" w:color="auto" w:fill="auto"/>
                  <w:vAlign w:val="center"/>
                </w:tcPr>
                <w:p w14:paraId="22C7E52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0106FA3B">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CellMar>
                  <w:top w:w="0" w:type="dxa"/>
                  <w:left w:w="28" w:type="dxa"/>
                  <w:bottom w:w="0" w:type="dxa"/>
                  <w:right w:w="28" w:type="dxa"/>
                </w:tblCellMar>
              </w:tblPrEx>
              <w:trPr>
                <w:trHeight w:val="340" w:hRule="atLeast"/>
                <w:jc w:val="center"/>
              </w:trPr>
              <w:tc>
                <w:tcPr>
                  <w:tcW w:w="1904" w:type="dxa"/>
                  <w:gridSpan w:val="2"/>
                  <w:tcBorders>
                    <w:tl2br w:val="nil"/>
                    <w:tr2bl w:val="nil"/>
                  </w:tcBorders>
                  <w:shd w:val="clear" w:color="auto" w:fill="auto"/>
                  <w:vAlign w:val="center"/>
                </w:tcPr>
                <w:p w14:paraId="4AB018F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sz w:val="21"/>
                      <w:szCs w:val="21"/>
                      <w:highlight w:val="none"/>
                      <w:u w:val="none"/>
                      <w:lang w:val="en-US" w:eastAsia="zh-CN"/>
                    </w:rPr>
                    <w:t>是否符合</w:t>
                  </w:r>
                </w:p>
              </w:tc>
              <w:tc>
                <w:tcPr>
                  <w:tcW w:w="904" w:type="dxa"/>
                  <w:tcBorders>
                    <w:tl2br w:val="nil"/>
                    <w:tr2bl w:val="nil"/>
                  </w:tcBorders>
                  <w:shd w:val="clear" w:color="auto" w:fill="auto"/>
                  <w:vAlign w:val="center"/>
                </w:tcPr>
                <w:p w14:paraId="5AF8D5D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符合</w:t>
                  </w:r>
                </w:p>
              </w:tc>
              <w:tc>
                <w:tcPr>
                  <w:tcW w:w="904" w:type="dxa"/>
                  <w:tcBorders>
                    <w:tl2br w:val="nil"/>
                    <w:tr2bl w:val="nil"/>
                  </w:tcBorders>
                  <w:shd w:val="clear" w:color="auto" w:fill="auto"/>
                  <w:vAlign w:val="center"/>
                </w:tcPr>
                <w:p w14:paraId="7543E0B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符合</w:t>
                  </w:r>
                </w:p>
              </w:tc>
              <w:tc>
                <w:tcPr>
                  <w:tcW w:w="904" w:type="dxa"/>
                  <w:tcBorders>
                    <w:tl2br w:val="nil"/>
                    <w:tr2bl w:val="nil"/>
                  </w:tcBorders>
                  <w:shd w:val="clear" w:color="auto" w:fill="auto"/>
                  <w:vAlign w:val="center"/>
                </w:tcPr>
                <w:p w14:paraId="333EA15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符合</w:t>
                  </w:r>
                </w:p>
              </w:tc>
              <w:tc>
                <w:tcPr>
                  <w:tcW w:w="904" w:type="dxa"/>
                  <w:tcBorders>
                    <w:tl2br w:val="nil"/>
                    <w:tr2bl w:val="nil"/>
                  </w:tcBorders>
                  <w:shd w:val="clear" w:color="auto" w:fill="auto"/>
                  <w:vAlign w:val="center"/>
                </w:tcPr>
                <w:p w14:paraId="7E94924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符合</w:t>
                  </w:r>
                </w:p>
              </w:tc>
              <w:tc>
                <w:tcPr>
                  <w:tcW w:w="904" w:type="dxa"/>
                  <w:tcBorders>
                    <w:tl2br w:val="nil"/>
                    <w:tr2bl w:val="nil"/>
                  </w:tcBorders>
                  <w:shd w:val="clear" w:color="auto" w:fill="auto"/>
                  <w:vAlign w:val="center"/>
                </w:tcPr>
                <w:p w14:paraId="57F453E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符合</w:t>
                  </w:r>
                </w:p>
              </w:tc>
              <w:tc>
                <w:tcPr>
                  <w:tcW w:w="904" w:type="dxa"/>
                  <w:tcBorders>
                    <w:tl2br w:val="nil"/>
                    <w:tr2bl w:val="nil"/>
                  </w:tcBorders>
                  <w:shd w:val="clear" w:color="auto" w:fill="auto"/>
                  <w:vAlign w:val="center"/>
                </w:tcPr>
                <w:p w14:paraId="43237F0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ascii="宋体" w:hAnsi="宋体" w:eastAsia="宋体" w:cs="宋体"/>
                      <w:i w:val="0"/>
                      <w:iCs w:val="0"/>
                      <w:color w:val="0000FF"/>
                      <w:kern w:val="0"/>
                      <w:sz w:val="21"/>
                      <w:szCs w:val="21"/>
                      <w:u w:val="none"/>
                      <w:lang w:val="en-US" w:eastAsia="zh-CN" w:bidi="ar"/>
                    </w:rPr>
                    <w:t>符合</w:t>
                  </w:r>
                </w:p>
              </w:tc>
              <w:tc>
                <w:tcPr>
                  <w:tcW w:w="910" w:type="dxa"/>
                  <w:tcBorders>
                    <w:tl2br w:val="nil"/>
                    <w:tr2bl w:val="nil"/>
                  </w:tcBorders>
                  <w:shd w:val="clear" w:color="auto" w:fill="auto"/>
                  <w:vAlign w:val="center"/>
                </w:tcPr>
                <w:p w14:paraId="520B347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符合</w:t>
                  </w:r>
                </w:p>
              </w:tc>
            </w:tr>
            <w:tr w14:paraId="2B78E95C">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28" w:type="dxa"/>
                  <w:bottom w:w="0" w:type="dxa"/>
                  <w:right w:w="28" w:type="dxa"/>
                </w:tblCellMar>
              </w:tblPrEx>
              <w:trPr>
                <w:trHeight w:val="340" w:hRule="atLeast"/>
                <w:jc w:val="center"/>
              </w:trPr>
              <w:tc>
                <w:tcPr>
                  <w:tcW w:w="1904" w:type="dxa"/>
                  <w:gridSpan w:val="2"/>
                  <w:tcBorders>
                    <w:tl2br w:val="nil"/>
                    <w:tr2bl w:val="nil"/>
                  </w:tcBorders>
                  <w:shd w:val="clear" w:color="auto" w:fill="auto"/>
                  <w:vAlign w:val="center"/>
                </w:tcPr>
                <w:p w14:paraId="4B6718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eastAsia="zh-CN"/>
                    </w:rPr>
                  </w:pPr>
                  <w:r>
                    <w:rPr>
                      <w:rFonts w:hint="default" w:ascii="Times New Roman" w:hAnsi="Times New Roman" w:eastAsia="宋体" w:cs="Times New Roman"/>
                      <w:i w:val="0"/>
                      <w:iCs w:val="0"/>
                      <w:color w:val="0000FF"/>
                      <w:sz w:val="21"/>
                      <w:szCs w:val="21"/>
                      <w:highlight w:val="none"/>
                      <w:u w:val="none"/>
                      <w:lang w:val="en-US" w:eastAsia="zh-CN"/>
                    </w:rPr>
                    <w:t>标准来源</w:t>
                  </w:r>
                </w:p>
              </w:tc>
              <w:tc>
                <w:tcPr>
                  <w:tcW w:w="4520" w:type="dxa"/>
                  <w:gridSpan w:val="5"/>
                  <w:tcBorders>
                    <w:tl2br w:val="nil"/>
                    <w:tr2bl w:val="nil"/>
                  </w:tcBorders>
                  <w:shd w:val="clear" w:color="auto" w:fill="auto"/>
                  <w:vAlign w:val="center"/>
                </w:tcPr>
                <w:p w14:paraId="7C733DC1">
                  <w:pPr>
                    <w:keepNext w:val="0"/>
                    <w:keepLines w:val="0"/>
                    <w:widowControl/>
                    <w:suppressLineNumbers w:val="0"/>
                    <w:jc w:val="center"/>
                    <w:textAlignment w:val="center"/>
                    <w:rPr>
                      <w:rFonts w:hint="eastAsia" w:cs="Times New Roman"/>
                      <w:bCs/>
                      <w:color w:val="0000FF"/>
                      <w:sz w:val="21"/>
                      <w:szCs w:val="21"/>
                      <w:highlight w:val="none"/>
                      <w:lang w:val="en-US" w:eastAsia="zh-CN"/>
                    </w:rPr>
                  </w:pPr>
                  <w:r>
                    <w:rPr>
                      <w:rFonts w:hint="eastAsia" w:cs="Times New Roman"/>
                      <w:bCs/>
                      <w:color w:val="0000FF"/>
                      <w:sz w:val="21"/>
                      <w:szCs w:val="21"/>
                      <w:highlight w:val="none"/>
                      <w:lang w:val="en-US" w:eastAsia="zh-CN"/>
                    </w:rPr>
                    <w:t>李口镇污水处理厂</w:t>
                  </w:r>
                </w:p>
              </w:tc>
              <w:tc>
                <w:tcPr>
                  <w:tcW w:w="904" w:type="dxa"/>
                  <w:tcBorders>
                    <w:tl2br w:val="nil"/>
                    <w:tr2bl w:val="nil"/>
                  </w:tcBorders>
                  <w:shd w:val="clear" w:color="auto" w:fill="auto"/>
                  <w:vAlign w:val="center"/>
                </w:tcPr>
                <w:p w14:paraId="3F7873C7">
                  <w:pPr>
                    <w:keepNext w:val="0"/>
                    <w:keepLines w:val="0"/>
                    <w:widowControl/>
                    <w:suppressLineNumbers w:val="0"/>
                    <w:jc w:val="center"/>
                    <w:textAlignment w:val="center"/>
                    <w:rPr>
                      <w:rFonts w:hint="eastAsia" w:cs="Times New Roman"/>
                      <w:bCs/>
                      <w:color w:val="0000FF"/>
                      <w:sz w:val="21"/>
                      <w:szCs w:val="21"/>
                      <w:highlight w:val="none"/>
                      <w:lang w:val="en-US" w:eastAsia="zh-CN"/>
                    </w:rPr>
                  </w:pPr>
                  <w:r>
                    <w:rPr>
                      <w:rFonts w:hint="eastAsia"/>
                      <w:color w:val="0000FF"/>
                      <w:sz w:val="21"/>
                      <w:szCs w:val="21"/>
                      <w:highlight w:val="none"/>
                      <w:lang w:val="en-US" w:eastAsia="zh-CN"/>
                    </w:rPr>
                    <w:t>《污水排入城镇下水道水质标准》（GB/T31962-2015）</w:t>
                  </w:r>
                </w:p>
              </w:tc>
              <w:tc>
                <w:tcPr>
                  <w:tcW w:w="910" w:type="dxa"/>
                  <w:tcBorders>
                    <w:tl2br w:val="nil"/>
                    <w:tr2bl w:val="nil"/>
                  </w:tcBorders>
                  <w:shd w:val="clear" w:color="auto" w:fill="auto"/>
                  <w:vAlign w:val="center"/>
                </w:tcPr>
                <w:p w14:paraId="305F21C6">
                  <w:pPr>
                    <w:keepNext w:val="0"/>
                    <w:keepLines w:val="0"/>
                    <w:widowControl/>
                    <w:suppressLineNumbers w:val="0"/>
                    <w:jc w:val="center"/>
                    <w:textAlignment w:val="center"/>
                    <w:rPr>
                      <w:rFonts w:hint="default" w:ascii="Times New Roman" w:hAnsi="Times New Roman" w:cs="Times New Roman"/>
                      <w:bCs/>
                      <w:color w:val="0000FF"/>
                      <w:sz w:val="21"/>
                      <w:szCs w:val="21"/>
                      <w:highlight w:val="none"/>
                      <w:lang w:val="en-US" w:eastAsia="zh-CN"/>
                    </w:rPr>
                  </w:pPr>
                  <w:r>
                    <w:rPr>
                      <w:rFonts w:hint="eastAsia"/>
                      <w:bCs/>
                      <w:color w:val="0000FF"/>
                      <w:sz w:val="21"/>
                      <w:szCs w:val="21"/>
                      <w:highlight w:val="none"/>
                      <w:lang w:val="en-US" w:eastAsia="zh-CN"/>
                    </w:rPr>
                    <w:t>《城镇污水处理厂污染物排放标准》（DB32/4440-2022）</w:t>
                  </w:r>
                </w:p>
              </w:tc>
            </w:tr>
          </w:tbl>
          <w:p w14:paraId="5A2E6C6A">
            <w:pPr>
              <w:keepNext w:val="0"/>
              <w:keepLines w:val="0"/>
              <w:suppressLineNumbers w:val="0"/>
              <w:spacing w:before="0" w:beforeAutospacing="0" w:after="0" w:afterAutospacing="0" w:line="360" w:lineRule="auto"/>
              <w:ind w:left="0" w:right="0" w:firstLine="420" w:firstLineChars="200"/>
              <w:rPr>
                <w:rFonts w:hint="eastAsia"/>
                <w:b w:val="0"/>
                <w:bCs w:val="0"/>
                <w:color w:val="auto"/>
                <w:sz w:val="21"/>
                <w:szCs w:val="21"/>
                <w:highlight w:val="none"/>
                <w:lang w:val="en-US" w:eastAsia="zh-CN"/>
              </w:rPr>
            </w:pPr>
            <w:r>
              <w:rPr>
                <w:rFonts w:hint="eastAsia"/>
                <w:b w:val="0"/>
                <w:bCs w:val="0"/>
                <w:color w:val="auto"/>
                <w:szCs w:val="21"/>
                <w:highlight w:val="none"/>
                <w:lang w:val="en-US" w:eastAsia="zh-CN"/>
              </w:rPr>
              <w:t>根据现有项目废水排口监测数据表4-16，现有项目喷塑前处理废水经</w:t>
            </w:r>
            <w:r>
              <w:rPr>
                <w:rFonts w:hint="eastAsia" w:eastAsia="宋体"/>
                <w:color w:val="auto"/>
                <w:sz w:val="21"/>
                <w:szCs w:val="21"/>
              </w:rPr>
              <w:t>隔油+中和+絮凝+斜管沉淀+</w:t>
            </w:r>
            <w:r>
              <w:rPr>
                <w:rFonts w:hint="eastAsia"/>
                <w:color w:val="auto"/>
                <w:sz w:val="21"/>
                <w:szCs w:val="21"/>
                <w:lang w:eastAsia="zh-CN"/>
              </w:rPr>
              <w:t>过滤器</w:t>
            </w:r>
            <w:r>
              <w:rPr>
                <w:rFonts w:hint="eastAsia" w:eastAsia="宋体"/>
                <w:color w:val="auto"/>
                <w:sz w:val="21"/>
                <w:szCs w:val="21"/>
              </w:rPr>
              <w:t>处理</w:t>
            </w:r>
            <w:r>
              <w:rPr>
                <w:rFonts w:hint="eastAsia" w:ascii="Times New Roman" w:hAnsi="Times New Roman" w:eastAsia="宋体" w:cs="Times New Roman"/>
                <w:color w:val="auto"/>
                <w:sz w:val="21"/>
                <w:szCs w:val="21"/>
                <w:lang w:val="en-US" w:eastAsia="zh-CN"/>
              </w:rPr>
              <w:t>工艺</w:t>
            </w:r>
            <w:r>
              <w:rPr>
                <w:rFonts w:hint="eastAsia"/>
                <w:b w:val="0"/>
                <w:bCs w:val="0"/>
                <w:color w:val="auto"/>
                <w:szCs w:val="21"/>
                <w:highlight w:val="none"/>
                <w:lang w:val="en-US" w:eastAsia="zh-CN"/>
              </w:rPr>
              <w:t>处理后满足</w:t>
            </w:r>
            <w:r>
              <w:rPr>
                <w:rFonts w:hint="eastAsia"/>
                <w:b w:val="0"/>
                <w:bCs w:val="0"/>
                <w:color w:val="auto"/>
                <w:sz w:val="21"/>
                <w:szCs w:val="21"/>
                <w:highlight w:val="none"/>
                <w:lang w:val="en-US" w:eastAsia="zh-CN"/>
              </w:rPr>
              <w:t>李口镇污水处理厂接管标准要求，故扩建项目生产废水采用</w:t>
            </w:r>
            <w:r>
              <w:rPr>
                <w:rFonts w:hint="eastAsia" w:eastAsia="宋体"/>
                <w:color w:val="auto"/>
                <w:sz w:val="21"/>
                <w:szCs w:val="21"/>
              </w:rPr>
              <w:t>隔油+中和+絮凝+斜管沉淀+</w:t>
            </w:r>
            <w:r>
              <w:rPr>
                <w:rFonts w:hint="eastAsia"/>
                <w:color w:val="auto"/>
                <w:sz w:val="21"/>
                <w:szCs w:val="21"/>
                <w:lang w:eastAsia="zh-CN"/>
              </w:rPr>
              <w:t>过滤器</w:t>
            </w:r>
            <w:r>
              <w:rPr>
                <w:rFonts w:hint="eastAsia" w:ascii="Times New Roman" w:hAnsi="Times New Roman" w:eastAsia="宋体" w:cs="Times New Roman"/>
                <w:color w:val="auto"/>
                <w:sz w:val="21"/>
                <w:szCs w:val="21"/>
                <w:lang w:val="en-US" w:eastAsia="zh-CN"/>
              </w:rPr>
              <w:t>工艺</w:t>
            </w:r>
            <w:r>
              <w:rPr>
                <w:rFonts w:hint="eastAsia"/>
                <w:b w:val="0"/>
                <w:bCs w:val="0"/>
                <w:color w:val="auto"/>
                <w:szCs w:val="21"/>
                <w:highlight w:val="none"/>
                <w:lang w:val="en-US" w:eastAsia="zh-CN"/>
              </w:rPr>
              <w:t>处理可行</w:t>
            </w:r>
            <w:r>
              <w:rPr>
                <w:rFonts w:hint="eastAsia"/>
                <w:b w:val="0"/>
                <w:bCs w:val="0"/>
                <w:color w:val="auto"/>
                <w:sz w:val="21"/>
                <w:szCs w:val="21"/>
                <w:highlight w:val="none"/>
                <w:lang w:val="en-US" w:eastAsia="zh-CN"/>
              </w:rPr>
              <w:t>。</w:t>
            </w:r>
          </w:p>
          <w:p w14:paraId="1A721E13">
            <w:pPr>
              <w:keepNext w:val="0"/>
              <w:keepLines w:val="0"/>
              <w:suppressLineNumbers w:val="0"/>
              <w:spacing w:before="0" w:beforeAutospacing="0" w:after="0" w:afterAutospacing="0" w:line="360" w:lineRule="auto"/>
              <w:ind w:left="0" w:right="0" w:firstLine="422" w:firstLineChars="200"/>
              <w:rPr>
                <w:color w:val="auto"/>
                <w:szCs w:val="21"/>
                <w:highlight w:val="none"/>
              </w:rPr>
            </w:pPr>
            <w:r>
              <w:rPr>
                <w:rFonts w:hint="eastAsia"/>
                <w:b/>
                <w:bCs/>
                <w:color w:val="auto"/>
                <w:szCs w:val="21"/>
                <w:highlight w:val="none"/>
              </w:rPr>
              <w:t>2.3依托污水处理厂的环境可行性评价</w:t>
            </w:r>
          </w:p>
          <w:p w14:paraId="65F1C466">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①污水处理厂概况</w:t>
            </w:r>
          </w:p>
          <w:p w14:paraId="60C61352">
            <w:pPr>
              <w:keepNext w:val="0"/>
              <w:keepLines w:val="0"/>
              <w:suppressLineNumbers w:val="0"/>
              <w:adjustRightInd w:val="0"/>
              <w:snapToGrid w:val="0"/>
              <w:spacing w:before="0" w:beforeAutospacing="0" w:after="0" w:afterAutospacing="0" w:line="360" w:lineRule="auto"/>
              <w:ind w:left="0" w:right="0" w:firstLine="420" w:firstLineChars="200"/>
              <w:rPr>
                <w:bCs/>
                <w:szCs w:val="21"/>
              </w:rPr>
            </w:pPr>
            <w:r>
              <w:rPr>
                <w:rFonts w:hint="eastAsia"/>
                <w:bCs/>
                <w:szCs w:val="21"/>
              </w:rPr>
              <w:t>李口镇污水处理厂位于</w:t>
            </w:r>
            <w:r>
              <w:t>李口镇东北、众裴路与南京路交叉口西侧，</w:t>
            </w:r>
            <w:r>
              <w:rPr>
                <w:rFonts w:hint="eastAsia"/>
              </w:rPr>
              <w:t>建设规模2</w:t>
            </w:r>
            <w:r>
              <w:t>000m</w:t>
            </w:r>
            <w:r>
              <w:rPr>
                <w:vertAlign w:val="superscript"/>
              </w:rPr>
              <w:t>3</w:t>
            </w:r>
            <w:r>
              <w:t>/d</w:t>
            </w:r>
            <w:r>
              <w:rPr>
                <w:rFonts w:hint="eastAsia"/>
              </w:rPr>
              <w:t>，</w:t>
            </w:r>
            <w:r>
              <w:t>现状处理规模1200m</w:t>
            </w:r>
            <w:r>
              <w:rPr>
                <w:vertAlign w:val="superscript"/>
              </w:rPr>
              <w:t>3</w:t>
            </w:r>
            <w:r>
              <w:t>/d，远期污水处理量设计为1万m</w:t>
            </w:r>
            <w:r>
              <w:rPr>
                <w:vertAlign w:val="superscript"/>
              </w:rPr>
              <w:t>3</w:t>
            </w:r>
            <w:r>
              <w:t>/d</w:t>
            </w:r>
            <w:r>
              <w:rPr>
                <w:rFonts w:hint="eastAsia"/>
              </w:rPr>
              <w:t>，</w:t>
            </w:r>
            <w:r>
              <w:t>尾水</w:t>
            </w:r>
            <w:r>
              <w:rPr>
                <w:rFonts w:hint="eastAsia"/>
              </w:rPr>
              <w:t>达</w:t>
            </w:r>
            <w:r>
              <w:rPr>
                <w:rFonts w:hint="eastAsia"/>
                <w:bCs/>
                <w:szCs w:val="21"/>
              </w:rPr>
              <w:t>《城镇污水处理厂污染物排放标准》（GB18918-2002）</w:t>
            </w:r>
            <w:r>
              <w:rPr>
                <w:rFonts w:hint="eastAsia"/>
              </w:rPr>
              <w:t>一级A标准后</w:t>
            </w:r>
            <w:r>
              <w:t>排入其葛河。</w:t>
            </w:r>
            <w:r>
              <w:rPr>
                <w:rFonts w:hint="eastAsia"/>
                <w:bCs/>
                <w:szCs w:val="21"/>
              </w:rPr>
              <w:t>李口镇污水处理厂污水处理工艺流程见图4-</w:t>
            </w:r>
            <w:r>
              <w:rPr>
                <w:rFonts w:hint="eastAsia"/>
                <w:bCs/>
                <w:szCs w:val="21"/>
                <w:lang w:val="en-US" w:eastAsia="zh-CN"/>
              </w:rPr>
              <w:t>3</w:t>
            </w:r>
            <w:r>
              <w:rPr>
                <w:rFonts w:hint="eastAsia"/>
                <w:bCs/>
                <w:szCs w:val="21"/>
              </w:rPr>
              <w:t>。</w:t>
            </w:r>
          </w:p>
          <w:p w14:paraId="0B42D8DF">
            <w:pPr>
              <w:keepNext w:val="0"/>
              <w:keepLines w:val="0"/>
              <w:suppressLineNumbers w:val="0"/>
              <w:adjustRightInd w:val="0"/>
              <w:snapToGrid w:val="0"/>
              <w:spacing w:before="0" w:beforeAutospacing="0" w:after="0" w:afterAutospacing="0" w:line="360" w:lineRule="auto"/>
              <w:ind w:left="0" w:right="0"/>
              <w:jc w:val="center"/>
              <w:rPr>
                <w:bCs/>
                <w:spacing w:val="-10"/>
                <w:szCs w:val="21"/>
              </w:rPr>
            </w:pPr>
            <w:r>
              <w:rPr>
                <w:rFonts w:hint="eastAsia"/>
                <w:bCs/>
                <w:spacing w:val="-10"/>
                <w:szCs w:val="21"/>
              </w:rPr>
              <w:drawing>
                <wp:inline distT="0" distB="0" distL="114300" distR="114300">
                  <wp:extent cx="4928870" cy="1068705"/>
                  <wp:effectExtent l="0" t="0" r="5080" b="17145"/>
                  <wp:docPr id="27" name="图片 6" descr="污水处理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污水处理工艺"/>
                          <pic:cNvPicPr>
                            <a:picLocks noChangeAspect="1"/>
                          </pic:cNvPicPr>
                        </pic:nvPicPr>
                        <pic:blipFill>
                          <a:blip r:embed="rId20"/>
                          <a:stretch>
                            <a:fillRect/>
                          </a:stretch>
                        </pic:blipFill>
                        <pic:spPr>
                          <a:xfrm>
                            <a:off x="0" y="0"/>
                            <a:ext cx="4928870" cy="1068705"/>
                          </a:xfrm>
                          <a:prstGeom prst="rect">
                            <a:avLst/>
                          </a:prstGeom>
                          <a:noFill/>
                          <a:ln>
                            <a:noFill/>
                          </a:ln>
                        </pic:spPr>
                      </pic:pic>
                    </a:graphicData>
                  </a:graphic>
                </wp:inline>
              </w:drawing>
            </w:r>
          </w:p>
          <w:p w14:paraId="0B0534F2">
            <w:pPr>
              <w:keepNext w:val="0"/>
              <w:keepLines w:val="0"/>
              <w:suppressLineNumbers w:val="0"/>
              <w:adjustRightInd w:val="0"/>
              <w:snapToGrid w:val="0"/>
              <w:spacing w:before="0" w:beforeAutospacing="0" w:after="0" w:afterAutospacing="0" w:line="360" w:lineRule="auto"/>
              <w:ind w:left="0" w:right="0"/>
              <w:jc w:val="center"/>
              <w:rPr>
                <w:rFonts w:hint="eastAsia"/>
                <w:color w:val="auto"/>
                <w:szCs w:val="21"/>
                <w:highlight w:val="none"/>
                <w:lang w:eastAsia="zh-CN"/>
              </w:rPr>
            </w:pPr>
            <w:r>
              <w:rPr>
                <w:rFonts w:hint="eastAsia"/>
                <w:b/>
                <w:bCs/>
                <w:spacing w:val="-10"/>
                <w:szCs w:val="21"/>
              </w:rPr>
              <w:t>图4-</w:t>
            </w:r>
            <w:r>
              <w:rPr>
                <w:rFonts w:hint="eastAsia"/>
                <w:b/>
                <w:bCs/>
                <w:spacing w:val="-10"/>
                <w:szCs w:val="21"/>
                <w:lang w:val="en-US" w:eastAsia="zh-CN"/>
              </w:rPr>
              <w:t>3</w:t>
            </w:r>
            <w:r>
              <w:rPr>
                <w:rFonts w:hint="eastAsia"/>
                <w:b/>
                <w:bCs/>
                <w:spacing w:val="-10"/>
                <w:szCs w:val="21"/>
              </w:rPr>
              <w:t xml:space="preserve"> 李口镇污水处理厂工艺流程图</w:t>
            </w:r>
          </w:p>
          <w:p w14:paraId="61FE6F04">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color w:val="auto"/>
                <w:szCs w:val="21"/>
                <w:highlight w:val="none"/>
              </w:rPr>
              <w:t>②水质接管可行性分析</w:t>
            </w:r>
          </w:p>
          <w:p w14:paraId="71D3FCA3">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color w:val="auto"/>
                <w:szCs w:val="21"/>
                <w:highlight w:val="none"/>
              </w:rPr>
              <w:t>本项目</w:t>
            </w:r>
            <w:r>
              <w:rPr>
                <w:rFonts w:hint="eastAsia"/>
                <w:color w:val="auto"/>
                <w:szCs w:val="21"/>
                <w:highlight w:val="none"/>
                <w:lang w:val="en-US" w:eastAsia="zh-CN"/>
              </w:rPr>
              <w:t>尾水</w:t>
            </w:r>
            <w:r>
              <w:rPr>
                <w:color w:val="auto"/>
                <w:szCs w:val="21"/>
                <w:highlight w:val="none"/>
              </w:rPr>
              <w:t>符合</w:t>
            </w:r>
            <w:r>
              <w:rPr>
                <w:rFonts w:hint="eastAsia"/>
                <w:color w:val="auto"/>
                <w:szCs w:val="21"/>
                <w:highlight w:val="none"/>
                <w:lang w:eastAsia="zh-CN"/>
              </w:rPr>
              <w:t>李口镇污水处理厂</w:t>
            </w:r>
            <w:r>
              <w:rPr>
                <w:color w:val="auto"/>
                <w:szCs w:val="21"/>
                <w:highlight w:val="none"/>
              </w:rPr>
              <w:t>的接管要求，不含可能对废水处理造成影响的有毒有害物质，不会对污水处理厂生物处理系统造成冲击，</w:t>
            </w:r>
            <w:r>
              <w:rPr>
                <w:rFonts w:hint="eastAsia"/>
                <w:color w:val="auto"/>
                <w:szCs w:val="21"/>
                <w:highlight w:val="none"/>
                <w:lang w:eastAsia="zh-CN"/>
              </w:rPr>
              <w:t>李口镇污水处理厂</w:t>
            </w:r>
            <w:r>
              <w:rPr>
                <w:color w:val="auto"/>
                <w:szCs w:val="21"/>
                <w:highlight w:val="none"/>
              </w:rPr>
              <w:t>完全有能力接纳本项目排放的废水，并处理达标。</w:t>
            </w:r>
          </w:p>
          <w:p w14:paraId="441B1B6E">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color w:val="auto"/>
                <w:szCs w:val="21"/>
                <w:highlight w:val="none"/>
              </w:rPr>
              <w:t>③水量接管可行性</w:t>
            </w:r>
          </w:p>
          <w:p w14:paraId="3F402AF3">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lang w:eastAsia="zh-CN"/>
              </w:rPr>
              <w:t>李口镇污水处理厂</w:t>
            </w:r>
            <w:r>
              <w:rPr>
                <w:rFonts w:hint="eastAsia"/>
                <w:color w:val="auto"/>
                <w:szCs w:val="21"/>
                <w:highlight w:val="none"/>
                <w:lang w:val="en-US" w:eastAsia="zh-CN"/>
              </w:rPr>
              <w:t>剩余处理能力为800m</w:t>
            </w:r>
            <w:r>
              <w:rPr>
                <w:rFonts w:hint="eastAsia"/>
                <w:color w:val="auto"/>
                <w:szCs w:val="21"/>
                <w:highlight w:val="none"/>
                <w:vertAlign w:val="superscript"/>
                <w:lang w:val="en-US" w:eastAsia="zh-CN"/>
              </w:rPr>
              <w:t>3</w:t>
            </w:r>
            <w:r>
              <w:rPr>
                <w:rFonts w:hint="eastAsia"/>
                <w:color w:val="auto"/>
                <w:szCs w:val="21"/>
                <w:highlight w:val="none"/>
              </w:rPr>
              <w:t>/d</w:t>
            </w:r>
            <w:r>
              <w:rPr>
                <w:color w:val="auto"/>
                <w:szCs w:val="21"/>
                <w:highlight w:val="none"/>
              </w:rPr>
              <w:t>；本项目废水排放量</w:t>
            </w:r>
            <w:r>
              <w:rPr>
                <w:rFonts w:hint="eastAsia"/>
                <w:color w:val="auto"/>
                <w:szCs w:val="21"/>
                <w:highlight w:val="none"/>
                <w:lang w:val="en-US" w:eastAsia="zh-CN"/>
              </w:rPr>
              <w:t>1082</w:t>
            </w:r>
            <w:r>
              <w:rPr>
                <w:rFonts w:hint="eastAsia"/>
                <w:color w:val="auto"/>
                <w:szCs w:val="21"/>
                <w:highlight w:val="none"/>
              </w:rPr>
              <w:t>m</w:t>
            </w:r>
            <w:r>
              <w:rPr>
                <w:rFonts w:hint="eastAsia"/>
                <w:color w:val="auto"/>
                <w:szCs w:val="21"/>
                <w:highlight w:val="none"/>
                <w:vertAlign w:val="superscript"/>
              </w:rPr>
              <w:t>3</w:t>
            </w:r>
            <w:r>
              <w:rPr>
                <w:color w:val="auto"/>
                <w:szCs w:val="21"/>
                <w:highlight w:val="none"/>
              </w:rPr>
              <w:t>/a（合</w:t>
            </w:r>
            <w:r>
              <w:rPr>
                <w:rFonts w:hint="eastAsia"/>
                <w:color w:val="auto"/>
                <w:szCs w:val="21"/>
                <w:highlight w:val="none"/>
                <w:lang w:val="en-US" w:eastAsia="zh-CN"/>
              </w:rPr>
              <w:t>3.6</w:t>
            </w:r>
            <w:r>
              <w:rPr>
                <w:rFonts w:hint="eastAsia"/>
                <w:color w:val="auto"/>
                <w:szCs w:val="21"/>
                <w:highlight w:val="none"/>
              </w:rPr>
              <w:t>m</w:t>
            </w:r>
            <w:r>
              <w:rPr>
                <w:rFonts w:hint="eastAsia"/>
                <w:color w:val="auto"/>
                <w:szCs w:val="21"/>
                <w:highlight w:val="none"/>
                <w:vertAlign w:val="superscript"/>
              </w:rPr>
              <w:t>3</w:t>
            </w:r>
            <w:r>
              <w:rPr>
                <w:color w:val="auto"/>
                <w:szCs w:val="21"/>
                <w:highlight w:val="none"/>
              </w:rPr>
              <w:t>/d），仅占</w:t>
            </w:r>
            <w:r>
              <w:rPr>
                <w:rFonts w:hint="eastAsia"/>
                <w:color w:val="auto"/>
                <w:szCs w:val="21"/>
                <w:highlight w:val="none"/>
                <w:lang w:eastAsia="zh-CN"/>
              </w:rPr>
              <w:t>李口镇污水处理厂</w:t>
            </w:r>
            <w:r>
              <w:rPr>
                <w:color w:val="auto"/>
                <w:szCs w:val="21"/>
                <w:highlight w:val="none"/>
              </w:rPr>
              <w:t>处理能力的0.</w:t>
            </w:r>
            <w:r>
              <w:rPr>
                <w:rFonts w:hint="eastAsia"/>
                <w:color w:val="auto"/>
                <w:szCs w:val="21"/>
                <w:highlight w:val="none"/>
                <w:lang w:val="en-US" w:eastAsia="zh-CN"/>
              </w:rPr>
              <w:t>18</w:t>
            </w:r>
            <w:r>
              <w:rPr>
                <w:color w:val="auto"/>
                <w:szCs w:val="21"/>
                <w:highlight w:val="none"/>
              </w:rPr>
              <w:t>%，所以本项目废水水量接管可行。</w:t>
            </w:r>
          </w:p>
          <w:p w14:paraId="2B43CE2C">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color w:val="auto"/>
                <w:szCs w:val="21"/>
                <w:highlight w:val="none"/>
              </w:rPr>
              <w:t>④管网接管可行性</w:t>
            </w:r>
          </w:p>
          <w:p w14:paraId="2DBEE885">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lang w:val="en-US" w:eastAsia="zh-CN"/>
              </w:rPr>
              <w:t>本项目所在地</w:t>
            </w:r>
            <w:r>
              <w:rPr>
                <w:color w:val="auto"/>
                <w:szCs w:val="21"/>
                <w:highlight w:val="none"/>
              </w:rPr>
              <w:t>属于</w:t>
            </w:r>
            <w:r>
              <w:rPr>
                <w:rFonts w:hint="eastAsia"/>
                <w:color w:val="auto"/>
                <w:szCs w:val="21"/>
                <w:highlight w:val="none"/>
                <w:lang w:eastAsia="zh-CN"/>
              </w:rPr>
              <w:t>李口镇污水处理厂</w:t>
            </w:r>
            <w:r>
              <w:rPr>
                <w:color w:val="auto"/>
                <w:szCs w:val="21"/>
                <w:highlight w:val="none"/>
              </w:rPr>
              <w:t>接管范围内，废水管网已铺设到位，项目废水管网接管可行。</w:t>
            </w:r>
          </w:p>
          <w:p w14:paraId="18546838">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综上，本项目废水可以接管至</w:t>
            </w:r>
            <w:r>
              <w:rPr>
                <w:rFonts w:hint="eastAsia"/>
                <w:color w:val="auto"/>
                <w:szCs w:val="21"/>
                <w:highlight w:val="none"/>
                <w:lang w:eastAsia="zh-CN"/>
              </w:rPr>
              <w:t>李口镇污水处理厂</w:t>
            </w:r>
            <w:r>
              <w:rPr>
                <w:rFonts w:hint="eastAsia"/>
                <w:color w:val="auto"/>
                <w:szCs w:val="21"/>
                <w:highlight w:val="none"/>
              </w:rPr>
              <w:t>进一步处理，不会影响污水处理厂的正常运行。污水处理厂尾水达标排入纳污河流，对地表水环境影响较小。因此，本项目废水处理依托</w:t>
            </w:r>
            <w:r>
              <w:rPr>
                <w:rFonts w:hint="eastAsia"/>
                <w:color w:val="auto"/>
                <w:szCs w:val="21"/>
                <w:highlight w:val="none"/>
                <w:lang w:eastAsia="zh-CN"/>
              </w:rPr>
              <w:t>李口镇污水处理厂</w:t>
            </w:r>
            <w:r>
              <w:rPr>
                <w:rFonts w:hint="eastAsia"/>
                <w:color w:val="auto"/>
                <w:szCs w:val="21"/>
                <w:highlight w:val="none"/>
              </w:rPr>
              <w:t>可行。</w:t>
            </w:r>
          </w:p>
          <w:p w14:paraId="09FA2D98">
            <w:pPr>
              <w:keepNext w:val="0"/>
              <w:keepLines w:val="0"/>
              <w:suppressLineNumbers w:val="0"/>
              <w:spacing w:before="0" w:beforeAutospacing="0" w:after="0" w:afterAutospacing="0" w:line="360" w:lineRule="auto"/>
              <w:ind w:left="0" w:right="0" w:firstLine="422" w:firstLineChars="200"/>
              <w:rPr>
                <w:color w:val="auto"/>
                <w:szCs w:val="21"/>
                <w:highlight w:val="none"/>
              </w:rPr>
            </w:pPr>
            <w:r>
              <w:rPr>
                <w:rFonts w:hint="eastAsia"/>
                <w:b/>
                <w:bCs/>
                <w:color w:val="auto"/>
                <w:szCs w:val="21"/>
                <w:highlight w:val="none"/>
              </w:rPr>
              <w:t>2.4废水排放情况</w:t>
            </w:r>
          </w:p>
          <w:p w14:paraId="1E695F36">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本项目废水类别、污染物及污染治理设施信息表见表4-</w:t>
            </w:r>
            <w:r>
              <w:rPr>
                <w:rFonts w:hint="eastAsia"/>
                <w:color w:val="auto"/>
                <w:szCs w:val="21"/>
                <w:highlight w:val="none"/>
                <w:lang w:val="en-US" w:eastAsia="zh-CN"/>
              </w:rPr>
              <w:t>21</w:t>
            </w:r>
            <w:r>
              <w:rPr>
                <w:rFonts w:hint="eastAsia"/>
                <w:color w:val="auto"/>
                <w:szCs w:val="21"/>
                <w:highlight w:val="none"/>
              </w:rPr>
              <w:t>。</w:t>
            </w:r>
          </w:p>
          <w:p w14:paraId="3E65BECF">
            <w:pPr>
              <w:keepNext w:val="0"/>
              <w:keepLines w:val="0"/>
              <w:suppressLineNumbers w:val="0"/>
              <w:spacing w:before="0" w:beforeAutospacing="0" w:after="0" w:afterAutospacing="0" w:line="360" w:lineRule="auto"/>
              <w:ind w:left="0" w:right="0"/>
              <w:jc w:val="center"/>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lang w:val="en-US" w:eastAsia="zh-CN"/>
              </w:rPr>
              <w:t>21</w:t>
            </w:r>
            <w:r>
              <w:rPr>
                <w:rFonts w:hint="eastAsia"/>
                <w:b/>
                <w:bCs/>
                <w:color w:val="auto"/>
                <w:szCs w:val="21"/>
                <w:highlight w:val="none"/>
              </w:rPr>
              <w:t xml:space="preserve"> 废水类别、污染物及污染治理设施信息表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93"/>
              <w:gridCol w:w="736"/>
              <w:gridCol w:w="916"/>
              <w:gridCol w:w="689"/>
              <w:gridCol w:w="1081"/>
              <w:gridCol w:w="781"/>
              <w:gridCol w:w="750"/>
              <w:gridCol w:w="827"/>
              <w:gridCol w:w="670"/>
              <w:gridCol w:w="745"/>
              <w:gridCol w:w="750"/>
            </w:tblGrid>
            <w:tr w14:paraId="3010E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0" w:hRule="atLeast"/>
                <w:jc w:val="center"/>
              </w:trPr>
              <w:tc>
                <w:tcPr>
                  <w:tcW w:w="177" w:type="pct"/>
                  <w:vMerge w:val="restart"/>
                  <w:vAlign w:val="center"/>
                </w:tcPr>
                <w:p w14:paraId="43BA7287">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序号</w:t>
                  </w:r>
                </w:p>
              </w:tc>
              <w:tc>
                <w:tcPr>
                  <w:tcW w:w="446" w:type="pct"/>
                  <w:vMerge w:val="restart"/>
                  <w:vAlign w:val="center"/>
                </w:tcPr>
                <w:p w14:paraId="5D85D726">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废水类别</w:t>
                  </w:r>
                </w:p>
              </w:tc>
              <w:tc>
                <w:tcPr>
                  <w:tcW w:w="555" w:type="pct"/>
                  <w:vMerge w:val="restart"/>
                  <w:vAlign w:val="center"/>
                </w:tcPr>
                <w:p w14:paraId="385452AD">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污染物种类</w:t>
                  </w:r>
                </w:p>
              </w:tc>
              <w:tc>
                <w:tcPr>
                  <w:tcW w:w="418" w:type="pct"/>
                  <w:vMerge w:val="restart"/>
                  <w:vAlign w:val="center"/>
                </w:tcPr>
                <w:p w14:paraId="252966A1">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排放去向</w:t>
                  </w:r>
                </w:p>
              </w:tc>
              <w:tc>
                <w:tcPr>
                  <w:tcW w:w="656" w:type="pct"/>
                  <w:vMerge w:val="restart"/>
                  <w:vAlign w:val="center"/>
                </w:tcPr>
                <w:p w14:paraId="27051771">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排放规律</w:t>
                  </w:r>
                </w:p>
              </w:tc>
              <w:tc>
                <w:tcPr>
                  <w:tcW w:w="1431" w:type="pct"/>
                  <w:gridSpan w:val="3"/>
                  <w:vAlign w:val="center"/>
                </w:tcPr>
                <w:p w14:paraId="135A88E8">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污染防治设施</w:t>
                  </w:r>
                </w:p>
              </w:tc>
              <w:tc>
                <w:tcPr>
                  <w:tcW w:w="406" w:type="pct"/>
                  <w:vMerge w:val="restart"/>
                  <w:vAlign w:val="center"/>
                </w:tcPr>
                <w:p w14:paraId="0A53B1AC">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排放口编号</w:t>
                  </w:r>
                </w:p>
              </w:tc>
              <w:tc>
                <w:tcPr>
                  <w:tcW w:w="452" w:type="pct"/>
                  <w:vMerge w:val="restart"/>
                  <w:tcMar>
                    <w:left w:w="0" w:type="dxa"/>
                    <w:right w:w="0" w:type="dxa"/>
                  </w:tcMar>
                  <w:vAlign w:val="center"/>
                </w:tcPr>
                <w:p w14:paraId="5B034124">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排放口设置是否符合要求</w:t>
                  </w:r>
                </w:p>
              </w:tc>
              <w:tc>
                <w:tcPr>
                  <w:tcW w:w="455" w:type="pct"/>
                  <w:vMerge w:val="restart"/>
                  <w:vAlign w:val="center"/>
                </w:tcPr>
                <w:p w14:paraId="7C50C744">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排放口</w:t>
                  </w:r>
                </w:p>
              </w:tc>
            </w:tr>
            <w:tr w14:paraId="45A18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77" w:type="pct"/>
                  <w:vMerge w:val="continue"/>
                  <w:vAlign w:val="center"/>
                </w:tcPr>
                <w:p w14:paraId="64C38844">
                  <w:pPr>
                    <w:keepNext w:val="0"/>
                    <w:keepLines w:val="0"/>
                    <w:suppressLineNumbers w:val="0"/>
                    <w:spacing w:before="0" w:beforeAutospacing="0" w:after="0" w:afterAutospacing="0"/>
                    <w:ind w:left="0" w:right="0"/>
                    <w:jc w:val="center"/>
                    <w:rPr>
                      <w:b/>
                      <w:bCs/>
                      <w:color w:val="auto"/>
                      <w:szCs w:val="21"/>
                      <w:highlight w:val="none"/>
                    </w:rPr>
                  </w:pPr>
                </w:p>
              </w:tc>
              <w:tc>
                <w:tcPr>
                  <w:tcW w:w="446" w:type="pct"/>
                  <w:vMerge w:val="continue"/>
                  <w:vAlign w:val="center"/>
                </w:tcPr>
                <w:p w14:paraId="224C2AC8">
                  <w:pPr>
                    <w:keepNext w:val="0"/>
                    <w:keepLines w:val="0"/>
                    <w:suppressLineNumbers w:val="0"/>
                    <w:spacing w:before="0" w:beforeAutospacing="0" w:after="0" w:afterAutospacing="0"/>
                    <w:ind w:left="0" w:right="0"/>
                    <w:jc w:val="center"/>
                    <w:rPr>
                      <w:b/>
                      <w:bCs/>
                      <w:color w:val="auto"/>
                      <w:szCs w:val="21"/>
                      <w:highlight w:val="none"/>
                    </w:rPr>
                  </w:pPr>
                </w:p>
              </w:tc>
              <w:tc>
                <w:tcPr>
                  <w:tcW w:w="555" w:type="pct"/>
                  <w:vMerge w:val="continue"/>
                  <w:vAlign w:val="center"/>
                </w:tcPr>
                <w:p w14:paraId="285C623B">
                  <w:pPr>
                    <w:keepNext w:val="0"/>
                    <w:keepLines w:val="0"/>
                    <w:suppressLineNumbers w:val="0"/>
                    <w:spacing w:before="0" w:beforeAutospacing="0" w:after="0" w:afterAutospacing="0"/>
                    <w:ind w:left="0" w:right="0"/>
                    <w:jc w:val="center"/>
                    <w:rPr>
                      <w:b/>
                      <w:bCs/>
                      <w:color w:val="auto"/>
                      <w:szCs w:val="21"/>
                      <w:highlight w:val="none"/>
                    </w:rPr>
                  </w:pPr>
                </w:p>
              </w:tc>
              <w:tc>
                <w:tcPr>
                  <w:tcW w:w="418" w:type="pct"/>
                  <w:vMerge w:val="continue"/>
                  <w:vAlign w:val="center"/>
                </w:tcPr>
                <w:p w14:paraId="40DEE644">
                  <w:pPr>
                    <w:keepNext w:val="0"/>
                    <w:keepLines w:val="0"/>
                    <w:suppressLineNumbers w:val="0"/>
                    <w:spacing w:before="0" w:beforeAutospacing="0" w:after="0" w:afterAutospacing="0"/>
                    <w:ind w:left="0" w:right="0"/>
                    <w:jc w:val="center"/>
                    <w:rPr>
                      <w:b/>
                      <w:bCs/>
                      <w:color w:val="auto"/>
                      <w:szCs w:val="21"/>
                      <w:highlight w:val="none"/>
                    </w:rPr>
                  </w:pPr>
                </w:p>
              </w:tc>
              <w:tc>
                <w:tcPr>
                  <w:tcW w:w="656" w:type="pct"/>
                  <w:vMerge w:val="continue"/>
                  <w:vAlign w:val="center"/>
                </w:tcPr>
                <w:p w14:paraId="768452E2">
                  <w:pPr>
                    <w:keepNext w:val="0"/>
                    <w:keepLines w:val="0"/>
                    <w:suppressLineNumbers w:val="0"/>
                    <w:spacing w:before="0" w:beforeAutospacing="0" w:after="0" w:afterAutospacing="0"/>
                    <w:ind w:left="0" w:right="0"/>
                    <w:jc w:val="center"/>
                    <w:rPr>
                      <w:b/>
                      <w:bCs/>
                      <w:color w:val="auto"/>
                      <w:szCs w:val="21"/>
                      <w:highlight w:val="none"/>
                    </w:rPr>
                  </w:pPr>
                </w:p>
              </w:tc>
              <w:tc>
                <w:tcPr>
                  <w:tcW w:w="474" w:type="pct"/>
                  <w:tcMar>
                    <w:left w:w="0" w:type="dxa"/>
                    <w:right w:w="0" w:type="dxa"/>
                  </w:tcMar>
                  <w:vAlign w:val="center"/>
                </w:tcPr>
                <w:p w14:paraId="24BD98DB">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污染治理设施编号</w:t>
                  </w:r>
                </w:p>
              </w:tc>
              <w:tc>
                <w:tcPr>
                  <w:tcW w:w="455" w:type="pct"/>
                  <w:tcMar>
                    <w:left w:w="0" w:type="dxa"/>
                    <w:right w:w="0" w:type="dxa"/>
                  </w:tcMar>
                  <w:vAlign w:val="center"/>
                </w:tcPr>
                <w:p w14:paraId="3D18D212">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污染治理设施名称</w:t>
                  </w:r>
                </w:p>
              </w:tc>
              <w:tc>
                <w:tcPr>
                  <w:tcW w:w="501" w:type="pct"/>
                  <w:tcMar>
                    <w:left w:w="0" w:type="dxa"/>
                    <w:right w:w="0" w:type="dxa"/>
                  </w:tcMar>
                  <w:vAlign w:val="center"/>
                </w:tcPr>
                <w:p w14:paraId="4F5931CF">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污染治理设施工艺</w:t>
                  </w:r>
                </w:p>
              </w:tc>
              <w:tc>
                <w:tcPr>
                  <w:tcW w:w="406" w:type="pct"/>
                  <w:vMerge w:val="continue"/>
                  <w:vAlign w:val="center"/>
                </w:tcPr>
                <w:p w14:paraId="059BDEE0">
                  <w:pPr>
                    <w:keepNext w:val="0"/>
                    <w:keepLines w:val="0"/>
                    <w:suppressLineNumbers w:val="0"/>
                    <w:spacing w:before="0" w:beforeAutospacing="0" w:after="0" w:afterAutospacing="0"/>
                    <w:ind w:left="0" w:right="0"/>
                    <w:jc w:val="center"/>
                    <w:rPr>
                      <w:b/>
                      <w:bCs/>
                      <w:color w:val="auto"/>
                      <w:szCs w:val="21"/>
                      <w:highlight w:val="none"/>
                    </w:rPr>
                  </w:pPr>
                </w:p>
              </w:tc>
              <w:tc>
                <w:tcPr>
                  <w:tcW w:w="452" w:type="pct"/>
                  <w:vMerge w:val="continue"/>
                  <w:vAlign w:val="center"/>
                </w:tcPr>
                <w:p w14:paraId="073C7D13">
                  <w:pPr>
                    <w:keepNext w:val="0"/>
                    <w:keepLines w:val="0"/>
                    <w:suppressLineNumbers w:val="0"/>
                    <w:spacing w:before="0" w:beforeAutospacing="0" w:after="0" w:afterAutospacing="0"/>
                    <w:ind w:left="0" w:right="0"/>
                    <w:jc w:val="center"/>
                    <w:rPr>
                      <w:color w:val="auto"/>
                      <w:szCs w:val="21"/>
                      <w:highlight w:val="none"/>
                    </w:rPr>
                  </w:pPr>
                </w:p>
              </w:tc>
              <w:tc>
                <w:tcPr>
                  <w:tcW w:w="455" w:type="pct"/>
                  <w:vMerge w:val="continue"/>
                  <w:vAlign w:val="center"/>
                </w:tcPr>
                <w:p w14:paraId="0F2DB02D">
                  <w:pPr>
                    <w:keepNext w:val="0"/>
                    <w:keepLines w:val="0"/>
                    <w:suppressLineNumbers w:val="0"/>
                    <w:spacing w:before="0" w:beforeAutospacing="0" w:after="0" w:afterAutospacing="0"/>
                    <w:ind w:left="0" w:right="0"/>
                    <w:jc w:val="center"/>
                    <w:rPr>
                      <w:color w:val="auto"/>
                      <w:szCs w:val="21"/>
                      <w:highlight w:val="none"/>
                    </w:rPr>
                  </w:pPr>
                </w:p>
              </w:tc>
            </w:tr>
            <w:tr w14:paraId="245FA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7" w:type="pct"/>
                  <w:vAlign w:val="center"/>
                </w:tcPr>
                <w:p w14:paraId="2235EB3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p>
              </w:tc>
              <w:tc>
                <w:tcPr>
                  <w:tcW w:w="446" w:type="pct"/>
                  <w:vAlign w:val="center"/>
                </w:tcPr>
                <w:p w14:paraId="2FFC7FF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生活污水</w:t>
                  </w:r>
                </w:p>
              </w:tc>
              <w:tc>
                <w:tcPr>
                  <w:tcW w:w="555" w:type="pct"/>
                  <w:tcMar>
                    <w:left w:w="0" w:type="dxa"/>
                    <w:right w:w="0" w:type="dxa"/>
                  </w:tcMar>
                  <w:vAlign w:val="center"/>
                </w:tcPr>
                <w:p w14:paraId="17D0DF95">
                  <w:pPr>
                    <w:keepNext w:val="0"/>
                    <w:keepLines w:val="0"/>
                    <w:suppressLineNumbers w:val="0"/>
                    <w:spacing w:before="0" w:beforeAutospacing="0" w:after="0" w:afterAutospacing="0"/>
                    <w:ind w:left="0" w:right="0"/>
                    <w:jc w:val="center"/>
                    <w:rPr>
                      <w:color w:val="auto"/>
                      <w:szCs w:val="21"/>
                      <w:highlight w:val="none"/>
                    </w:rPr>
                  </w:pPr>
                  <w:r>
                    <w:rPr>
                      <w:rFonts w:hint="eastAsia"/>
                      <w:lang w:val="en-US" w:eastAsia="zh-CN"/>
                    </w:rPr>
                    <w:t>pH、</w:t>
                  </w:r>
                  <w:r>
                    <w:rPr>
                      <w:rFonts w:hint="eastAsia"/>
                      <w:color w:val="auto"/>
                      <w:szCs w:val="21"/>
                      <w:highlight w:val="none"/>
                    </w:rPr>
                    <w:t>COD、</w:t>
                  </w:r>
                  <w:r>
                    <w:rPr>
                      <w:rFonts w:hint="eastAsia"/>
                      <w:color w:val="auto"/>
                      <w:szCs w:val="21"/>
                      <w:highlight w:val="none"/>
                      <w:lang w:val="en-US" w:eastAsia="zh-CN"/>
                    </w:rPr>
                    <w:t>BOD</w:t>
                  </w:r>
                  <w:r>
                    <w:rPr>
                      <w:rFonts w:hint="eastAsia"/>
                      <w:color w:val="auto"/>
                      <w:szCs w:val="21"/>
                      <w:highlight w:val="none"/>
                      <w:vertAlign w:val="subscript"/>
                      <w:lang w:val="en-US" w:eastAsia="zh-CN"/>
                    </w:rPr>
                    <w:t>5</w:t>
                  </w:r>
                  <w:r>
                    <w:rPr>
                      <w:rFonts w:hint="eastAsia"/>
                      <w:color w:val="auto"/>
                      <w:szCs w:val="21"/>
                      <w:highlight w:val="none"/>
                      <w:lang w:val="en-US" w:eastAsia="zh-CN"/>
                    </w:rPr>
                    <w:t>、</w:t>
                  </w:r>
                  <w:r>
                    <w:rPr>
                      <w:rFonts w:hint="eastAsia"/>
                      <w:color w:val="auto"/>
                      <w:szCs w:val="21"/>
                      <w:highlight w:val="none"/>
                    </w:rPr>
                    <w:t>SS、氨氮、总氮、总磷</w:t>
                  </w:r>
                </w:p>
              </w:tc>
              <w:tc>
                <w:tcPr>
                  <w:tcW w:w="418" w:type="pct"/>
                  <w:vAlign w:val="center"/>
                </w:tcPr>
                <w:p w14:paraId="20ADA8F3">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李口镇污水处理厂</w:t>
                  </w:r>
                </w:p>
              </w:tc>
              <w:tc>
                <w:tcPr>
                  <w:tcW w:w="656" w:type="pct"/>
                  <w:tcMar>
                    <w:left w:w="57" w:type="dxa"/>
                    <w:right w:w="57" w:type="dxa"/>
                  </w:tcMar>
                  <w:vAlign w:val="center"/>
                </w:tcPr>
                <w:p w14:paraId="0DB52D8A">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间断排放，排放期间流量不稳定且无规律，但不属于冲击型排放</w:t>
                  </w:r>
                </w:p>
              </w:tc>
              <w:tc>
                <w:tcPr>
                  <w:tcW w:w="474" w:type="pct"/>
                  <w:vAlign w:val="center"/>
                </w:tcPr>
                <w:p w14:paraId="077E5088">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455" w:type="pct"/>
                  <w:vAlign w:val="center"/>
                </w:tcPr>
                <w:p w14:paraId="2A412368">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化粪池</w:t>
                  </w:r>
                </w:p>
              </w:tc>
              <w:tc>
                <w:tcPr>
                  <w:tcW w:w="501" w:type="pct"/>
                  <w:vAlign w:val="center"/>
                </w:tcPr>
                <w:p w14:paraId="20401CA9">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化粪池</w:t>
                  </w:r>
                </w:p>
              </w:tc>
              <w:tc>
                <w:tcPr>
                  <w:tcW w:w="406" w:type="pct"/>
                  <w:vMerge w:val="restart"/>
                  <w:vAlign w:val="center"/>
                </w:tcPr>
                <w:p w14:paraId="0F5C6DB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DW001</w:t>
                  </w:r>
                </w:p>
              </w:tc>
              <w:tc>
                <w:tcPr>
                  <w:tcW w:w="452" w:type="pct"/>
                  <w:vMerge w:val="restart"/>
                  <w:vAlign w:val="center"/>
                </w:tcPr>
                <w:p w14:paraId="182DA4A1">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是</w:t>
                  </w:r>
                </w:p>
              </w:tc>
              <w:tc>
                <w:tcPr>
                  <w:tcW w:w="455" w:type="pct"/>
                  <w:vMerge w:val="restart"/>
                  <w:vAlign w:val="center"/>
                </w:tcPr>
                <w:p w14:paraId="6E10B17B">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企业总排口</w:t>
                  </w:r>
                </w:p>
              </w:tc>
            </w:tr>
            <w:tr w14:paraId="4615E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77" w:type="pct"/>
                  <w:vAlign w:val="center"/>
                </w:tcPr>
                <w:p w14:paraId="66FC1078">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446" w:type="pct"/>
                  <w:vAlign w:val="center"/>
                </w:tcPr>
                <w:p w14:paraId="6F5634AE">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生产废水</w:t>
                  </w:r>
                </w:p>
              </w:tc>
              <w:tc>
                <w:tcPr>
                  <w:tcW w:w="555" w:type="pct"/>
                  <w:tcMar>
                    <w:left w:w="0" w:type="dxa"/>
                    <w:right w:w="0" w:type="dxa"/>
                  </w:tcMar>
                  <w:vAlign w:val="center"/>
                </w:tcPr>
                <w:p w14:paraId="3A0EA5EB">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pH、</w:t>
                  </w:r>
                  <w:r>
                    <w:rPr>
                      <w:rFonts w:hint="eastAsia"/>
                      <w:color w:val="auto"/>
                      <w:szCs w:val="21"/>
                      <w:highlight w:val="none"/>
                    </w:rPr>
                    <w:t>COD、</w:t>
                  </w:r>
                  <w:r>
                    <w:rPr>
                      <w:rFonts w:hint="eastAsia"/>
                      <w:color w:val="auto"/>
                      <w:szCs w:val="21"/>
                      <w:highlight w:val="none"/>
                      <w:lang w:val="en-US" w:eastAsia="zh-CN"/>
                    </w:rPr>
                    <w:t>BOD</w:t>
                  </w:r>
                  <w:r>
                    <w:rPr>
                      <w:rFonts w:hint="eastAsia"/>
                      <w:color w:val="auto"/>
                      <w:szCs w:val="21"/>
                      <w:highlight w:val="none"/>
                      <w:vertAlign w:val="subscript"/>
                      <w:lang w:val="en-US" w:eastAsia="zh-CN"/>
                    </w:rPr>
                    <w:t>5</w:t>
                  </w:r>
                  <w:r>
                    <w:rPr>
                      <w:rFonts w:hint="eastAsia"/>
                      <w:color w:val="auto"/>
                      <w:szCs w:val="21"/>
                      <w:highlight w:val="none"/>
                      <w:lang w:val="en-US" w:eastAsia="zh-CN"/>
                    </w:rPr>
                    <w:t>、</w:t>
                  </w:r>
                  <w:r>
                    <w:rPr>
                      <w:rFonts w:hint="eastAsia"/>
                      <w:color w:val="auto"/>
                      <w:szCs w:val="21"/>
                      <w:highlight w:val="none"/>
                    </w:rPr>
                    <w:t>SS、总氮、总磷</w:t>
                  </w:r>
                  <w:r>
                    <w:rPr>
                      <w:rFonts w:hint="eastAsia"/>
                      <w:color w:val="auto"/>
                      <w:szCs w:val="21"/>
                      <w:highlight w:val="none"/>
                      <w:lang w:eastAsia="zh-CN"/>
                    </w:rPr>
                    <w:t>、</w:t>
                  </w:r>
                  <w:r>
                    <w:rPr>
                      <w:rFonts w:hint="eastAsia"/>
                      <w:color w:val="auto"/>
                      <w:szCs w:val="21"/>
                      <w:highlight w:val="none"/>
                      <w:lang w:val="en-US" w:eastAsia="zh-CN"/>
                    </w:rPr>
                    <w:t>石油类、总锌</w:t>
                  </w:r>
                </w:p>
              </w:tc>
              <w:tc>
                <w:tcPr>
                  <w:tcW w:w="418" w:type="pct"/>
                  <w:vAlign w:val="center"/>
                </w:tcPr>
                <w:p w14:paraId="72F86A94">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eastAsia="zh-CN"/>
                    </w:rPr>
                    <w:t>李口镇污水处理</w:t>
                  </w:r>
                  <w:r>
                    <w:rPr>
                      <w:rFonts w:hint="eastAsia"/>
                      <w:color w:val="auto"/>
                      <w:szCs w:val="21"/>
                      <w:highlight w:val="none"/>
                      <w:lang w:val="en-US" w:eastAsia="zh-CN"/>
                    </w:rPr>
                    <w:t>厂</w:t>
                  </w:r>
                </w:p>
              </w:tc>
              <w:tc>
                <w:tcPr>
                  <w:tcW w:w="656" w:type="pct"/>
                  <w:tcMar>
                    <w:left w:w="57" w:type="dxa"/>
                    <w:right w:w="57" w:type="dxa"/>
                  </w:tcMar>
                  <w:vAlign w:val="center"/>
                </w:tcPr>
                <w:p w14:paraId="312DD111">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间断排放，排放期间流量不稳定且无规律，但不属于冲击型排放</w:t>
                  </w:r>
                </w:p>
              </w:tc>
              <w:tc>
                <w:tcPr>
                  <w:tcW w:w="474" w:type="pct"/>
                  <w:vAlign w:val="center"/>
                </w:tcPr>
                <w:p w14:paraId="5193B293">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TW002</w:t>
                  </w:r>
                </w:p>
              </w:tc>
              <w:tc>
                <w:tcPr>
                  <w:tcW w:w="455" w:type="pct"/>
                  <w:vAlign w:val="center"/>
                </w:tcPr>
                <w:p w14:paraId="108C066A">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污水处理站</w:t>
                  </w:r>
                </w:p>
              </w:tc>
              <w:tc>
                <w:tcPr>
                  <w:tcW w:w="501" w:type="pct"/>
                  <w:vAlign w:val="center"/>
                </w:tcPr>
                <w:p w14:paraId="581FA3B9">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eastAsia="宋体"/>
                      <w:color w:val="auto"/>
                      <w:sz w:val="21"/>
                      <w:szCs w:val="21"/>
                    </w:rPr>
                    <w:t>隔油+中和+絮凝+斜管沉淀+</w:t>
                  </w:r>
                  <w:r>
                    <w:rPr>
                      <w:rFonts w:hint="eastAsia"/>
                      <w:color w:val="auto"/>
                      <w:sz w:val="21"/>
                      <w:szCs w:val="21"/>
                      <w:lang w:eastAsia="zh-CN"/>
                    </w:rPr>
                    <w:t>过滤器</w:t>
                  </w:r>
                  <w:r>
                    <w:rPr>
                      <w:rFonts w:hint="eastAsia"/>
                      <w:color w:val="auto"/>
                      <w:sz w:val="21"/>
                      <w:szCs w:val="21"/>
                      <w:lang w:val="en-US" w:eastAsia="zh-CN"/>
                    </w:rPr>
                    <w:t>工艺</w:t>
                  </w:r>
                </w:p>
              </w:tc>
              <w:tc>
                <w:tcPr>
                  <w:tcW w:w="406" w:type="pct"/>
                  <w:vMerge w:val="continue"/>
                  <w:vAlign w:val="center"/>
                </w:tcPr>
                <w:p w14:paraId="718ABDEE">
                  <w:pPr>
                    <w:keepNext w:val="0"/>
                    <w:keepLines w:val="0"/>
                    <w:suppressLineNumbers w:val="0"/>
                    <w:spacing w:before="0" w:beforeAutospacing="0" w:after="0" w:afterAutospacing="0"/>
                    <w:ind w:left="0" w:right="0"/>
                    <w:jc w:val="center"/>
                    <w:rPr>
                      <w:color w:val="auto"/>
                      <w:szCs w:val="21"/>
                      <w:highlight w:val="none"/>
                    </w:rPr>
                  </w:pPr>
                </w:p>
              </w:tc>
              <w:tc>
                <w:tcPr>
                  <w:tcW w:w="452" w:type="pct"/>
                  <w:vMerge w:val="continue"/>
                  <w:vAlign w:val="center"/>
                </w:tcPr>
                <w:p w14:paraId="3896D4F8">
                  <w:pPr>
                    <w:keepNext w:val="0"/>
                    <w:keepLines w:val="0"/>
                    <w:suppressLineNumbers w:val="0"/>
                    <w:spacing w:before="0" w:beforeAutospacing="0" w:after="0" w:afterAutospacing="0"/>
                    <w:ind w:left="0" w:right="0"/>
                    <w:jc w:val="center"/>
                    <w:rPr>
                      <w:rFonts w:hint="eastAsia"/>
                      <w:color w:val="auto"/>
                      <w:szCs w:val="21"/>
                      <w:highlight w:val="none"/>
                    </w:rPr>
                  </w:pPr>
                </w:p>
              </w:tc>
              <w:tc>
                <w:tcPr>
                  <w:tcW w:w="455" w:type="pct"/>
                  <w:vMerge w:val="continue"/>
                  <w:vAlign w:val="center"/>
                </w:tcPr>
                <w:p w14:paraId="37786AE5">
                  <w:pPr>
                    <w:keepNext w:val="0"/>
                    <w:keepLines w:val="0"/>
                    <w:suppressLineNumbers w:val="0"/>
                    <w:spacing w:before="0" w:beforeAutospacing="0" w:after="0" w:afterAutospacing="0"/>
                    <w:ind w:left="0" w:right="0"/>
                    <w:jc w:val="center"/>
                    <w:rPr>
                      <w:rFonts w:hint="eastAsia"/>
                      <w:color w:val="auto"/>
                      <w:szCs w:val="21"/>
                      <w:highlight w:val="none"/>
                    </w:rPr>
                  </w:pPr>
                </w:p>
              </w:tc>
            </w:tr>
          </w:tbl>
          <w:p w14:paraId="794E9B1D">
            <w:pPr>
              <w:keepNext w:val="0"/>
              <w:keepLines w:val="0"/>
              <w:suppressLineNumbers w:val="0"/>
              <w:spacing w:before="0" w:beforeAutospacing="0" w:after="0" w:afterAutospacing="0" w:line="300" w:lineRule="auto"/>
              <w:ind w:left="0" w:right="0"/>
              <w:jc w:val="center"/>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lang w:val="en-US" w:eastAsia="zh-CN"/>
              </w:rPr>
              <w:t>22</w:t>
            </w:r>
            <w:r>
              <w:rPr>
                <w:rFonts w:hint="eastAsia"/>
                <w:b/>
                <w:bCs/>
                <w:color w:val="auto"/>
                <w:szCs w:val="21"/>
                <w:highlight w:val="none"/>
              </w:rPr>
              <w:t xml:space="preserve"> 废水间接排放口基本情况表</w:t>
            </w:r>
          </w:p>
          <w:tbl>
            <w:tblPr>
              <w:tblStyle w:val="31"/>
              <w:tblW w:w="83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6"/>
              <w:gridCol w:w="690"/>
              <w:gridCol w:w="726"/>
              <w:gridCol w:w="707"/>
              <w:gridCol w:w="707"/>
              <w:gridCol w:w="588"/>
              <w:gridCol w:w="1135"/>
              <w:gridCol w:w="480"/>
              <w:gridCol w:w="530"/>
              <w:gridCol w:w="912"/>
              <w:gridCol w:w="1336"/>
            </w:tblGrid>
            <w:tr w14:paraId="2FE5E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326" w:type="pct"/>
                  <w:vMerge w:val="restart"/>
                  <w:vAlign w:val="center"/>
                </w:tcPr>
                <w:p w14:paraId="7DE6A64C">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序号</w:t>
                  </w:r>
                </w:p>
              </w:tc>
              <w:tc>
                <w:tcPr>
                  <w:tcW w:w="412" w:type="pct"/>
                  <w:vMerge w:val="restart"/>
                  <w:vAlign w:val="center"/>
                </w:tcPr>
                <w:p w14:paraId="4C7239C7">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排放口编号</w:t>
                  </w:r>
                </w:p>
              </w:tc>
              <w:tc>
                <w:tcPr>
                  <w:tcW w:w="857" w:type="pct"/>
                  <w:gridSpan w:val="2"/>
                  <w:vAlign w:val="center"/>
                </w:tcPr>
                <w:p w14:paraId="3BAA537A">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排放口地理坐标</w:t>
                  </w:r>
                </w:p>
              </w:tc>
              <w:tc>
                <w:tcPr>
                  <w:tcW w:w="422" w:type="pct"/>
                  <w:vMerge w:val="restart"/>
                  <w:vAlign w:val="center"/>
                </w:tcPr>
                <w:p w14:paraId="47C8F638">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废水排放量</w:t>
                  </w:r>
                </w:p>
              </w:tc>
              <w:tc>
                <w:tcPr>
                  <w:tcW w:w="351" w:type="pct"/>
                  <w:vMerge w:val="restart"/>
                  <w:vAlign w:val="center"/>
                </w:tcPr>
                <w:p w14:paraId="725723FF">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排放去向</w:t>
                  </w:r>
                </w:p>
              </w:tc>
              <w:tc>
                <w:tcPr>
                  <w:tcW w:w="679" w:type="pct"/>
                  <w:vMerge w:val="restart"/>
                  <w:vAlign w:val="center"/>
                </w:tcPr>
                <w:p w14:paraId="0139C6E1">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排放</w:t>
                  </w:r>
                </w:p>
                <w:p w14:paraId="2382EAAD">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规律</w:t>
                  </w:r>
                </w:p>
              </w:tc>
              <w:tc>
                <w:tcPr>
                  <w:tcW w:w="287" w:type="pct"/>
                  <w:vMerge w:val="restart"/>
                  <w:vAlign w:val="center"/>
                </w:tcPr>
                <w:p w14:paraId="37D55702">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间歇排放时段</w:t>
                  </w:r>
                </w:p>
              </w:tc>
              <w:tc>
                <w:tcPr>
                  <w:tcW w:w="1662" w:type="pct"/>
                  <w:gridSpan w:val="3"/>
                  <w:vAlign w:val="center"/>
                </w:tcPr>
                <w:p w14:paraId="5061FAC9">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受纳污水处理厂信息</w:t>
                  </w:r>
                </w:p>
              </w:tc>
            </w:tr>
            <w:tr w14:paraId="1E4C5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326" w:type="pct"/>
                  <w:vMerge w:val="continue"/>
                  <w:vAlign w:val="center"/>
                </w:tcPr>
                <w:p w14:paraId="6F8B7CD5">
                  <w:pPr>
                    <w:keepNext w:val="0"/>
                    <w:keepLines w:val="0"/>
                    <w:suppressLineNumbers w:val="0"/>
                    <w:spacing w:before="0" w:beforeAutospacing="0" w:after="0" w:afterAutospacing="0"/>
                    <w:ind w:left="0" w:right="0"/>
                    <w:jc w:val="center"/>
                    <w:rPr>
                      <w:b/>
                      <w:bCs/>
                      <w:color w:val="auto"/>
                      <w:szCs w:val="21"/>
                      <w:highlight w:val="none"/>
                    </w:rPr>
                  </w:pPr>
                </w:p>
              </w:tc>
              <w:tc>
                <w:tcPr>
                  <w:tcW w:w="412" w:type="pct"/>
                  <w:vMerge w:val="continue"/>
                  <w:vAlign w:val="center"/>
                </w:tcPr>
                <w:p w14:paraId="53FF13C9">
                  <w:pPr>
                    <w:keepNext w:val="0"/>
                    <w:keepLines w:val="0"/>
                    <w:suppressLineNumbers w:val="0"/>
                    <w:spacing w:before="0" w:beforeAutospacing="0" w:after="0" w:afterAutospacing="0"/>
                    <w:ind w:left="0" w:right="0"/>
                    <w:jc w:val="center"/>
                    <w:rPr>
                      <w:b/>
                      <w:bCs/>
                      <w:color w:val="auto"/>
                      <w:szCs w:val="21"/>
                      <w:highlight w:val="none"/>
                    </w:rPr>
                  </w:pPr>
                </w:p>
              </w:tc>
              <w:tc>
                <w:tcPr>
                  <w:tcW w:w="434" w:type="pct"/>
                  <w:vAlign w:val="center"/>
                </w:tcPr>
                <w:p w14:paraId="27D21060">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经度</w:t>
                  </w:r>
                </w:p>
              </w:tc>
              <w:tc>
                <w:tcPr>
                  <w:tcW w:w="422" w:type="pct"/>
                  <w:vAlign w:val="center"/>
                </w:tcPr>
                <w:p w14:paraId="1AEAA56C">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纬度</w:t>
                  </w:r>
                </w:p>
              </w:tc>
              <w:tc>
                <w:tcPr>
                  <w:tcW w:w="422" w:type="pct"/>
                  <w:vMerge w:val="continue"/>
                  <w:vAlign w:val="center"/>
                </w:tcPr>
                <w:p w14:paraId="340B4B80">
                  <w:pPr>
                    <w:keepNext w:val="0"/>
                    <w:keepLines w:val="0"/>
                    <w:suppressLineNumbers w:val="0"/>
                    <w:spacing w:before="0" w:beforeAutospacing="0" w:after="0" w:afterAutospacing="0"/>
                    <w:ind w:left="0" w:right="0"/>
                    <w:jc w:val="center"/>
                    <w:rPr>
                      <w:b/>
                      <w:bCs/>
                      <w:color w:val="auto"/>
                      <w:szCs w:val="21"/>
                      <w:highlight w:val="none"/>
                    </w:rPr>
                  </w:pPr>
                </w:p>
              </w:tc>
              <w:tc>
                <w:tcPr>
                  <w:tcW w:w="351" w:type="pct"/>
                  <w:vMerge w:val="continue"/>
                  <w:vAlign w:val="center"/>
                </w:tcPr>
                <w:p w14:paraId="5BD61D73">
                  <w:pPr>
                    <w:keepNext w:val="0"/>
                    <w:keepLines w:val="0"/>
                    <w:suppressLineNumbers w:val="0"/>
                    <w:spacing w:before="0" w:beforeAutospacing="0" w:after="0" w:afterAutospacing="0"/>
                    <w:ind w:left="0" w:right="0"/>
                    <w:jc w:val="center"/>
                    <w:rPr>
                      <w:b/>
                      <w:bCs/>
                      <w:color w:val="auto"/>
                      <w:szCs w:val="21"/>
                      <w:highlight w:val="none"/>
                    </w:rPr>
                  </w:pPr>
                </w:p>
              </w:tc>
              <w:tc>
                <w:tcPr>
                  <w:tcW w:w="679" w:type="pct"/>
                  <w:vMerge w:val="continue"/>
                  <w:vAlign w:val="center"/>
                </w:tcPr>
                <w:p w14:paraId="71AC267E">
                  <w:pPr>
                    <w:keepNext w:val="0"/>
                    <w:keepLines w:val="0"/>
                    <w:suppressLineNumbers w:val="0"/>
                    <w:spacing w:before="0" w:beforeAutospacing="0" w:after="0" w:afterAutospacing="0"/>
                    <w:ind w:left="0" w:right="0"/>
                    <w:jc w:val="center"/>
                    <w:rPr>
                      <w:b/>
                      <w:bCs/>
                      <w:color w:val="auto"/>
                      <w:szCs w:val="21"/>
                      <w:highlight w:val="none"/>
                    </w:rPr>
                  </w:pPr>
                </w:p>
              </w:tc>
              <w:tc>
                <w:tcPr>
                  <w:tcW w:w="287" w:type="pct"/>
                  <w:vMerge w:val="continue"/>
                  <w:vAlign w:val="center"/>
                </w:tcPr>
                <w:p w14:paraId="753EFF41">
                  <w:pPr>
                    <w:keepNext w:val="0"/>
                    <w:keepLines w:val="0"/>
                    <w:suppressLineNumbers w:val="0"/>
                    <w:spacing w:before="0" w:beforeAutospacing="0" w:after="0" w:afterAutospacing="0"/>
                    <w:ind w:left="0" w:right="0"/>
                    <w:jc w:val="center"/>
                    <w:rPr>
                      <w:b/>
                      <w:bCs/>
                      <w:color w:val="auto"/>
                      <w:szCs w:val="21"/>
                      <w:highlight w:val="none"/>
                    </w:rPr>
                  </w:pPr>
                </w:p>
              </w:tc>
              <w:tc>
                <w:tcPr>
                  <w:tcW w:w="317" w:type="pct"/>
                  <w:tcMar>
                    <w:left w:w="0" w:type="dxa"/>
                    <w:right w:w="0" w:type="dxa"/>
                  </w:tcMar>
                  <w:vAlign w:val="center"/>
                </w:tcPr>
                <w:p w14:paraId="6595EDE7">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名称</w:t>
                  </w:r>
                </w:p>
              </w:tc>
              <w:tc>
                <w:tcPr>
                  <w:tcW w:w="545" w:type="pct"/>
                  <w:tcMar>
                    <w:left w:w="0" w:type="dxa"/>
                    <w:right w:w="0" w:type="dxa"/>
                  </w:tcMar>
                  <w:vAlign w:val="center"/>
                </w:tcPr>
                <w:p w14:paraId="54BDF499">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污染物种类</w:t>
                  </w:r>
                </w:p>
              </w:tc>
              <w:tc>
                <w:tcPr>
                  <w:tcW w:w="799" w:type="pct"/>
                  <w:tcMar>
                    <w:left w:w="0" w:type="dxa"/>
                    <w:right w:w="0" w:type="dxa"/>
                  </w:tcMar>
                  <w:vAlign w:val="center"/>
                </w:tcPr>
                <w:p w14:paraId="2576474E">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国家或地方污染物排放标准浓度限值/(mg/L)</w:t>
                  </w:r>
                </w:p>
              </w:tc>
            </w:tr>
            <w:tr w14:paraId="68360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 w:hRule="atLeast"/>
                <w:jc w:val="center"/>
              </w:trPr>
              <w:tc>
                <w:tcPr>
                  <w:tcW w:w="326" w:type="pct"/>
                  <w:vMerge w:val="restart"/>
                  <w:vAlign w:val="center"/>
                </w:tcPr>
                <w:p w14:paraId="5B5B88BB">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p>
              </w:tc>
              <w:tc>
                <w:tcPr>
                  <w:tcW w:w="412" w:type="pct"/>
                  <w:vMerge w:val="restart"/>
                  <w:vAlign w:val="center"/>
                </w:tcPr>
                <w:p w14:paraId="78A62C41">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DW001</w:t>
                  </w:r>
                </w:p>
              </w:tc>
              <w:tc>
                <w:tcPr>
                  <w:tcW w:w="434" w:type="pct"/>
                  <w:vMerge w:val="restart"/>
                  <w:tcMar>
                    <w:left w:w="57" w:type="dxa"/>
                    <w:right w:w="57" w:type="dxa"/>
                  </w:tcMar>
                  <w:vAlign w:val="center"/>
                </w:tcPr>
                <w:p w14:paraId="7A517F48">
                  <w:pPr>
                    <w:keepNext w:val="0"/>
                    <w:keepLines w:val="0"/>
                    <w:suppressLineNumbers w:val="0"/>
                    <w:spacing w:before="0" w:beforeAutospacing="0" w:after="0" w:afterAutospacing="0"/>
                    <w:ind w:left="0" w:right="0"/>
                    <w:jc w:val="center"/>
                    <w:rPr>
                      <w:color w:val="auto"/>
                      <w:szCs w:val="21"/>
                      <w:highlight w:val="none"/>
                    </w:rPr>
                  </w:pPr>
                  <w:r>
                    <w:rPr>
                      <w:rFonts w:hint="eastAsia"/>
                      <w:color w:val="auto"/>
                      <w:spacing w:val="3"/>
                      <w:szCs w:val="21"/>
                      <w:highlight w:val="none"/>
                    </w:rPr>
                    <w:t>118.</w:t>
                  </w:r>
                  <w:r>
                    <w:rPr>
                      <w:rFonts w:hint="eastAsia"/>
                      <w:color w:val="auto"/>
                      <w:spacing w:val="3"/>
                      <w:szCs w:val="21"/>
                      <w:highlight w:val="none"/>
                      <w:lang w:val="en-US" w:eastAsia="zh-CN"/>
                    </w:rPr>
                    <w:t>714931</w:t>
                  </w:r>
                  <w:r>
                    <w:rPr>
                      <w:color w:val="auto"/>
                      <w:spacing w:val="3"/>
                      <w:szCs w:val="21"/>
                      <w:highlight w:val="none"/>
                    </w:rPr>
                    <w:t>°</w:t>
                  </w:r>
                </w:p>
              </w:tc>
              <w:tc>
                <w:tcPr>
                  <w:tcW w:w="422" w:type="pct"/>
                  <w:vMerge w:val="restart"/>
                  <w:vAlign w:val="center"/>
                </w:tcPr>
                <w:p w14:paraId="27A6D0B3">
                  <w:pPr>
                    <w:keepNext w:val="0"/>
                    <w:keepLines w:val="0"/>
                    <w:suppressLineNumbers w:val="0"/>
                    <w:spacing w:before="0" w:beforeAutospacing="0" w:after="0" w:afterAutospacing="0"/>
                    <w:ind w:left="0" w:right="0"/>
                    <w:jc w:val="center"/>
                    <w:rPr>
                      <w:color w:val="auto"/>
                      <w:szCs w:val="21"/>
                      <w:highlight w:val="none"/>
                    </w:rPr>
                  </w:pPr>
                  <w:r>
                    <w:rPr>
                      <w:rFonts w:hint="eastAsia"/>
                      <w:color w:val="auto"/>
                      <w:spacing w:val="3"/>
                      <w:szCs w:val="21"/>
                      <w:highlight w:val="none"/>
                    </w:rPr>
                    <w:t>3</w:t>
                  </w:r>
                  <w:r>
                    <w:rPr>
                      <w:rFonts w:hint="eastAsia"/>
                      <w:color w:val="auto"/>
                      <w:spacing w:val="3"/>
                      <w:szCs w:val="21"/>
                      <w:highlight w:val="none"/>
                      <w:lang w:val="en-US" w:eastAsia="zh-CN"/>
                    </w:rPr>
                    <w:t>3.627950</w:t>
                  </w:r>
                  <w:r>
                    <w:rPr>
                      <w:color w:val="auto"/>
                      <w:spacing w:val="3"/>
                      <w:szCs w:val="21"/>
                      <w:highlight w:val="none"/>
                    </w:rPr>
                    <w:t>°</w:t>
                  </w:r>
                </w:p>
              </w:tc>
              <w:tc>
                <w:tcPr>
                  <w:tcW w:w="422" w:type="pct"/>
                  <w:vMerge w:val="restart"/>
                  <w:vAlign w:val="center"/>
                </w:tcPr>
                <w:p w14:paraId="2AF17A4B">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1142</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/a</w:t>
                  </w:r>
                </w:p>
              </w:tc>
              <w:tc>
                <w:tcPr>
                  <w:tcW w:w="351" w:type="pct"/>
                  <w:vMerge w:val="restart"/>
                  <w:tcMar>
                    <w:left w:w="0" w:type="dxa"/>
                    <w:right w:w="0" w:type="dxa"/>
                  </w:tcMar>
                  <w:vAlign w:val="center"/>
                </w:tcPr>
                <w:p w14:paraId="03D6C637">
                  <w:pPr>
                    <w:keepNext w:val="0"/>
                    <w:keepLines w:val="0"/>
                    <w:suppressLineNumbers w:val="0"/>
                    <w:spacing w:before="0" w:beforeAutospacing="0" w:after="0" w:afterAutospacing="0"/>
                    <w:ind w:left="0" w:right="0"/>
                    <w:jc w:val="center"/>
                    <w:rPr>
                      <w:color w:val="auto"/>
                      <w:szCs w:val="21"/>
                      <w:highlight w:val="none"/>
                    </w:rPr>
                  </w:pPr>
                  <w:r>
                    <w:rPr>
                      <w:rFonts w:hint="eastAsia" w:ascii="宋体"/>
                      <w:sz w:val="21"/>
                      <w:szCs w:val="24"/>
                      <w:lang w:val="en-US" w:eastAsia="zh-CN"/>
                    </w:rPr>
                    <w:t>李口镇污水</w:t>
                  </w:r>
                  <w:r>
                    <w:rPr>
                      <w:rFonts w:hint="default" w:ascii="宋体"/>
                      <w:sz w:val="21"/>
                      <w:szCs w:val="24"/>
                      <w:lang w:val="en-US" w:eastAsia="zh-CN"/>
                    </w:rPr>
                    <w:t>处理厂</w:t>
                  </w:r>
                </w:p>
              </w:tc>
              <w:tc>
                <w:tcPr>
                  <w:tcW w:w="679" w:type="pct"/>
                  <w:vMerge w:val="restart"/>
                  <w:vAlign w:val="center"/>
                </w:tcPr>
                <w:p w14:paraId="6D8B653F">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间断排放，排放期间流量不稳定且无规律，但不属于冲击型排放</w:t>
                  </w:r>
                </w:p>
              </w:tc>
              <w:tc>
                <w:tcPr>
                  <w:tcW w:w="287" w:type="pct"/>
                  <w:vMerge w:val="restart"/>
                  <w:tcMar>
                    <w:left w:w="57" w:type="dxa"/>
                    <w:right w:w="57" w:type="dxa"/>
                  </w:tcMar>
                  <w:vAlign w:val="center"/>
                </w:tcPr>
                <w:p w14:paraId="751BA1EE">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w:t>
                  </w:r>
                </w:p>
              </w:tc>
              <w:tc>
                <w:tcPr>
                  <w:tcW w:w="317" w:type="pct"/>
                  <w:vMerge w:val="restart"/>
                  <w:vAlign w:val="center"/>
                </w:tcPr>
                <w:p w14:paraId="6C5FDA0A">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李口镇污水处理厂</w:t>
                  </w:r>
                </w:p>
              </w:tc>
              <w:tc>
                <w:tcPr>
                  <w:tcW w:w="545" w:type="pct"/>
                  <w:vAlign w:val="center"/>
                </w:tcPr>
                <w:p w14:paraId="2975C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Cs w:val="21"/>
                      <w:highlight w:val="none"/>
                    </w:rPr>
                  </w:pPr>
                  <w:r>
                    <w:rPr>
                      <w:rFonts w:hint="eastAsia"/>
                      <w:lang w:val="en-US" w:eastAsia="zh-CN"/>
                    </w:rPr>
                    <w:t>pH</w:t>
                  </w:r>
                </w:p>
              </w:tc>
              <w:tc>
                <w:tcPr>
                  <w:tcW w:w="799" w:type="pct"/>
                  <w:vAlign w:val="center"/>
                </w:tcPr>
                <w:p w14:paraId="01A63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Cs w:val="21"/>
                      <w:highlight w:val="none"/>
                    </w:rPr>
                  </w:pPr>
                  <w:r>
                    <w:rPr>
                      <w:rFonts w:hint="default" w:ascii="Times New Roman" w:hAnsi="Times New Roman" w:cs="Times New Roman"/>
                      <w:color w:val="auto"/>
                      <w:szCs w:val="21"/>
                      <w:highlight w:val="none"/>
                      <w:lang w:val="en-US" w:eastAsia="zh-CN"/>
                    </w:rPr>
                    <w:t>6~9</w:t>
                  </w:r>
                </w:p>
              </w:tc>
            </w:tr>
            <w:tr w14:paraId="0A4BA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 w:hRule="atLeast"/>
                <w:jc w:val="center"/>
              </w:trPr>
              <w:tc>
                <w:tcPr>
                  <w:tcW w:w="326" w:type="pct"/>
                  <w:vMerge w:val="continue"/>
                  <w:vAlign w:val="center"/>
                </w:tcPr>
                <w:p w14:paraId="1AC67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pPr>
                </w:p>
              </w:tc>
              <w:tc>
                <w:tcPr>
                  <w:tcW w:w="412" w:type="pct"/>
                  <w:vMerge w:val="continue"/>
                  <w:vAlign w:val="center"/>
                </w:tcPr>
                <w:p w14:paraId="203EC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pPr>
                </w:p>
              </w:tc>
              <w:tc>
                <w:tcPr>
                  <w:tcW w:w="434" w:type="pct"/>
                  <w:vMerge w:val="continue"/>
                  <w:tcMar>
                    <w:left w:w="57" w:type="dxa"/>
                    <w:right w:w="57" w:type="dxa"/>
                  </w:tcMar>
                  <w:vAlign w:val="center"/>
                </w:tcPr>
                <w:p w14:paraId="0B18F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pPr>
                </w:p>
              </w:tc>
              <w:tc>
                <w:tcPr>
                  <w:tcW w:w="422" w:type="pct"/>
                  <w:vMerge w:val="continue"/>
                  <w:vAlign w:val="center"/>
                </w:tcPr>
                <w:p w14:paraId="09337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pPr>
                </w:p>
              </w:tc>
              <w:tc>
                <w:tcPr>
                  <w:tcW w:w="422" w:type="pct"/>
                  <w:vMerge w:val="continue"/>
                  <w:vAlign w:val="center"/>
                </w:tcPr>
                <w:p w14:paraId="7A6EB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pPr>
                </w:p>
              </w:tc>
              <w:tc>
                <w:tcPr>
                  <w:tcW w:w="351" w:type="pct"/>
                  <w:vMerge w:val="continue"/>
                  <w:tcMar>
                    <w:left w:w="0" w:type="dxa"/>
                    <w:right w:w="0" w:type="dxa"/>
                  </w:tcMar>
                  <w:vAlign w:val="center"/>
                </w:tcPr>
                <w:p w14:paraId="31543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pPr>
                </w:p>
              </w:tc>
              <w:tc>
                <w:tcPr>
                  <w:tcW w:w="679" w:type="pct"/>
                  <w:vMerge w:val="continue"/>
                  <w:vAlign w:val="center"/>
                </w:tcPr>
                <w:p w14:paraId="106CF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pPr>
                </w:p>
              </w:tc>
              <w:tc>
                <w:tcPr>
                  <w:tcW w:w="287" w:type="pct"/>
                  <w:vMerge w:val="continue"/>
                  <w:tcMar>
                    <w:left w:w="57" w:type="dxa"/>
                    <w:right w:w="57" w:type="dxa"/>
                  </w:tcMar>
                  <w:vAlign w:val="center"/>
                </w:tcPr>
                <w:p w14:paraId="56C60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pPr>
                </w:p>
              </w:tc>
              <w:tc>
                <w:tcPr>
                  <w:tcW w:w="317" w:type="pct"/>
                  <w:vMerge w:val="continue"/>
                  <w:vAlign w:val="center"/>
                </w:tcPr>
                <w:p w14:paraId="5DBA9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pPr>
                </w:p>
              </w:tc>
              <w:tc>
                <w:tcPr>
                  <w:tcW w:w="545" w:type="pct"/>
                  <w:vAlign w:val="center"/>
                </w:tcPr>
                <w:p w14:paraId="4901E1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color w:val="auto"/>
                      <w:szCs w:val="21"/>
                      <w:highlight w:val="none"/>
                    </w:rPr>
                    <w:t>COD</w:t>
                  </w:r>
                </w:p>
              </w:tc>
              <w:tc>
                <w:tcPr>
                  <w:tcW w:w="799" w:type="pct"/>
                  <w:vAlign w:val="center"/>
                </w:tcPr>
                <w:p w14:paraId="6E523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5</w:t>
                  </w:r>
                  <w:r>
                    <w:rPr>
                      <w:color w:val="auto"/>
                      <w:szCs w:val="21"/>
                      <w:highlight w:val="none"/>
                    </w:rPr>
                    <w:t>0</w:t>
                  </w:r>
                </w:p>
              </w:tc>
            </w:tr>
            <w:tr w14:paraId="76284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 w:hRule="atLeast"/>
                <w:jc w:val="center"/>
              </w:trPr>
              <w:tc>
                <w:tcPr>
                  <w:tcW w:w="326" w:type="pct"/>
                  <w:vMerge w:val="continue"/>
                  <w:vAlign w:val="center"/>
                </w:tcPr>
                <w:p w14:paraId="44D508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12" w:type="pct"/>
                  <w:vMerge w:val="continue"/>
                  <w:vAlign w:val="center"/>
                </w:tcPr>
                <w:p w14:paraId="533C4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34" w:type="pct"/>
                  <w:vMerge w:val="continue"/>
                  <w:tcMar>
                    <w:left w:w="57" w:type="dxa"/>
                    <w:right w:w="57" w:type="dxa"/>
                  </w:tcMar>
                  <w:vAlign w:val="center"/>
                </w:tcPr>
                <w:p w14:paraId="2CB5C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28C74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24CDB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51" w:type="pct"/>
                  <w:vMerge w:val="continue"/>
                  <w:tcMar>
                    <w:left w:w="0" w:type="dxa"/>
                    <w:right w:w="0" w:type="dxa"/>
                  </w:tcMar>
                  <w:vAlign w:val="center"/>
                </w:tcPr>
                <w:p w14:paraId="2983A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679" w:type="pct"/>
                  <w:vMerge w:val="continue"/>
                  <w:vAlign w:val="center"/>
                </w:tcPr>
                <w:p w14:paraId="12F3D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287" w:type="pct"/>
                  <w:vMerge w:val="continue"/>
                  <w:tcMar>
                    <w:left w:w="57" w:type="dxa"/>
                    <w:right w:w="57" w:type="dxa"/>
                  </w:tcMar>
                  <w:vAlign w:val="center"/>
                </w:tcPr>
                <w:p w14:paraId="7EE01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17" w:type="pct"/>
                  <w:vMerge w:val="continue"/>
                  <w:vAlign w:val="center"/>
                </w:tcPr>
                <w:p w14:paraId="228BF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545" w:type="pct"/>
                  <w:vAlign w:val="center"/>
                </w:tcPr>
                <w:p w14:paraId="1EAFF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rFonts w:hint="eastAsia"/>
                      <w:color w:val="auto"/>
                      <w:szCs w:val="21"/>
                      <w:highlight w:val="none"/>
                      <w:lang w:val="en-US" w:eastAsia="zh-CN"/>
                    </w:rPr>
                    <w:t>BOD</w:t>
                  </w:r>
                  <w:r>
                    <w:rPr>
                      <w:rFonts w:hint="eastAsia"/>
                      <w:color w:val="auto"/>
                      <w:szCs w:val="21"/>
                      <w:highlight w:val="none"/>
                      <w:vertAlign w:val="subscript"/>
                      <w:lang w:val="en-US" w:eastAsia="zh-CN"/>
                    </w:rPr>
                    <w:t>5</w:t>
                  </w:r>
                </w:p>
              </w:tc>
              <w:tc>
                <w:tcPr>
                  <w:tcW w:w="799" w:type="pct"/>
                  <w:vAlign w:val="center"/>
                </w:tcPr>
                <w:p w14:paraId="24637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1</w:t>
                  </w:r>
                  <w:r>
                    <w:rPr>
                      <w:color w:val="auto"/>
                      <w:szCs w:val="21"/>
                      <w:highlight w:val="none"/>
                    </w:rPr>
                    <w:t>0</w:t>
                  </w:r>
                </w:p>
              </w:tc>
            </w:tr>
            <w:tr w14:paraId="10678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 w:hRule="atLeast"/>
                <w:jc w:val="center"/>
              </w:trPr>
              <w:tc>
                <w:tcPr>
                  <w:tcW w:w="326" w:type="pct"/>
                  <w:vMerge w:val="continue"/>
                  <w:vAlign w:val="center"/>
                </w:tcPr>
                <w:p w14:paraId="2E4C8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12" w:type="pct"/>
                  <w:vMerge w:val="continue"/>
                  <w:vAlign w:val="center"/>
                </w:tcPr>
                <w:p w14:paraId="796E2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34" w:type="pct"/>
                  <w:vMerge w:val="continue"/>
                  <w:tcMar>
                    <w:left w:w="57" w:type="dxa"/>
                    <w:right w:w="57" w:type="dxa"/>
                  </w:tcMar>
                  <w:vAlign w:val="center"/>
                </w:tcPr>
                <w:p w14:paraId="5D1C9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76C634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3B9D1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51" w:type="pct"/>
                  <w:vMerge w:val="continue"/>
                  <w:tcMar>
                    <w:left w:w="0" w:type="dxa"/>
                    <w:right w:w="0" w:type="dxa"/>
                  </w:tcMar>
                  <w:vAlign w:val="center"/>
                </w:tcPr>
                <w:p w14:paraId="77B0C4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679" w:type="pct"/>
                  <w:vMerge w:val="continue"/>
                  <w:vAlign w:val="center"/>
                </w:tcPr>
                <w:p w14:paraId="07EE3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287" w:type="pct"/>
                  <w:vMerge w:val="continue"/>
                  <w:tcMar>
                    <w:left w:w="57" w:type="dxa"/>
                    <w:right w:w="57" w:type="dxa"/>
                  </w:tcMar>
                  <w:vAlign w:val="center"/>
                </w:tcPr>
                <w:p w14:paraId="290B80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17" w:type="pct"/>
                  <w:vMerge w:val="continue"/>
                  <w:vAlign w:val="center"/>
                </w:tcPr>
                <w:p w14:paraId="5E484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545" w:type="pct"/>
                  <w:vAlign w:val="center"/>
                </w:tcPr>
                <w:p w14:paraId="7C46D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color w:val="auto"/>
                      <w:szCs w:val="21"/>
                      <w:highlight w:val="none"/>
                    </w:rPr>
                    <w:t>SS</w:t>
                  </w:r>
                </w:p>
              </w:tc>
              <w:tc>
                <w:tcPr>
                  <w:tcW w:w="799" w:type="pct"/>
                  <w:vAlign w:val="center"/>
                </w:tcPr>
                <w:p w14:paraId="3CE9D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1</w:t>
                  </w:r>
                  <w:r>
                    <w:rPr>
                      <w:color w:val="auto"/>
                      <w:szCs w:val="21"/>
                      <w:highlight w:val="none"/>
                    </w:rPr>
                    <w:t>0</w:t>
                  </w:r>
                </w:p>
              </w:tc>
            </w:tr>
            <w:tr w14:paraId="4EE02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 w:hRule="atLeast"/>
                <w:jc w:val="center"/>
              </w:trPr>
              <w:tc>
                <w:tcPr>
                  <w:tcW w:w="326" w:type="pct"/>
                  <w:vMerge w:val="continue"/>
                  <w:vAlign w:val="center"/>
                </w:tcPr>
                <w:p w14:paraId="63F992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12" w:type="pct"/>
                  <w:vMerge w:val="continue"/>
                  <w:vAlign w:val="center"/>
                </w:tcPr>
                <w:p w14:paraId="3582B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34" w:type="pct"/>
                  <w:vMerge w:val="continue"/>
                  <w:tcMar>
                    <w:left w:w="57" w:type="dxa"/>
                    <w:right w:w="57" w:type="dxa"/>
                  </w:tcMar>
                  <w:vAlign w:val="center"/>
                </w:tcPr>
                <w:p w14:paraId="5161B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66E01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7C53E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51" w:type="pct"/>
                  <w:vMerge w:val="continue"/>
                  <w:tcMar>
                    <w:left w:w="0" w:type="dxa"/>
                    <w:right w:w="0" w:type="dxa"/>
                  </w:tcMar>
                  <w:vAlign w:val="center"/>
                </w:tcPr>
                <w:p w14:paraId="41CE4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679" w:type="pct"/>
                  <w:vMerge w:val="continue"/>
                  <w:vAlign w:val="center"/>
                </w:tcPr>
                <w:p w14:paraId="7F164C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287" w:type="pct"/>
                  <w:vMerge w:val="continue"/>
                  <w:tcMar>
                    <w:left w:w="57" w:type="dxa"/>
                    <w:right w:w="57" w:type="dxa"/>
                  </w:tcMar>
                  <w:vAlign w:val="center"/>
                </w:tcPr>
                <w:p w14:paraId="55DE1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17" w:type="pct"/>
                  <w:vMerge w:val="continue"/>
                  <w:vAlign w:val="center"/>
                </w:tcPr>
                <w:p w14:paraId="06E04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545" w:type="pct"/>
                  <w:vAlign w:val="center"/>
                </w:tcPr>
                <w:p w14:paraId="54846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rFonts w:hint="eastAsia"/>
                      <w:color w:val="auto"/>
                      <w:szCs w:val="21"/>
                      <w:highlight w:val="none"/>
                    </w:rPr>
                    <w:t>氨氮</w:t>
                  </w:r>
                </w:p>
              </w:tc>
              <w:tc>
                <w:tcPr>
                  <w:tcW w:w="799" w:type="pct"/>
                  <w:vAlign w:val="center"/>
                </w:tcPr>
                <w:p w14:paraId="3979A6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Cs w:val="21"/>
                      <w:highlight w:val="none"/>
                      <w:lang w:val="en-US" w:eastAsia="zh-CN"/>
                    </w:rPr>
                  </w:pPr>
                  <w:r>
                    <w:rPr>
                      <w:rFonts w:hint="eastAsia" w:ascii="宋体" w:hAnsi="宋体"/>
                      <w:color w:val="auto"/>
                      <w:szCs w:val="21"/>
                      <w:highlight w:val="none"/>
                    </w:rPr>
                    <w:t>≤</w:t>
                  </w:r>
                  <w:r>
                    <w:rPr>
                      <w:rFonts w:hint="eastAsia"/>
                      <w:color w:val="auto"/>
                      <w:szCs w:val="21"/>
                      <w:highlight w:val="none"/>
                    </w:rPr>
                    <w:t>5（8）</w:t>
                  </w:r>
                  <w:r>
                    <w:rPr>
                      <w:rFonts w:hint="eastAsia"/>
                      <w:color w:val="auto"/>
                      <w:szCs w:val="21"/>
                      <w:highlight w:val="none"/>
                      <w:lang w:val="en-US" w:eastAsia="zh-CN"/>
                    </w:rPr>
                    <w:t>*</w:t>
                  </w:r>
                </w:p>
              </w:tc>
            </w:tr>
            <w:tr w14:paraId="5392A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 w:hRule="atLeast"/>
                <w:jc w:val="center"/>
              </w:trPr>
              <w:tc>
                <w:tcPr>
                  <w:tcW w:w="326" w:type="pct"/>
                  <w:vMerge w:val="continue"/>
                  <w:vAlign w:val="center"/>
                </w:tcPr>
                <w:p w14:paraId="1874A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12" w:type="pct"/>
                  <w:vMerge w:val="continue"/>
                  <w:vAlign w:val="center"/>
                </w:tcPr>
                <w:p w14:paraId="42580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34" w:type="pct"/>
                  <w:vMerge w:val="continue"/>
                  <w:tcMar>
                    <w:left w:w="57" w:type="dxa"/>
                    <w:right w:w="57" w:type="dxa"/>
                  </w:tcMar>
                  <w:vAlign w:val="center"/>
                </w:tcPr>
                <w:p w14:paraId="1F18B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02F7A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09F4FE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51" w:type="pct"/>
                  <w:vMerge w:val="continue"/>
                  <w:tcMar>
                    <w:left w:w="0" w:type="dxa"/>
                    <w:right w:w="0" w:type="dxa"/>
                  </w:tcMar>
                  <w:vAlign w:val="center"/>
                </w:tcPr>
                <w:p w14:paraId="12C92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679" w:type="pct"/>
                  <w:vMerge w:val="continue"/>
                  <w:vAlign w:val="center"/>
                </w:tcPr>
                <w:p w14:paraId="24DE6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287" w:type="pct"/>
                  <w:vMerge w:val="continue"/>
                  <w:tcMar>
                    <w:left w:w="57" w:type="dxa"/>
                    <w:right w:w="57" w:type="dxa"/>
                  </w:tcMar>
                  <w:vAlign w:val="center"/>
                </w:tcPr>
                <w:p w14:paraId="07B18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17" w:type="pct"/>
                  <w:vMerge w:val="continue"/>
                  <w:vAlign w:val="center"/>
                </w:tcPr>
                <w:p w14:paraId="308032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545" w:type="pct"/>
                  <w:vAlign w:val="center"/>
                </w:tcPr>
                <w:p w14:paraId="1DB54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rFonts w:hint="eastAsia"/>
                      <w:color w:val="auto"/>
                      <w:szCs w:val="21"/>
                      <w:highlight w:val="none"/>
                    </w:rPr>
                    <w:t>总氮</w:t>
                  </w:r>
                </w:p>
              </w:tc>
              <w:tc>
                <w:tcPr>
                  <w:tcW w:w="799" w:type="pct"/>
                  <w:vAlign w:val="center"/>
                </w:tcPr>
                <w:p w14:paraId="02A570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1</w:t>
                  </w:r>
                  <w:r>
                    <w:rPr>
                      <w:color w:val="auto"/>
                      <w:szCs w:val="21"/>
                      <w:highlight w:val="none"/>
                    </w:rPr>
                    <w:t>5</w:t>
                  </w:r>
                </w:p>
              </w:tc>
            </w:tr>
            <w:tr w14:paraId="5F1E0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 w:hRule="atLeast"/>
                <w:jc w:val="center"/>
              </w:trPr>
              <w:tc>
                <w:tcPr>
                  <w:tcW w:w="326" w:type="pct"/>
                  <w:vMerge w:val="continue"/>
                  <w:vAlign w:val="center"/>
                </w:tcPr>
                <w:p w14:paraId="1810D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12" w:type="pct"/>
                  <w:vMerge w:val="continue"/>
                  <w:vAlign w:val="center"/>
                </w:tcPr>
                <w:p w14:paraId="220F7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34" w:type="pct"/>
                  <w:vMerge w:val="continue"/>
                  <w:tcMar>
                    <w:left w:w="57" w:type="dxa"/>
                    <w:right w:w="57" w:type="dxa"/>
                  </w:tcMar>
                  <w:vAlign w:val="center"/>
                </w:tcPr>
                <w:p w14:paraId="0C456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5D828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422" w:type="pct"/>
                  <w:vMerge w:val="continue"/>
                  <w:vAlign w:val="center"/>
                </w:tcPr>
                <w:p w14:paraId="0B014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51" w:type="pct"/>
                  <w:vMerge w:val="continue"/>
                  <w:tcMar>
                    <w:left w:w="0" w:type="dxa"/>
                    <w:right w:w="0" w:type="dxa"/>
                  </w:tcMar>
                  <w:vAlign w:val="center"/>
                </w:tcPr>
                <w:p w14:paraId="51F12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679" w:type="pct"/>
                  <w:vMerge w:val="continue"/>
                  <w:vAlign w:val="center"/>
                </w:tcPr>
                <w:p w14:paraId="2D5842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287" w:type="pct"/>
                  <w:vMerge w:val="continue"/>
                  <w:tcMar>
                    <w:left w:w="57" w:type="dxa"/>
                    <w:right w:w="57" w:type="dxa"/>
                  </w:tcMar>
                  <w:vAlign w:val="center"/>
                </w:tcPr>
                <w:p w14:paraId="3E288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317" w:type="pct"/>
                  <w:vMerge w:val="continue"/>
                  <w:vAlign w:val="center"/>
                </w:tcPr>
                <w:p w14:paraId="5C4DC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p>
              </w:tc>
              <w:tc>
                <w:tcPr>
                  <w:tcW w:w="545" w:type="pct"/>
                  <w:vAlign w:val="center"/>
                </w:tcPr>
                <w:p w14:paraId="37B347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rFonts w:hint="eastAsia"/>
                      <w:color w:val="auto"/>
                      <w:szCs w:val="21"/>
                      <w:highlight w:val="none"/>
                    </w:rPr>
                    <w:t>总磷</w:t>
                  </w:r>
                </w:p>
              </w:tc>
              <w:tc>
                <w:tcPr>
                  <w:tcW w:w="799" w:type="pct"/>
                  <w:vAlign w:val="center"/>
                </w:tcPr>
                <w:p w14:paraId="76DAB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0</w:t>
                  </w:r>
                  <w:r>
                    <w:rPr>
                      <w:color w:val="auto"/>
                      <w:szCs w:val="21"/>
                      <w:highlight w:val="none"/>
                    </w:rPr>
                    <w:t>.</w:t>
                  </w:r>
                  <w:r>
                    <w:rPr>
                      <w:rFonts w:hint="eastAsia"/>
                      <w:color w:val="auto"/>
                      <w:szCs w:val="21"/>
                      <w:highlight w:val="none"/>
                    </w:rPr>
                    <w:t>5</w:t>
                  </w:r>
                </w:p>
              </w:tc>
            </w:tr>
          </w:tbl>
          <w:p w14:paraId="4387C427">
            <w:pPr>
              <w:keepNext w:val="0"/>
              <w:keepLines w:val="0"/>
              <w:suppressLineNumbers w:val="0"/>
              <w:spacing w:before="0" w:beforeAutospacing="0" w:after="0" w:afterAutospacing="0"/>
              <w:ind w:left="0" w:right="0"/>
              <w:rPr>
                <w:color w:val="auto"/>
                <w:szCs w:val="21"/>
                <w:highlight w:val="none"/>
              </w:rPr>
            </w:pPr>
            <w:r>
              <w:rPr>
                <w:rFonts w:hint="eastAsia"/>
                <w:color w:val="auto"/>
                <w:szCs w:val="21"/>
                <w:highlight w:val="none"/>
              </w:rPr>
              <w:t>注：*括号外数值为水温</w:t>
            </w:r>
            <w:r>
              <w:rPr>
                <w:color w:val="auto"/>
                <w:szCs w:val="21"/>
                <w:highlight w:val="none"/>
              </w:rPr>
              <w:t>&gt;12℃时的控制指标，括号内数值为水温≤12℃时</w:t>
            </w:r>
            <w:r>
              <w:rPr>
                <w:rFonts w:hint="eastAsia"/>
                <w:color w:val="auto"/>
                <w:szCs w:val="21"/>
                <w:highlight w:val="none"/>
              </w:rPr>
              <w:t>的控制指标。</w:t>
            </w:r>
          </w:p>
          <w:p w14:paraId="03FBE00E">
            <w:pPr>
              <w:keepNext w:val="0"/>
              <w:keepLines w:val="0"/>
              <w:suppressLineNumbers w:val="0"/>
              <w:spacing w:before="0" w:beforeAutospacing="0" w:after="0" w:afterAutospacing="0" w:line="300" w:lineRule="auto"/>
              <w:ind w:left="0" w:right="0"/>
              <w:jc w:val="center"/>
              <w:rPr>
                <w:b/>
                <w:bCs/>
                <w:color w:val="0000FF"/>
                <w:szCs w:val="21"/>
                <w:highlight w:val="none"/>
              </w:rPr>
            </w:pPr>
            <w:r>
              <w:rPr>
                <w:rFonts w:hint="eastAsia"/>
                <w:b/>
                <w:bCs/>
                <w:color w:val="0000FF"/>
                <w:szCs w:val="21"/>
                <w:highlight w:val="none"/>
              </w:rPr>
              <w:t>表</w:t>
            </w:r>
            <w:r>
              <w:rPr>
                <w:b/>
                <w:bCs/>
                <w:color w:val="0000FF"/>
                <w:szCs w:val="21"/>
                <w:highlight w:val="none"/>
              </w:rPr>
              <w:t>4-</w:t>
            </w:r>
            <w:r>
              <w:rPr>
                <w:rFonts w:hint="eastAsia"/>
                <w:b/>
                <w:bCs/>
                <w:color w:val="0000FF"/>
                <w:szCs w:val="21"/>
                <w:highlight w:val="none"/>
                <w:lang w:val="en-US" w:eastAsia="zh-CN"/>
              </w:rPr>
              <w:t>23</w:t>
            </w:r>
            <w:r>
              <w:rPr>
                <w:rFonts w:hint="eastAsia"/>
                <w:b/>
                <w:bCs/>
                <w:color w:val="0000FF"/>
                <w:szCs w:val="21"/>
                <w:highlight w:val="none"/>
              </w:rPr>
              <w:t xml:space="preserve"> 废水污染物排放执行标准表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2060"/>
              <w:gridCol w:w="2060"/>
              <w:gridCol w:w="2060"/>
            </w:tblGrid>
            <w:tr w14:paraId="40FF0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00" w:type="pct"/>
                  <w:vMerge w:val="restart"/>
                  <w:vAlign w:val="center"/>
                </w:tcPr>
                <w:p w14:paraId="198ECBC0">
                  <w:pPr>
                    <w:keepNext w:val="0"/>
                    <w:keepLines w:val="0"/>
                    <w:suppressLineNumbers w:val="0"/>
                    <w:spacing w:before="0" w:beforeAutospacing="0" w:after="0" w:afterAutospacing="0"/>
                    <w:ind w:left="0" w:right="0"/>
                    <w:jc w:val="center"/>
                    <w:rPr>
                      <w:b/>
                      <w:bCs/>
                      <w:color w:val="0000FF"/>
                      <w:szCs w:val="21"/>
                      <w:highlight w:val="none"/>
                    </w:rPr>
                  </w:pPr>
                  <w:r>
                    <w:rPr>
                      <w:rFonts w:hint="eastAsia"/>
                      <w:b/>
                      <w:bCs/>
                      <w:color w:val="0000FF"/>
                      <w:szCs w:val="21"/>
                      <w:highlight w:val="none"/>
                    </w:rPr>
                    <w:t>排放口编号</w:t>
                  </w:r>
                </w:p>
              </w:tc>
              <w:tc>
                <w:tcPr>
                  <w:tcW w:w="1100" w:type="pct"/>
                  <w:vMerge w:val="restart"/>
                  <w:vAlign w:val="center"/>
                </w:tcPr>
                <w:p w14:paraId="004CF2B9">
                  <w:pPr>
                    <w:keepNext w:val="0"/>
                    <w:keepLines w:val="0"/>
                    <w:suppressLineNumbers w:val="0"/>
                    <w:spacing w:before="0" w:beforeAutospacing="0" w:after="0" w:afterAutospacing="0"/>
                    <w:ind w:left="0" w:right="0"/>
                    <w:jc w:val="center"/>
                    <w:rPr>
                      <w:b/>
                      <w:bCs/>
                      <w:color w:val="0000FF"/>
                      <w:szCs w:val="21"/>
                      <w:highlight w:val="none"/>
                    </w:rPr>
                  </w:pPr>
                  <w:r>
                    <w:rPr>
                      <w:rFonts w:hint="eastAsia"/>
                      <w:b/>
                      <w:bCs/>
                      <w:color w:val="0000FF"/>
                      <w:szCs w:val="21"/>
                      <w:highlight w:val="none"/>
                    </w:rPr>
                    <w:t>污染物种类</w:t>
                  </w:r>
                </w:p>
              </w:tc>
              <w:tc>
                <w:tcPr>
                  <w:tcW w:w="1100" w:type="pct"/>
                  <w:gridSpan w:val="2"/>
                  <w:vAlign w:val="center"/>
                </w:tcPr>
                <w:p w14:paraId="150A1C95">
                  <w:pPr>
                    <w:keepNext w:val="0"/>
                    <w:keepLines w:val="0"/>
                    <w:suppressLineNumbers w:val="0"/>
                    <w:spacing w:before="0" w:beforeAutospacing="0" w:after="0" w:afterAutospacing="0"/>
                    <w:ind w:left="0" w:right="0"/>
                    <w:jc w:val="center"/>
                    <w:rPr>
                      <w:b/>
                      <w:bCs/>
                      <w:color w:val="0000FF"/>
                      <w:szCs w:val="21"/>
                      <w:highlight w:val="none"/>
                    </w:rPr>
                  </w:pPr>
                  <w:r>
                    <w:rPr>
                      <w:rFonts w:hint="eastAsia"/>
                      <w:b/>
                      <w:bCs/>
                      <w:color w:val="0000FF"/>
                      <w:szCs w:val="21"/>
                      <w:highlight w:val="none"/>
                    </w:rPr>
                    <w:t>国家或地方污染物排放标准及其他按规定商定的排放协议</w:t>
                  </w:r>
                </w:p>
              </w:tc>
            </w:tr>
            <w:tr w14:paraId="69CAD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00" w:type="pct"/>
                  <w:vMerge w:val="continue"/>
                  <w:vAlign w:val="center"/>
                </w:tcPr>
                <w:p w14:paraId="72588158">
                  <w:pPr>
                    <w:keepNext w:val="0"/>
                    <w:keepLines w:val="0"/>
                    <w:suppressLineNumbers w:val="0"/>
                    <w:spacing w:before="0" w:beforeAutospacing="0" w:after="0" w:afterAutospacing="0"/>
                    <w:ind w:left="0" w:right="0"/>
                    <w:jc w:val="center"/>
                    <w:rPr>
                      <w:b/>
                      <w:bCs/>
                      <w:color w:val="0000FF"/>
                      <w:szCs w:val="21"/>
                      <w:highlight w:val="none"/>
                    </w:rPr>
                  </w:pPr>
                </w:p>
              </w:tc>
              <w:tc>
                <w:tcPr>
                  <w:tcW w:w="1100" w:type="pct"/>
                  <w:vMerge w:val="continue"/>
                  <w:vAlign w:val="center"/>
                </w:tcPr>
                <w:p w14:paraId="1E078958">
                  <w:pPr>
                    <w:keepNext w:val="0"/>
                    <w:keepLines w:val="0"/>
                    <w:suppressLineNumbers w:val="0"/>
                    <w:spacing w:before="0" w:beforeAutospacing="0" w:after="0" w:afterAutospacing="0"/>
                    <w:ind w:left="0" w:right="0"/>
                    <w:jc w:val="center"/>
                    <w:rPr>
                      <w:b/>
                      <w:bCs/>
                      <w:color w:val="0000FF"/>
                      <w:szCs w:val="21"/>
                      <w:highlight w:val="none"/>
                    </w:rPr>
                  </w:pPr>
                </w:p>
              </w:tc>
              <w:tc>
                <w:tcPr>
                  <w:tcW w:w="1100" w:type="pct"/>
                  <w:vAlign w:val="center"/>
                </w:tcPr>
                <w:p w14:paraId="632A77D2">
                  <w:pPr>
                    <w:keepNext w:val="0"/>
                    <w:keepLines w:val="0"/>
                    <w:suppressLineNumbers w:val="0"/>
                    <w:spacing w:before="0" w:beforeAutospacing="0" w:after="0" w:afterAutospacing="0"/>
                    <w:ind w:left="0" w:right="0"/>
                    <w:jc w:val="center"/>
                    <w:rPr>
                      <w:b/>
                      <w:bCs/>
                      <w:color w:val="0000FF"/>
                      <w:szCs w:val="21"/>
                      <w:highlight w:val="none"/>
                    </w:rPr>
                  </w:pPr>
                  <w:r>
                    <w:rPr>
                      <w:rFonts w:hint="eastAsia"/>
                      <w:b/>
                      <w:bCs/>
                      <w:color w:val="0000FF"/>
                      <w:szCs w:val="21"/>
                      <w:highlight w:val="none"/>
                    </w:rPr>
                    <w:t>名称</w:t>
                  </w:r>
                </w:p>
              </w:tc>
              <w:tc>
                <w:tcPr>
                  <w:tcW w:w="1100" w:type="pct"/>
                  <w:vAlign w:val="center"/>
                </w:tcPr>
                <w:p w14:paraId="7019D7A3">
                  <w:pPr>
                    <w:keepNext w:val="0"/>
                    <w:keepLines w:val="0"/>
                    <w:suppressLineNumbers w:val="0"/>
                    <w:spacing w:before="0" w:beforeAutospacing="0" w:after="0" w:afterAutospacing="0"/>
                    <w:ind w:left="0" w:right="0"/>
                    <w:jc w:val="center"/>
                    <w:rPr>
                      <w:b/>
                      <w:bCs/>
                      <w:color w:val="0000FF"/>
                      <w:szCs w:val="21"/>
                      <w:highlight w:val="none"/>
                    </w:rPr>
                  </w:pPr>
                  <w:r>
                    <w:rPr>
                      <w:rFonts w:hint="eastAsia"/>
                      <w:b/>
                      <w:bCs/>
                      <w:color w:val="0000FF"/>
                      <w:szCs w:val="21"/>
                      <w:highlight w:val="none"/>
                    </w:rPr>
                    <w:t>浓度限值/(mg/L)</w:t>
                  </w:r>
                </w:p>
              </w:tc>
            </w:tr>
            <w:tr w14:paraId="753F5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100" w:type="pct"/>
                  <w:vAlign w:val="center"/>
                </w:tcPr>
                <w:p w14:paraId="37E0E15C">
                  <w:pPr>
                    <w:keepNext w:val="0"/>
                    <w:keepLines w:val="0"/>
                    <w:suppressLineNumbers w:val="0"/>
                    <w:spacing w:before="0" w:beforeAutospacing="0" w:after="0" w:afterAutospacing="0"/>
                    <w:ind w:left="0" w:right="0"/>
                    <w:jc w:val="center"/>
                    <w:rPr>
                      <w:color w:val="0000FF"/>
                      <w:szCs w:val="21"/>
                      <w:highlight w:val="none"/>
                    </w:rPr>
                  </w:pPr>
                  <w:r>
                    <w:rPr>
                      <w:color w:val="0000FF"/>
                      <w:szCs w:val="21"/>
                      <w:highlight w:val="none"/>
                    </w:rPr>
                    <w:t>DW001</w:t>
                  </w:r>
                </w:p>
              </w:tc>
              <w:tc>
                <w:tcPr>
                  <w:tcW w:w="1100" w:type="pct"/>
                  <w:vAlign w:val="center"/>
                </w:tcPr>
                <w:p w14:paraId="5E1665B7">
                  <w:pPr>
                    <w:keepNext w:val="0"/>
                    <w:keepLines w:val="0"/>
                    <w:suppressLineNumbers w:val="0"/>
                    <w:spacing w:before="0" w:beforeAutospacing="0" w:after="0" w:afterAutospacing="0"/>
                    <w:ind w:left="0" w:right="0"/>
                    <w:jc w:val="center"/>
                    <w:rPr>
                      <w:rFonts w:hint="eastAsia"/>
                      <w:color w:val="0000FF"/>
                      <w:szCs w:val="21"/>
                      <w:highlight w:val="none"/>
                      <w:lang w:val="en-US" w:eastAsia="zh-CN"/>
                    </w:rPr>
                  </w:pPr>
                  <w:r>
                    <w:rPr>
                      <w:rFonts w:hint="eastAsia"/>
                      <w:color w:val="0000FF"/>
                      <w:szCs w:val="21"/>
                      <w:highlight w:val="none"/>
                      <w:lang w:val="en-US" w:eastAsia="zh-CN"/>
                    </w:rPr>
                    <w:t>pH</w:t>
                  </w:r>
                </w:p>
                <w:p w14:paraId="00658B06">
                  <w:pPr>
                    <w:keepNext w:val="0"/>
                    <w:keepLines w:val="0"/>
                    <w:suppressLineNumbers w:val="0"/>
                    <w:spacing w:before="0" w:beforeAutospacing="0" w:after="0" w:afterAutospacing="0"/>
                    <w:ind w:left="0" w:right="0"/>
                    <w:jc w:val="center"/>
                    <w:rPr>
                      <w:color w:val="0000FF"/>
                      <w:szCs w:val="21"/>
                      <w:highlight w:val="none"/>
                    </w:rPr>
                  </w:pPr>
                  <w:r>
                    <w:rPr>
                      <w:rFonts w:hint="eastAsia"/>
                      <w:color w:val="0000FF"/>
                      <w:szCs w:val="21"/>
                      <w:highlight w:val="none"/>
                    </w:rPr>
                    <w:t>COD</w:t>
                  </w:r>
                </w:p>
                <w:p w14:paraId="7EE8E964">
                  <w:pPr>
                    <w:keepNext w:val="0"/>
                    <w:keepLines w:val="0"/>
                    <w:suppressLineNumbers w:val="0"/>
                    <w:spacing w:before="0" w:beforeAutospacing="0" w:after="0" w:afterAutospacing="0"/>
                    <w:ind w:left="0" w:right="0"/>
                    <w:jc w:val="center"/>
                    <w:rPr>
                      <w:rFonts w:hint="eastAsia"/>
                      <w:color w:val="0000FF"/>
                      <w:szCs w:val="21"/>
                      <w:highlight w:val="none"/>
                      <w:lang w:val="en-US" w:eastAsia="zh-CN"/>
                    </w:rPr>
                  </w:pPr>
                  <w:r>
                    <w:rPr>
                      <w:rFonts w:hint="eastAsia"/>
                      <w:color w:val="0000FF"/>
                      <w:szCs w:val="21"/>
                      <w:highlight w:val="none"/>
                      <w:lang w:val="en-US" w:eastAsia="zh-CN"/>
                    </w:rPr>
                    <w:t>BOD</w:t>
                  </w:r>
                  <w:r>
                    <w:rPr>
                      <w:rFonts w:hint="eastAsia"/>
                      <w:color w:val="0000FF"/>
                      <w:szCs w:val="21"/>
                      <w:highlight w:val="none"/>
                      <w:vertAlign w:val="subscript"/>
                      <w:lang w:val="en-US" w:eastAsia="zh-CN"/>
                    </w:rPr>
                    <w:t>5</w:t>
                  </w:r>
                </w:p>
                <w:p w14:paraId="68A7930A">
                  <w:pPr>
                    <w:keepNext w:val="0"/>
                    <w:keepLines w:val="0"/>
                    <w:suppressLineNumbers w:val="0"/>
                    <w:spacing w:before="0" w:beforeAutospacing="0" w:after="0" w:afterAutospacing="0"/>
                    <w:ind w:left="0" w:right="0"/>
                    <w:jc w:val="center"/>
                    <w:rPr>
                      <w:color w:val="0000FF"/>
                      <w:szCs w:val="21"/>
                      <w:highlight w:val="none"/>
                    </w:rPr>
                  </w:pPr>
                  <w:r>
                    <w:rPr>
                      <w:rFonts w:hint="eastAsia"/>
                      <w:color w:val="0000FF"/>
                      <w:szCs w:val="21"/>
                      <w:highlight w:val="none"/>
                    </w:rPr>
                    <w:t>SS</w:t>
                  </w:r>
                </w:p>
                <w:p w14:paraId="4BF81918">
                  <w:pPr>
                    <w:keepNext w:val="0"/>
                    <w:keepLines w:val="0"/>
                    <w:suppressLineNumbers w:val="0"/>
                    <w:spacing w:before="0" w:beforeAutospacing="0" w:after="0" w:afterAutospacing="0"/>
                    <w:ind w:left="0" w:right="0"/>
                    <w:jc w:val="center"/>
                    <w:rPr>
                      <w:color w:val="0000FF"/>
                      <w:szCs w:val="21"/>
                      <w:highlight w:val="none"/>
                    </w:rPr>
                  </w:pPr>
                  <w:r>
                    <w:rPr>
                      <w:rFonts w:hint="eastAsia"/>
                      <w:color w:val="0000FF"/>
                      <w:szCs w:val="21"/>
                      <w:highlight w:val="none"/>
                    </w:rPr>
                    <w:t>氨氮</w:t>
                  </w:r>
                </w:p>
                <w:p w14:paraId="5522C2BF">
                  <w:pPr>
                    <w:keepNext w:val="0"/>
                    <w:keepLines w:val="0"/>
                    <w:suppressLineNumbers w:val="0"/>
                    <w:spacing w:before="0" w:beforeAutospacing="0" w:after="0" w:afterAutospacing="0"/>
                    <w:ind w:left="0" w:right="0"/>
                    <w:jc w:val="center"/>
                    <w:rPr>
                      <w:color w:val="0000FF"/>
                      <w:szCs w:val="21"/>
                      <w:highlight w:val="none"/>
                    </w:rPr>
                  </w:pPr>
                  <w:r>
                    <w:rPr>
                      <w:rFonts w:hint="eastAsia"/>
                      <w:color w:val="0000FF"/>
                      <w:szCs w:val="21"/>
                      <w:highlight w:val="none"/>
                    </w:rPr>
                    <w:t>总氮</w:t>
                  </w:r>
                </w:p>
                <w:p w14:paraId="628F1D26">
                  <w:pPr>
                    <w:keepNext w:val="0"/>
                    <w:keepLines w:val="0"/>
                    <w:suppressLineNumbers w:val="0"/>
                    <w:spacing w:before="0" w:beforeAutospacing="0" w:after="0" w:afterAutospacing="0"/>
                    <w:ind w:left="0" w:right="0"/>
                    <w:jc w:val="center"/>
                    <w:rPr>
                      <w:rFonts w:hint="eastAsia"/>
                      <w:color w:val="0000FF"/>
                      <w:szCs w:val="21"/>
                      <w:highlight w:val="none"/>
                    </w:rPr>
                  </w:pPr>
                  <w:r>
                    <w:rPr>
                      <w:rFonts w:hint="eastAsia"/>
                      <w:color w:val="0000FF"/>
                      <w:szCs w:val="21"/>
                      <w:highlight w:val="none"/>
                    </w:rPr>
                    <w:t>总磷</w:t>
                  </w:r>
                </w:p>
                <w:p w14:paraId="34F6FADA">
                  <w:pPr>
                    <w:keepNext w:val="0"/>
                    <w:keepLines w:val="0"/>
                    <w:suppressLineNumbers w:val="0"/>
                    <w:spacing w:before="0" w:beforeAutospacing="0" w:after="0" w:afterAutospacing="0"/>
                    <w:ind w:left="0" w:right="0"/>
                    <w:jc w:val="center"/>
                    <w:rPr>
                      <w:rFonts w:hint="eastAsia" w:eastAsia="宋体"/>
                      <w:color w:val="0000FF"/>
                      <w:szCs w:val="21"/>
                      <w:highlight w:val="none"/>
                      <w:lang w:val="en-US" w:eastAsia="zh-CN"/>
                    </w:rPr>
                  </w:pPr>
                  <w:r>
                    <w:rPr>
                      <w:rFonts w:hint="eastAsia"/>
                      <w:color w:val="0000FF"/>
                      <w:szCs w:val="21"/>
                      <w:highlight w:val="none"/>
                      <w:lang w:val="en-US" w:eastAsia="zh-CN"/>
                    </w:rPr>
                    <w:t>石油类</w:t>
                  </w:r>
                </w:p>
              </w:tc>
              <w:tc>
                <w:tcPr>
                  <w:tcW w:w="1100" w:type="pct"/>
                  <w:vAlign w:val="center"/>
                </w:tcPr>
                <w:p w14:paraId="3A63FB5E">
                  <w:pPr>
                    <w:keepNext w:val="0"/>
                    <w:keepLines w:val="0"/>
                    <w:suppressLineNumbers w:val="0"/>
                    <w:spacing w:before="0" w:beforeAutospacing="0" w:after="0" w:afterAutospacing="0"/>
                    <w:ind w:left="0" w:right="0"/>
                    <w:jc w:val="center"/>
                    <w:rPr>
                      <w:rFonts w:hint="eastAsia" w:eastAsia="宋体"/>
                      <w:color w:val="0000FF"/>
                      <w:szCs w:val="21"/>
                      <w:highlight w:val="none"/>
                      <w:lang w:eastAsia="zh-CN"/>
                    </w:rPr>
                  </w:pPr>
                  <w:r>
                    <w:rPr>
                      <w:rFonts w:hint="eastAsia"/>
                      <w:color w:val="0000FF"/>
                      <w:szCs w:val="21"/>
                      <w:highlight w:val="none"/>
                      <w:lang w:eastAsia="zh-CN"/>
                    </w:rPr>
                    <w:t>李口镇污水处理厂</w:t>
                  </w:r>
                </w:p>
              </w:tc>
              <w:tc>
                <w:tcPr>
                  <w:tcW w:w="1100" w:type="pct"/>
                  <w:vAlign w:val="center"/>
                </w:tcPr>
                <w:p w14:paraId="1557B689">
                  <w:pPr>
                    <w:keepNext w:val="0"/>
                    <w:keepLines w:val="0"/>
                    <w:suppressLineNumbers w:val="0"/>
                    <w:spacing w:before="0" w:beforeAutospacing="0" w:after="0" w:afterAutospacing="0"/>
                    <w:ind w:left="0" w:right="0"/>
                    <w:jc w:val="center"/>
                    <w:rPr>
                      <w:rFonts w:hint="default" w:ascii="Times New Roman" w:hAnsi="Times New Roman" w:cs="Times New Roman"/>
                      <w:color w:val="0000FF"/>
                      <w:szCs w:val="21"/>
                      <w:highlight w:val="none"/>
                      <w:lang w:val="en-US" w:eastAsia="zh-CN"/>
                    </w:rPr>
                  </w:pPr>
                  <w:r>
                    <w:rPr>
                      <w:rFonts w:hint="default" w:ascii="Times New Roman" w:hAnsi="Times New Roman" w:cs="Times New Roman"/>
                      <w:color w:val="0000FF"/>
                      <w:szCs w:val="21"/>
                      <w:highlight w:val="none"/>
                      <w:lang w:val="en-US" w:eastAsia="zh-CN"/>
                    </w:rPr>
                    <w:t>6~9</w:t>
                  </w:r>
                </w:p>
                <w:p w14:paraId="6907BB37">
                  <w:pPr>
                    <w:keepNext w:val="0"/>
                    <w:keepLines w:val="0"/>
                    <w:suppressLineNumbers w:val="0"/>
                    <w:spacing w:before="0" w:beforeAutospacing="0" w:after="0" w:afterAutospacing="0"/>
                    <w:ind w:left="0" w:right="0"/>
                    <w:jc w:val="center"/>
                    <w:rPr>
                      <w:color w:val="0000FF"/>
                      <w:szCs w:val="21"/>
                      <w:highlight w:val="none"/>
                    </w:rPr>
                  </w:pPr>
                  <w:r>
                    <w:rPr>
                      <w:rFonts w:hint="eastAsia" w:ascii="宋体" w:hAnsi="宋体"/>
                      <w:color w:val="0000FF"/>
                      <w:szCs w:val="21"/>
                      <w:highlight w:val="none"/>
                    </w:rPr>
                    <w:t>≤</w:t>
                  </w:r>
                  <w:r>
                    <w:rPr>
                      <w:rFonts w:hint="eastAsia"/>
                      <w:color w:val="0000FF"/>
                      <w:szCs w:val="21"/>
                      <w:highlight w:val="none"/>
                      <w:lang w:val="en-US" w:eastAsia="zh-CN"/>
                    </w:rPr>
                    <w:t>28</w:t>
                  </w:r>
                  <w:r>
                    <w:rPr>
                      <w:color w:val="0000FF"/>
                      <w:szCs w:val="21"/>
                      <w:highlight w:val="none"/>
                    </w:rPr>
                    <w:t>0</w:t>
                  </w:r>
                </w:p>
                <w:p w14:paraId="6A8EAC4F">
                  <w:pPr>
                    <w:keepNext w:val="0"/>
                    <w:keepLines w:val="0"/>
                    <w:suppressLineNumbers w:val="0"/>
                    <w:spacing w:before="0" w:beforeAutospacing="0" w:after="0" w:afterAutospacing="0"/>
                    <w:ind w:left="0" w:right="0"/>
                    <w:jc w:val="center"/>
                    <w:rPr>
                      <w:color w:val="0000FF"/>
                      <w:szCs w:val="21"/>
                      <w:highlight w:val="none"/>
                    </w:rPr>
                  </w:pPr>
                  <w:r>
                    <w:rPr>
                      <w:rFonts w:hint="eastAsia" w:ascii="宋体" w:hAnsi="宋体"/>
                      <w:color w:val="0000FF"/>
                      <w:szCs w:val="21"/>
                      <w:highlight w:val="none"/>
                    </w:rPr>
                    <w:t>≤</w:t>
                  </w:r>
                  <w:r>
                    <w:rPr>
                      <w:rFonts w:hint="eastAsia"/>
                      <w:color w:val="0000FF"/>
                      <w:szCs w:val="21"/>
                      <w:highlight w:val="none"/>
                      <w:lang w:val="en-US" w:eastAsia="zh-CN"/>
                    </w:rPr>
                    <w:t>16</w:t>
                  </w:r>
                  <w:r>
                    <w:rPr>
                      <w:color w:val="0000FF"/>
                      <w:szCs w:val="21"/>
                      <w:highlight w:val="none"/>
                    </w:rPr>
                    <w:t>0</w:t>
                  </w:r>
                </w:p>
                <w:p w14:paraId="5B64B977">
                  <w:pPr>
                    <w:keepNext w:val="0"/>
                    <w:keepLines w:val="0"/>
                    <w:suppressLineNumbers w:val="0"/>
                    <w:spacing w:before="0" w:beforeAutospacing="0" w:after="0" w:afterAutospacing="0"/>
                    <w:ind w:left="0" w:right="0"/>
                    <w:jc w:val="center"/>
                    <w:rPr>
                      <w:color w:val="0000FF"/>
                      <w:szCs w:val="21"/>
                      <w:highlight w:val="none"/>
                    </w:rPr>
                  </w:pPr>
                  <w:r>
                    <w:rPr>
                      <w:rFonts w:hint="eastAsia" w:ascii="宋体" w:hAnsi="宋体"/>
                      <w:color w:val="0000FF"/>
                      <w:szCs w:val="21"/>
                      <w:highlight w:val="none"/>
                    </w:rPr>
                    <w:t>≤</w:t>
                  </w:r>
                  <w:r>
                    <w:rPr>
                      <w:rFonts w:hint="eastAsia"/>
                      <w:color w:val="0000FF"/>
                      <w:szCs w:val="21"/>
                      <w:highlight w:val="none"/>
                      <w:lang w:val="en-US" w:eastAsia="zh-CN"/>
                    </w:rPr>
                    <w:t>18</w:t>
                  </w:r>
                  <w:r>
                    <w:rPr>
                      <w:color w:val="0000FF"/>
                      <w:szCs w:val="21"/>
                      <w:highlight w:val="none"/>
                    </w:rPr>
                    <w:t>0</w:t>
                  </w:r>
                </w:p>
                <w:p w14:paraId="73838F1D">
                  <w:pPr>
                    <w:keepNext w:val="0"/>
                    <w:keepLines w:val="0"/>
                    <w:suppressLineNumbers w:val="0"/>
                    <w:spacing w:before="0" w:beforeAutospacing="0" w:after="0" w:afterAutospacing="0"/>
                    <w:ind w:left="0" w:right="0"/>
                    <w:jc w:val="center"/>
                    <w:rPr>
                      <w:rFonts w:hint="default"/>
                      <w:color w:val="0000FF"/>
                      <w:szCs w:val="21"/>
                      <w:highlight w:val="none"/>
                      <w:lang w:val="en-US"/>
                    </w:rPr>
                  </w:pPr>
                  <w:r>
                    <w:rPr>
                      <w:rFonts w:hint="eastAsia" w:ascii="宋体" w:hAnsi="宋体"/>
                      <w:color w:val="0000FF"/>
                      <w:szCs w:val="21"/>
                      <w:highlight w:val="none"/>
                    </w:rPr>
                    <w:t>≤</w:t>
                  </w:r>
                  <w:r>
                    <w:rPr>
                      <w:rFonts w:hint="eastAsia"/>
                      <w:color w:val="0000FF"/>
                      <w:szCs w:val="21"/>
                      <w:highlight w:val="none"/>
                      <w:lang w:val="en-US" w:eastAsia="zh-CN"/>
                    </w:rPr>
                    <w:t>35</w:t>
                  </w:r>
                </w:p>
                <w:p w14:paraId="146A385E">
                  <w:pPr>
                    <w:keepNext w:val="0"/>
                    <w:keepLines w:val="0"/>
                    <w:suppressLineNumbers w:val="0"/>
                    <w:spacing w:before="0" w:beforeAutospacing="0" w:after="0" w:afterAutospacing="0"/>
                    <w:ind w:left="0" w:right="0"/>
                    <w:jc w:val="center"/>
                    <w:rPr>
                      <w:rFonts w:hint="default" w:eastAsia="宋体"/>
                      <w:color w:val="0000FF"/>
                      <w:szCs w:val="21"/>
                      <w:highlight w:val="none"/>
                      <w:lang w:val="en-US" w:eastAsia="zh-CN"/>
                    </w:rPr>
                  </w:pPr>
                  <w:r>
                    <w:rPr>
                      <w:rFonts w:hint="eastAsia" w:ascii="宋体" w:hAnsi="宋体"/>
                      <w:color w:val="0000FF"/>
                      <w:szCs w:val="21"/>
                      <w:highlight w:val="none"/>
                    </w:rPr>
                    <w:t>≤</w:t>
                  </w:r>
                  <w:r>
                    <w:rPr>
                      <w:rFonts w:hint="eastAsia"/>
                      <w:color w:val="0000FF"/>
                      <w:szCs w:val="21"/>
                      <w:highlight w:val="none"/>
                      <w:lang w:val="en-US" w:eastAsia="zh-CN"/>
                    </w:rPr>
                    <w:t>40</w:t>
                  </w:r>
                </w:p>
                <w:p w14:paraId="25D53AA3">
                  <w:pPr>
                    <w:keepNext w:val="0"/>
                    <w:keepLines w:val="0"/>
                    <w:suppressLineNumbers w:val="0"/>
                    <w:spacing w:before="0" w:beforeAutospacing="0" w:after="0" w:afterAutospacing="0"/>
                    <w:ind w:left="0" w:right="0"/>
                    <w:jc w:val="center"/>
                    <w:rPr>
                      <w:rFonts w:hint="eastAsia"/>
                      <w:color w:val="0000FF"/>
                      <w:szCs w:val="21"/>
                      <w:highlight w:val="none"/>
                      <w:lang w:val="en-US" w:eastAsia="zh-CN"/>
                    </w:rPr>
                  </w:pPr>
                  <w:r>
                    <w:rPr>
                      <w:rFonts w:hint="eastAsia" w:ascii="宋体" w:hAnsi="宋体"/>
                      <w:color w:val="0000FF"/>
                      <w:szCs w:val="21"/>
                      <w:highlight w:val="none"/>
                    </w:rPr>
                    <w:t>≤</w:t>
                  </w:r>
                  <w:r>
                    <w:rPr>
                      <w:rFonts w:hint="eastAsia"/>
                      <w:color w:val="0000FF"/>
                      <w:szCs w:val="21"/>
                      <w:highlight w:val="none"/>
                      <w:lang w:val="en-US" w:eastAsia="zh-CN"/>
                    </w:rPr>
                    <w:t>3</w:t>
                  </w:r>
                </w:p>
                <w:p w14:paraId="17F7FADB">
                  <w:pPr>
                    <w:keepNext w:val="0"/>
                    <w:keepLines w:val="0"/>
                    <w:suppressLineNumbers w:val="0"/>
                    <w:spacing w:before="0" w:beforeAutospacing="0" w:after="0" w:afterAutospacing="0"/>
                    <w:ind w:left="0" w:right="0"/>
                    <w:jc w:val="center"/>
                    <w:rPr>
                      <w:rFonts w:hint="default" w:eastAsia="宋体"/>
                      <w:color w:val="0000FF"/>
                      <w:szCs w:val="21"/>
                      <w:highlight w:val="none"/>
                      <w:lang w:val="en-US" w:eastAsia="zh-CN"/>
                    </w:rPr>
                  </w:pPr>
                  <w:r>
                    <w:rPr>
                      <w:rFonts w:hint="eastAsia" w:ascii="宋体" w:hAnsi="宋体"/>
                      <w:color w:val="0000FF"/>
                      <w:szCs w:val="21"/>
                      <w:highlight w:val="none"/>
                    </w:rPr>
                    <w:t>≤</w:t>
                  </w:r>
                  <w:r>
                    <w:rPr>
                      <w:rFonts w:hint="eastAsia" w:cs="Times New Roman"/>
                      <w:color w:val="0000FF"/>
                      <w:szCs w:val="21"/>
                      <w:highlight w:val="none"/>
                      <w:lang w:val="en-US" w:eastAsia="zh-CN"/>
                    </w:rPr>
                    <w:t>1</w:t>
                  </w:r>
                  <w:r>
                    <w:rPr>
                      <w:rFonts w:hint="default" w:ascii="Times New Roman" w:hAnsi="Times New Roman" w:cs="Times New Roman"/>
                      <w:color w:val="0000FF"/>
                      <w:szCs w:val="21"/>
                      <w:highlight w:val="none"/>
                      <w:lang w:val="en-US" w:eastAsia="zh-CN"/>
                    </w:rPr>
                    <w:t>0</w:t>
                  </w:r>
                </w:p>
              </w:tc>
            </w:tr>
          </w:tbl>
          <w:p w14:paraId="677D6AF5">
            <w:pPr>
              <w:keepNext w:val="0"/>
              <w:keepLines w:val="0"/>
              <w:suppressLineNumbers w:val="0"/>
              <w:spacing w:before="0" w:beforeAutospacing="0" w:after="0" w:afterAutospacing="0" w:line="300" w:lineRule="auto"/>
              <w:ind w:left="0" w:right="0"/>
              <w:jc w:val="center"/>
              <w:rPr>
                <w:b/>
                <w:bCs/>
                <w:color w:val="0000FF"/>
                <w:szCs w:val="21"/>
                <w:highlight w:val="none"/>
              </w:rPr>
            </w:pPr>
            <w:r>
              <w:rPr>
                <w:rFonts w:hint="eastAsia"/>
                <w:b/>
                <w:bCs/>
                <w:color w:val="0000FF"/>
                <w:szCs w:val="21"/>
                <w:highlight w:val="none"/>
              </w:rPr>
              <w:t>表</w:t>
            </w:r>
            <w:r>
              <w:rPr>
                <w:b/>
                <w:bCs/>
                <w:color w:val="0000FF"/>
                <w:szCs w:val="21"/>
                <w:highlight w:val="none"/>
              </w:rPr>
              <w:t>4-</w:t>
            </w:r>
            <w:r>
              <w:rPr>
                <w:rFonts w:hint="eastAsia"/>
                <w:b/>
                <w:bCs/>
                <w:color w:val="0000FF"/>
                <w:szCs w:val="21"/>
                <w:highlight w:val="none"/>
                <w:lang w:val="en-US" w:eastAsia="zh-CN"/>
              </w:rPr>
              <w:t>24</w:t>
            </w:r>
            <w:r>
              <w:rPr>
                <w:rFonts w:hint="eastAsia"/>
                <w:b/>
                <w:bCs/>
                <w:color w:val="0000FF"/>
                <w:szCs w:val="21"/>
                <w:highlight w:val="none"/>
              </w:rPr>
              <w:t xml:space="preserve"> 本项目废水污染物排放信息表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8"/>
              <w:gridCol w:w="1230"/>
              <w:gridCol w:w="1072"/>
              <w:gridCol w:w="1072"/>
              <w:gridCol w:w="1072"/>
              <w:gridCol w:w="1074"/>
              <w:gridCol w:w="1055"/>
              <w:gridCol w:w="1056"/>
            </w:tblGrid>
            <w:tr w14:paraId="38DE5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Align w:val="center"/>
                </w:tcPr>
                <w:p w14:paraId="1D38FBB5">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序号</w:t>
                  </w:r>
                </w:p>
              </w:tc>
              <w:tc>
                <w:tcPr>
                  <w:tcW w:w="746" w:type="pct"/>
                  <w:vAlign w:val="center"/>
                </w:tcPr>
                <w:p w14:paraId="69042E81">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排放口编号</w:t>
                  </w:r>
                </w:p>
              </w:tc>
              <w:tc>
                <w:tcPr>
                  <w:tcW w:w="650" w:type="pct"/>
                  <w:vAlign w:val="center"/>
                </w:tcPr>
                <w:p w14:paraId="367314AA">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污染物种类</w:t>
                  </w:r>
                </w:p>
              </w:tc>
              <w:tc>
                <w:tcPr>
                  <w:tcW w:w="650" w:type="pct"/>
                  <w:vAlign w:val="center"/>
                </w:tcPr>
                <w:p w14:paraId="213B94BD">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rPr>
                    <w:t>排放浓度/（mg/</w:t>
                  </w:r>
                  <w:r>
                    <w:rPr>
                      <w:b/>
                      <w:bCs/>
                      <w:color w:val="0000FF"/>
                      <w:sz w:val="21"/>
                      <w:szCs w:val="21"/>
                      <w:highlight w:val="none"/>
                    </w:rPr>
                    <w:t>L</w:t>
                  </w:r>
                  <w:r>
                    <w:rPr>
                      <w:rFonts w:hint="eastAsia"/>
                      <w:b/>
                      <w:bCs/>
                      <w:color w:val="0000FF"/>
                      <w:sz w:val="21"/>
                      <w:szCs w:val="21"/>
                      <w:highlight w:val="none"/>
                    </w:rPr>
                    <w:t>）</w:t>
                  </w:r>
                </w:p>
              </w:tc>
              <w:tc>
                <w:tcPr>
                  <w:tcW w:w="650" w:type="pct"/>
                  <w:vAlign w:val="center"/>
                </w:tcPr>
                <w:p w14:paraId="0EDFDA50">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lang w:val="en-US" w:eastAsia="zh-CN"/>
                    </w:rPr>
                    <w:t>新增</w:t>
                  </w:r>
                  <w:r>
                    <w:rPr>
                      <w:rFonts w:hint="eastAsia"/>
                      <w:b/>
                      <w:bCs/>
                      <w:color w:val="0000FF"/>
                      <w:sz w:val="21"/>
                      <w:szCs w:val="21"/>
                      <w:highlight w:val="none"/>
                    </w:rPr>
                    <w:t>日排放量/（kg/d）</w:t>
                  </w:r>
                </w:p>
              </w:tc>
              <w:tc>
                <w:tcPr>
                  <w:tcW w:w="651" w:type="pct"/>
                  <w:vAlign w:val="center"/>
                </w:tcPr>
                <w:p w14:paraId="5C83B770">
                  <w:pPr>
                    <w:keepNext w:val="0"/>
                    <w:keepLines w:val="0"/>
                    <w:suppressLineNumbers w:val="0"/>
                    <w:spacing w:before="0" w:beforeAutospacing="0" w:after="0" w:afterAutospacing="0"/>
                    <w:ind w:left="0" w:right="0"/>
                    <w:jc w:val="center"/>
                    <w:rPr>
                      <w:rFonts w:hint="eastAsia" w:eastAsia="宋体"/>
                      <w:b/>
                      <w:bCs/>
                      <w:color w:val="0000FF"/>
                      <w:sz w:val="21"/>
                      <w:szCs w:val="21"/>
                      <w:highlight w:val="none"/>
                      <w:lang w:val="en-US" w:eastAsia="zh-CN"/>
                    </w:rPr>
                  </w:pPr>
                  <w:r>
                    <w:rPr>
                      <w:rFonts w:hint="eastAsia"/>
                      <w:b/>
                      <w:bCs/>
                      <w:color w:val="0000FF"/>
                      <w:sz w:val="21"/>
                      <w:szCs w:val="21"/>
                      <w:highlight w:val="none"/>
                      <w:lang w:val="en-US" w:eastAsia="zh-CN"/>
                    </w:rPr>
                    <w:t>全厂</w:t>
                  </w:r>
                  <w:r>
                    <w:rPr>
                      <w:rFonts w:hint="eastAsia"/>
                      <w:b/>
                      <w:bCs/>
                      <w:color w:val="0000FF"/>
                      <w:sz w:val="21"/>
                      <w:szCs w:val="21"/>
                      <w:highlight w:val="none"/>
                    </w:rPr>
                    <w:t>日排放量/（kg/d）</w:t>
                  </w:r>
                </w:p>
              </w:tc>
              <w:tc>
                <w:tcPr>
                  <w:tcW w:w="640" w:type="pct"/>
                  <w:vAlign w:val="center"/>
                </w:tcPr>
                <w:p w14:paraId="018D1F23">
                  <w:pPr>
                    <w:keepNext w:val="0"/>
                    <w:keepLines w:val="0"/>
                    <w:suppressLineNumbers w:val="0"/>
                    <w:spacing w:before="0" w:beforeAutospacing="0" w:after="0" w:afterAutospacing="0"/>
                    <w:ind w:left="0" w:right="0"/>
                    <w:jc w:val="center"/>
                    <w:rPr>
                      <w:b/>
                      <w:bCs/>
                      <w:color w:val="0000FF"/>
                      <w:sz w:val="21"/>
                      <w:szCs w:val="21"/>
                      <w:highlight w:val="none"/>
                    </w:rPr>
                  </w:pPr>
                  <w:r>
                    <w:rPr>
                      <w:rFonts w:hint="eastAsia"/>
                      <w:b/>
                      <w:bCs/>
                      <w:color w:val="0000FF"/>
                      <w:sz w:val="21"/>
                      <w:szCs w:val="21"/>
                      <w:highlight w:val="none"/>
                      <w:lang w:val="en-US" w:eastAsia="zh-CN"/>
                    </w:rPr>
                    <w:t>新增</w:t>
                  </w:r>
                  <w:r>
                    <w:rPr>
                      <w:rFonts w:hint="eastAsia"/>
                      <w:b/>
                      <w:bCs/>
                      <w:color w:val="0000FF"/>
                      <w:sz w:val="21"/>
                      <w:szCs w:val="21"/>
                      <w:highlight w:val="none"/>
                    </w:rPr>
                    <w:t>年排放量/（t/a）</w:t>
                  </w:r>
                </w:p>
              </w:tc>
              <w:tc>
                <w:tcPr>
                  <w:tcW w:w="640" w:type="pct"/>
                  <w:vAlign w:val="center"/>
                </w:tcPr>
                <w:p w14:paraId="6529EEC4">
                  <w:pPr>
                    <w:keepNext w:val="0"/>
                    <w:keepLines w:val="0"/>
                    <w:suppressLineNumbers w:val="0"/>
                    <w:spacing w:before="0" w:beforeAutospacing="0" w:after="0" w:afterAutospacing="0"/>
                    <w:ind w:left="0" w:right="0"/>
                    <w:jc w:val="center"/>
                    <w:rPr>
                      <w:rFonts w:hint="eastAsia"/>
                      <w:b/>
                      <w:bCs/>
                      <w:color w:val="0000FF"/>
                      <w:sz w:val="21"/>
                      <w:szCs w:val="21"/>
                      <w:highlight w:val="none"/>
                    </w:rPr>
                  </w:pPr>
                  <w:r>
                    <w:rPr>
                      <w:rFonts w:hint="eastAsia"/>
                      <w:b/>
                      <w:bCs/>
                      <w:color w:val="0000FF"/>
                      <w:sz w:val="21"/>
                      <w:szCs w:val="21"/>
                      <w:highlight w:val="none"/>
                      <w:lang w:val="en-US" w:eastAsia="zh-CN"/>
                    </w:rPr>
                    <w:t>全厂</w:t>
                  </w:r>
                  <w:r>
                    <w:rPr>
                      <w:rFonts w:hint="eastAsia"/>
                      <w:b/>
                      <w:bCs/>
                      <w:color w:val="0000FF"/>
                      <w:sz w:val="21"/>
                      <w:szCs w:val="21"/>
                      <w:highlight w:val="none"/>
                    </w:rPr>
                    <w:t>年排放量/（t/a）</w:t>
                  </w:r>
                </w:p>
              </w:tc>
            </w:tr>
            <w:tr w14:paraId="32F94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restart"/>
                  <w:vAlign w:val="center"/>
                </w:tcPr>
                <w:p w14:paraId="1FF0DAA3">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1</w:t>
                  </w:r>
                </w:p>
              </w:tc>
              <w:tc>
                <w:tcPr>
                  <w:tcW w:w="746" w:type="pct"/>
                  <w:vMerge w:val="restart"/>
                  <w:vAlign w:val="center"/>
                </w:tcPr>
                <w:p w14:paraId="41F9221F">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D</w:t>
                  </w:r>
                  <w:r>
                    <w:rPr>
                      <w:color w:val="0000FF"/>
                      <w:sz w:val="21"/>
                      <w:szCs w:val="21"/>
                      <w:highlight w:val="none"/>
                    </w:rPr>
                    <w:t>W</w:t>
                  </w:r>
                  <w:r>
                    <w:rPr>
                      <w:rFonts w:hint="eastAsia"/>
                      <w:color w:val="0000FF"/>
                      <w:sz w:val="21"/>
                      <w:szCs w:val="21"/>
                      <w:highlight w:val="none"/>
                    </w:rPr>
                    <w:t>00</w:t>
                  </w:r>
                  <w:r>
                    <w:rPr>
                      <w:color w:val="0000FF"/>
                      <w:sz w:val="21"/>
                      <w:szCs w:val="21"/>
                      <w:highlight w:val="none"/>
                    </w:rPr>
                    <w:t>1</w:t>
                  </w:r>
                </w:p>
              </w:tc>
              <w:tc>
                <w:tcPr>
                  <w:tcW w:w="650" w:type="pct"/>
                  <w:vAlign w:val="center"/>
                </w:tcPr>
                <w:p w14:paraId="613B1987">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650" w:type="pct"/>
                  <w:shd w:val="clear" w:color="auto" w:fill="auto"/>
                  <w:vAlign w:val="center"/>
                </w:tcPr>
                <w:p w14:paraId="111A47E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sz w:val="21"/>
                      <w:szCs w:val="21"/>
                      <w:u w:val="none"/>
                      <w:lang w:val="en-US" w:eastAsia="zh-CN"/>
                    </w:rPr>
                    <w:t>280</w:t>
                  </w:r>
                </w:p>
              </w:tc>
              <w:tc>
                <w:tcPr>
                  <w:tcW w:w="650" w:type="pct"/>
                  <w:vAlign w:val="center"/>
                </w:tcPr>
                <w:p w14:paraId="532CB484">
                  <w:pPr>
                    <w:keepNext w:val="0"/>
                    <w:keepLines w:val="0"/>
                    <w:widowControl/>
                    <w:suppressLineNumbers w:val="0"/>
                    <w:spacing w:before="0" w:beforeAutospacing="0" w:after="0" w:afterAutospacing="0"/>
                    <w:ind w:left="0" w:right="0"/>
                    <w:jc w:val="center"/>
                    <w:textAlignment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1.066</w:t>
                  </w:r>
                </w:p>
              </w:tc>
              <w:tc>
                <w:tcPr>
                  <w:tcW w:w="651" w:type="pct"/>
                  <w:vAlign w:val="center"/>
                </w:tcPr>
                <w:p w14:paraId="7547A7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7.6347</w:t>
                  </w:r>
                </w:p>
              </w:tc>
              <w:tc>
                <w:tcPr>
                  <w:tcW w:w="640" w:type="pct"/>
                  <w:shd w:val="clear" w:color="auto" w:fill="auto"/>
                  <w:vAlign w:val="center"/>
                </w:tcPr>
                <w:p w14:paraId="3C6D95A3">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0.3198</w:t>
                  </w:r>
                </w:p>
              </w:tc>
              <w:tc>
                <w:tcPr>
                  <w:tcW w:w="1056" w:type="dxa"/>
                  <w:vAlign w:val="center"/>
                </w:tcPr>
                <w:p w14:paraId="3BFB2D3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2.2904</w:t>
                  </w:r>
                </w:p>
              </w:tc>
            </w:tr>
            <w:tr w14:paraId="79B6A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continue"/>
                  <w:vAlign w:val="center"/>
                </w:tcPr>
                <w:p w14:paraId="003D25AF">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746" w:type="pct"/>
                  <w:vMerge w:val="continue"/>
                  <w:vAlign w:val="center"/>
                </w:tcPr>
                <w:p w14:paraId="5ADE4A74">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650" w:type="pct"/>
                  <w:vAlign w:val="center"/>
                </w:tcPr>
                <w:p w14:paraId="4B6D45EF">
                  <w:pPr>
                    <w:keepNext w:val="0"/>
                    <w:keepLines w:val="0"/>
                    <w:widowControl/>
                    <w:suppressLineNumbers w:val="0"/>
                    <w:jc w:val="center"/>
                    <w:textAlignment w:val="center"/>
                    <w:rPr>
                      <w:rFonts w:hint="eastAsia"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650" w:type="pct"/>
                  <w:shd w:val="clear" w:color="auto" w:fill="auto"/>
                  <w:vAlign w:val="center"/>
                </w:tcPr>
                <w:p w14:paraId="4E4212CD">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sz w:val="21"/>
                      <w:szCs w:val="21"/>
                      <w:u w:val="none"/>
                      <w:lang w:val="en-US" w:eastAsia="zh-CN"/>
                    </w:rPr>
                    <w:t>160</w:t>
                  </w:r>
                </w:p>
              </w:tc>
              <w:tc>
                <w:tcPr>
                  <w:tcW w:w="650" w:type="pct"/>
                  <w:vAlign w:val="center"/>
                </w:tcPr>
                <w:p w14:paraId="465FDD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0.509</w:t>
                  </w:r>
                </w:p>
              </w:tc>
              <w:tc>
                <w:tcPr>
                  <w:tcW w:w="651" w:type="pct"/>
                  <w:vAlign w:val="center"/>
                </w:tcPr>
                <w:p w14:paraId="5772C1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7.775</w:t>
                  </w:r>
                </w:p>
              </w:tc>
              <w:tc>
                <w:tcPr>
                  <w:tcW w:w="640" w:type="pct"/>
                  <w:shd w:val="clear" w:color="auto" w:fill="auto"/>
                  <w:vAlign w:val="center"/>
                </w:tcPr>
                <w:p w14:paraId="69ED391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0.1527</w:t>
                  </w:r>
                </w:p>
              </w:tc>
              <w:tc>
                <w:tcPr>
                  <w:tcW w:w="1056" w:type="dxa"/>
                  <w:vAlign w:val="center"/>
                </w:tcPr>
                <w:p w14:paraId="1B1764A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2.3325</w:t>
                  </w:r>
                </w:p>
              </w:tc>
            </w:tr>
            <w:tr w14:paraId="69866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continue"/>
                  <w:vAlign w:val="center"/>
                </w:tcPr>
                <w:p w14:paraId="2E315E20">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746" w:type="pct"/>
                  <w:vMerge w:val="continue"/>
                  <w:vAlign w:val="center"/>
                </w:tcPr>
                <w:p w14:paraId="52F8613C">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650" w:type="pct"/>
                  <w:vAlign w:val="center"/>
                </w:tcPr>
                <w:p w14:paraId="097E71A9">
                  <w:pPr>
                    <w:keepNext w:val="0"/>
                    <w:keepLines w:val="0"/>
                    <w:widowControl/>
                    <w:suppressLineNumbers w:val="0"/>
                    <w:jc w:val="center"/>
                    <w:textAlignment w:val="center"/>
                    <w:rPr>
                      <w:rFonts w:hint="eastAsia"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650" w:type="pct"/>
                  <w:shd w:val="clear" w:color="auto" w:fill="auto"/>
                  <w:vAlign w:val="center"/>
                </w:tcPr>
                <w:p w14:paraId="2FBFCD8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sz w:val="21"/>
                      <w:szCs w:val="21"/>
                      <w:u w:val="none"/>
                      <w:lang w:val="en-US" w:eastAsia="zh-CN"/>
                    </w:rPr>
                    <w:t>180</w:t>
                  </w:r>
                </w:p>
              </w:tc>
              <w:tc>
                <w:tcPr>
                  <w:tcW w:w="650" w:type="pct"/>
                  <w:vAlign w:val="center"/>
                </w:tcPr>
                <w:p w14:paraId="49D458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0.6853</w:t>
                  </w:r>
                </w:p>
              </w:tc>
              <w:tc>
                <w:tcPr>
                  <w:tcW w:w="651" w:type="pct"/>
                  <w:vAlign w:val="center"/>
                </w:tcPr>
                <w:p w14:paraId="23286A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4.7053</w:t>
                  </w:r>
                </w:p>
              </w:tc>
              <w:tc>
                <w:tcPr>
                  <w:tcW w:w="640" w:type="pct"/>
                  <w:shd w:val="clear" w:color="auto" w:fill="auto"/>
                  <w:vAlign w:val="center"/>
                </w:tcPr>
                <w:p w14:paraId="352389E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0.2056</w:t>
                  </w:r>
                </w:p>
              </w:tc>
              <w:tc>
                <w:tcPr>
                  <w:tcW w:w="1056" w:type="dxa"/>
                  <w:vAlign w:val="center"/>
                </w:tcPr>
                <w:p w14:paraId="1810630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1.4116</w:t>
                  </w:r>
                </w:p>
              </w:tc>
            </w:tr>
            <w:tr w14:paraId="12B02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continue"/>
                  <w:vAlign w:val="center"/>
                </w:tcPr>
                <w:p w14:paraId="684AB3B8">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746" w:type="pct"/>
                  <w:vMerge w:val="continue"/>
                  <w:vAlign w:val="center"/>
                </w:tcPr>
                <w:p w14:paraId="7AB6517A">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650" w:type="pct"/>
                  <w:vAlign w:val="center"/>
                </w:tcPr>
                <w:p w14:paraId="12669619">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氨氮</w:t>
                  </w:r>
                </w:p>
              </w:tc>
              <w:tc>
                <w:tcPr>
                  <w:tcW w:w="650" w:type="pct"/>
                  <w:shd w:val="clear" w:color="auto" w:fill="auto"/>
                  <w:vAlign w:val="center"/>
                </w:tcPr>
                <w:p w14:paraId="1142302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sz w:val="21"/>
                      <w:szCs w:val="21"/>
                      <w:u w:val="none"/>
                      <w:lang w:val="en-US" w:eastAsia="zh-CN"/>
                    </w:rPr>
                    <w:t>5.25</w:t>
                  </w:r>
                </w:p>
              </w:tc>
              <w:tc>
                <w:tcPr>
                  <w:tcW w:w="650" w:type="pct"/>
                  <w:vAlign w:val="center"/>
                </w:tcPr>
                <w:p w14:paraId="17E18F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0.02</w:t>
                  </w:r>
                </w:p>
              </w:tc>
              <w:tc>
                <w:tcPr>
                  <w:tcW w:w="651" w:type="pct"/>
                  <w:vAlign w:val="center"/>
                </w:tcPr>
                <w:p w14:paraId="0EB30F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0.456</w:t>
                  </w:r>
                </w:p>
              </w:tc>
              <w:tc>
                <w:tcPr>
                  <w:tcW w:w="640" w:type="pct"/>
                  <w:shd w:val="clear" w:color="auto" w:fill="auto"/>
                  <w:vAlign w:val="center"/>
                </w:tcPr>
                <w:p w14:paraId="417245B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0.006</w:t>
                  </w:r>
                </w:p>
              </w:tc>
              <w:tc>
                <w:tcPr>
                  <w:tcW w:w="1056" w:type="dxa"/>
                  <w:vAlign w:val="center"/>
                </w:tcPr>
                <w:p w14:paraId="34E21C1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0.1368</w:t>
                  </w:r>
                </w:p>
              </w:tc>
            </w:tr>
            <w:tr w14:paraId="3CA93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continue"/>
                  <w:vAlign w:val="center"/>
                </w:tcPr>
                <w:p w14:paraId="734542DC">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746" w:type="pct"/>
                  <w:vMerge w:val="continue"/>
                  <w:vAlign w:val="center"/>
                </w:tcPr>
                <w:p w14:paraId="3F467548">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650" w:type="pct"/>
                  <w:vAlign w:val="center"/>
                </w:tcPr>
                <w:p w14:paraId="6FCD7504">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总氮</w:t>
                  </w:r>
                </w:p>
              </w:tc>
              <w:tc>
                <w:tcPr>
                  <w:tcW w:w="650" w:type="pct"/>
                  <w:shd w:val="clear" w:color="auto" w:fill="auto"/>
                  <w:vAlign w:val="center"/>
                </w:tcPr>
                <w:p w14:paraId="4CB50F98">
                  <w:pPr>
                    <w:keepNext w:val="0"/>
                    <w:keepLines w:val="0"/>
                    <w:widowControl/>
                    <w:suppressLineNumbers w:val="0"/>
                    <w:jc w:val="center"/>
                    <w:textAlignment w:val="center"/>
                    <w:rPr>
                      <w:rFonts w:hint="eastAsia"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sz w:val="21"/>
                      <w:szCs w:val="21"/>
                      <w:u w:val="none"/>
                      <w:lang w:val="en-US" w:eastAsia="zh-CN"/>
                    </w:rPr>
                    <w:t>11.30</w:t>
                  </w:r>
                </w:p>
              </w:tc>
              <w:tc>
                <w:tcPr>
                  <w:tcW w:w="650" w:type="pct"/>
                  <w:vAlign w:val="center"/>
                </w:tcPr>
                <w:p w14:paraId="4CB7A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0.043</w:t>
                  </w:r>
                </w:p>
              </w:tc>
              <w:tc>
                <w:tcPr>
                  <w:tcW w:w="651" w:type="pct"/>
                  <w:vAlign w:val="center"/>
                </w:tcPr>
                <w:p w14:paraId="7DA3DB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1.7383</w:t>
                  </w:r>
                </w:p>
              </w:tc>
              <w:tc>
                <w:tcPr>
                  <w:tcW w:w="640" w:type="pct"/>
                  <w:shd w:val="clear" w:color="auto" w:fill="auto"/>
                  <w:vAlign w:val="center"/>
                </w:tcPr>
                <w:p w14:paraId="275203E0">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0.0129</w:t>
                  </w:r>
                </w:p>
              </w:tc>
              <w:tc>
                <w:tcPr>
                  <w:tcW w:w="1056" w:type="dxa"/>
                  <w:vAlign w:val="center"/>
                </w:tcPr>
                <w:p w14:paraId="35661AC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0.5215</w:t>
                  </w:r>
                </w:p>
              </w:tc>
            </w:tr>
            <w:tr w14:paraId="1C4B8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continue"/>
                  <w:vAlign w:val="center"/>
                </w:tcPr>
                <w:p w14:paraId="20FF8B00">
                  <w:pPr>
                    <w:keepNext w:val="0"/>
                    <w:keepLines w:val="0"/>
                    <w:suppressLineNumbers w:val="0"/>
                    <w:spacing w:before="0" w:beforeAutospacing="0" w:after="0" w:afterAutospacing="0"/>
                    <w:ind w:left="0" w:right="0"/>
                    <w:jc w:val="center"/>
                    <w:rPr>
                      <w:color w:val="0000FF"/>
                      <w:sz w:val="21"/>
                      <w:szCs w:val="21"/>
                      <w:highlight w:val="none"/>
                    </w:rPr>
                  </w:pPr>
                </w:p>
              </w:tc>
              <w:tc>
                <w:tcPr>
                  <w:tcW w:w="746" w:type="pct"/>
                  <w:vMerge w:val="continue"/>
                  <w:vAlign w:val="center"/>
                </w:tcPr>
                <w:p w14:paraId="1A44BAFD">
                  <w:pPr>
                    <w:keepNext w:val="0"/>
                    <w:keepLines w:val="0"/>
                    <w:suppressLineNumbers w:val="0"/>
                    <w:spacing w:before="0" w:beforeAutospacing="0" w:after="0" w:afterAutospacing="0"/>
                    <w:ind w:left="0" w:right="0"/>
                    <w:jc w:val="center"/>
                    <w:rPr>
                      <w:color w:val="0000FF"/>
                      <w:sz w:val="21"/>
                      <w:szCs w:val="21"/>
                      <w:highlight w:val="none"/>
                    </w:rPr>
                  </w:pPr>
                </w:p>
              </w:tc>
              <w:tc>
                <w:tcPr>
                  <w:tcW w:w="650" w:type="pct"/>
                  <w:vAlign w:val="center"/>
                </w:tcPr>
                <w:p w14:paraId="709A3CCA">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总磷</w:t>
                  </w:r>
                </w:p>
              </w:tc>
              <w:tc>
                <w:tcPr>
                  <w:tcW w:w="650" w:type="pct"/>
                  <w:shd w:val="clear" w:color="auto" w:fill="auto"/>
                  <w:vAlign w:val="center"/>
                </w:tcPr>
                <w:p w14:paraId="2CAF992F">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sz w:val="21"/>
                      <w:szCs w:val="21"/>
                      <w:u w:val="none"/>
                      <w:lang w:val="en-US" w:eastAsia="zh-CN"/>
                    </w:rPr>
                    <w:t>3</w:t>
                  </w:r>
                </w:p>
              </w:tc>
              <w:tc>
                <w:tcPr>
                  <w:tcW w:w="650" w:type="pct"/>
                  <w:vAlign w:val="center"/>
                </w:tcPr>
                <w:p w14:paraId="5DB05FB4">
                  <w:pPr>
                    <w:keepNext w:val="0"/>
                    <w:keepLines w:val="0"/>
                    <w:widowControl/>
                    <w:suppressLineNumbers w:val="0"/>
                    <w:spacing w:before="0" w:beforeAutospacing="0" w:after="0" w:afterAutospacing="0"/>
                    <w:ind w:left="0" w:right="0"/>
                    <w:jc w:val="center"/>
                    <w:textAlignment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0.0113</w:t>
                  </w:r>
                </w:p>
              </w:tc>
              <w:tc>
                <w:tcPr>
                  <w:tcW w:w="651" w:type="pct"/>
                  <w:vAlign w:val="center"/>
                </w:tcPr>
                <w:p w14:paraId="465F43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0.0565</w:t>
                  </w:r>
                </w:p>
              </w:tc>
              <w:tc>
                <w:tcPr>
                  <w:tcW w:w="640" w:type="pct"/>
                  <w:shd w:val="clear" w:color="auto" w:fill="auto"/>
                  <w:vAlign w:val="center"/>
                </w:tcPr>
                <w:p w14:paraId="362B170D">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0.0034</w:t>
                  </w:r>
                </w:p>
              </w:tc>
              <w:tc>
                <w:tcPr>
                  <w:tcW w:w="1056" w:type="dxa"/>
                  <w:vAlign w:val="center"/>
                </w:tcPr>
                <w:p w14:paraId="463486F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0.01694</w:t>
                  </w:r>
                </w:p>
              </w:tc>
            </w:tr>
            <w:tr w14:paraId="05D5D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continue"/>
                  <w:vAlign w:val="center"/>
                </w:tcPr>
                <w:p w14:paraId="6BFF6A7C">
                  <w:pPr>
                    <w:keepNext w:val="0"/>
                    <w:keepLines w:val="0"/>
                    <w:suppressLineNumbers w:val="0"/>
                    <w:spacing w:before="0" w:beforeAutospacing="0" w:after="0" w:afterAutospacing="0"/>
                    <w:ind w:left="0" w:right="0"/>
                    <w:jc w:val="center"/>
                    <w:rPr>
                      <w:color w:val="0000FF"/>
                      <w:sz w:val="21"/>
                      <w:szCs w:val="21"/>
                      <w:highlight w:val="none"/>
                    </w:rPr>
                  </w:pPr>
                </w:p>
              </w:tc>
              <w:tc>
                <w:tcPr>
                  <w:tcW w:w="746" w:type="pct"/>
                  <w:vMerge w:val="continue"/>
                  <w:vAlign w:val="center"/>
                </w:tcPr>
                <w:p w14:paraId="6BA7D7D8">
                  <w:pPr>
                    <w:keepNext w:val="0"/>
                    <w:keepLines w:val="0"/>
                    <w:suppressLineNumbers w:val="0"/>
                    <w:spacing w:before="0" w:beforeAutospacing="0" w:after="0" w:afterAutospacing="0"/>
                    <w:ind w:left="0" w:right="0"/>
                    <w:jc w:val="center"/>
                    <w:rPr>
                      <w:color w:val="0000FF"/>
                      <w:sz w:val="21"/>
                      <w:szCs w:val="21"/>
                      <w:highlight w:val="none"/>
                    </w:rPr>
                  </w:pPr>
                </w:p>
              </w:tc>
              <w:tc>
                <w:tcPr>
                  <w:tcW w:w="650" w:type="pct"/>
                  <w:vAlign w:val="center"/>
                </w:tcPr>
                <w:p w14:paraId="38952AF1">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石油类</w:t>
                  </w:r>
                </w:p>
              </w:tc>
              <w:tc>
                <w:tcPr>
                  <w:tcW w:w="650" w:type="pct"/>
                  <w:shd w:val="clear" w:color="auto" w:fill="auto"/>
                  <w:vAlign w:val="center"/>
                </w:tcPr>
                <w:p w14:paraId="3D57401F">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7.88</w:t>
                  </w:r>
                </w:p>
              </w:tc>
              <w:tc>
                <w:tcPr>
                  <w:tcW w:w="650" w:type="pct"/>
                  <w:vAlign w:val="center"/>
                </w:tcPr>
                <w:p w14:paraId="637ACAD2">
                  <w:pPr>
                    <w:keepNext w:val="0"/>
                    <w:keepLines w:val="0"/>
                    <w:widowControl/>
                    <w:suppressLineNumbers w:val="0"/>
                    <w:spacing w:before="0" w:beforeAutospacing="0" w:after="0" w:afterAutospacing="0"/>
                    <w:ind w:left="0" w:right="0"/>
                    <w:jc w:val="center"/>
                    <w:textAlignment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0.03</w:t>
                  </w:r>
                </w:p>
              </w:tc>
              <w:tc>
                <w:tcPr>
                  <w:tcW w:w="651" w:type="pct"/>
                  <w:vAlign w:val="center"/>
                </w:tcPr>
                <w:p w14:paraId="04E5B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0.1155</w:t>
                  </w:r>
                </w:p>
              </w:tc>
              <w:tc>
                <w:tcPr>
                  <w:tcW w:w="640" w:type="pct"/>
                  <w:shd w:val="clear" w:color="auto" w:fill="auto"/>
                  <w:vAlign w:val="center"/>
                </w:tcPr>
                <w:p w14:paraId="4E07504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0.009</w:t>
                  </w:r>
                </w:p>
              </w:tc>
              <w:tc>
                <w:tcPr>
                  <w:tcW w:w="1056" w:type="dxa"/>
                  <w:vAlign w:val="center"/>
                </w:tcPr>
                <w:p w14:paraId="6AB3948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0.03466</w:t>
                  </w:r>
                </w:p>
              </w:tc>
            </w:tr>
            <w:tr w14:paraId="7EB20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continue"/>
                  <w:vAlign w:val="center"/>
                </w:tcPr>
                <w:p w14:paraId="3038EDF8">
                  <w:pPr>
                    <w:keepNext w:val="0"/>
                    <w:keepLines w:val="0"/>
                    <w:suppressLineNumbers w:val="0"/>
                    <w:spacing w:before="0" w:beforeAutospacing="0" w:after="0" w:afterAutospacing="0"/>
                    <w:ind w:left="0" w:right="0"/>
                    <w:jc w:val="center"/>
                    <w:rPr>
                      <w:color w:val="0000FF"/>
                      <w:sz w:val="21"/>
                      <w:szCs w:val="21"/>
                      <w:highlight w:val="none"/>
                    </w:rPr>
                  </w:pPr>
                </w:p>
              </w:tc>
              <w:tc>
                <w:tcPr>
                  <w:tcW w:w="746" w:type="pct"/>
                  <w:vMerge w:val="continue"/>
                  <w:vAlign w:val="center"/>
                </w:tcPr>
                <w:p w14:paraId="44DCAA04">
                  <w:pPr>
                    <w:keepNext w:val="0"/>
                    <w:keepLines w:val="0"/>
                    <w:suppressLineNumbers w:val="0"/>
                    <w:spacing w:before="0" w:beforeAutospacing="0" w:after="0" w:afterAutospacing="0"/>
                    <w:ind w:left="0" w:right="0"/>
                    <w:jc w:val="center"/>
                    <w:rPr>
                      <w:color w:val="0000FF"/>
                      <w:sz w:val="21"/>
                      <w:szCs w:val="21"/>
                      <w:highlight w:val="none"/>
                    </w:rPr>
                  </w:pPr>
                </w:p>
              </w:tc>
              <w:tc>
                <w:tcPr>
                  <w:tcW w:w="650" w:type="pct"/>
                  <w:vAlign w:val="center"/>
                </w:tcPr>
                <w:p w14:paraId="4E605C29">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总锌</w:t>
                  </w:r>
                </w:p>
              </w:tc>
              <w:tc>
                <w:tcPr>
                  <w:tcW w:w="650" w:type="pct"/>
                  <w:shd w:val="clear" w:color="auto" w:fill="auto"/>
                  <w:vAlign w:val="center"/>
                </w:tcPr>
                <w:p w14:paraId="20384AAE">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79</w:t>
                  </w:r>
                </w:p>
              </w:tc>
              <w:tc>
                <w:tcPr>
                  <w:tcW w:w="650" w:type="pct"/>
                  <w:vAlign w:val="center"/>
                </w:tcPr>
                <w:p w14:paraId="20DC62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0.003</w:t>
                  </w:r>
                </w:p>
              </w:tc>
              <w:tc>
                <w:tcPr>
                  <w:tcW w:w="651" w:type="pct"/>
                  <w:vAlign w:val="center"/>
                </w:tcPr>
                <w:p w14:paraId="6E46DA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0.0031</w:t>
                  </w:r>
                </w:p>
              </w:tc>
              <w:tc>
                <w:tcPr>
                  <w:tcW w:w="640" w:type="pct"/>
                  <w:shd w:val="clear" w:color="auto" w:fill="auto"/>
                  <w:vAlign w:val="center"/>
                </w:tcPr>
                <w:p w14:paraId="0D111D49">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0.0009</w:t>
                  </w:r>
                </w:p>
              </w:tc>
              <w:tc>
                <w:tcPr>
                  <w:tcW w:w="1056" w:type="dxa"/>
                  <w:vAlign w:val="center"/>
                </w:tcPr>
                <w:p w14:paraId="37883CF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0.00094</w:t>
                  </w:r>
                </w:p>
              </w:tc>
            </w:tr>
            <w:tr w14:paraId="6D9B3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continue"/>
                  <w:vAlign w:val="center"/>
                </w:tcPr>
                <w:p w14:paraId="2B2E2E7B">
                  <w:pPr>
                    <w:keepNext w:val="0"/>
                    <w:keepLines w:val="0"/>
                    <w:suppressLineNumbers w:val="0"/>
                    <w:spacing w:before="0" w:beforeAutospacing="0" w:after="0" w:afterAutospacing="0"/>
                    <w:ind w:left="0" w:right="0"/>
                    <w:jc w:val="center"/>
                    <w:rPr>
                      <w:color w:val="0000FF"/>
                      <w:sz w:val="21"/>
                      <w:szCs w:val="21"/>
                      <w:highlight w:val="none"/>
                    </w:rPr>
                  </w:pPr>
                </w:p>
              </w:tc>
              <w:tc>
                <w:tcPr>
                  <w:tcW w:w="746" w:type="pct"/>
                  <w:vMerge w:val="continue"/>
                  <w:vAlign w:val="center"/>
                </w:tcPr>
                <w:p w14:paraId="1461322A">
                  <w:pPr>
                    <w:keepNext w:val="0"/>
                    <w:keepLines w:val="0"/>
                    <w:suppressLineNumbers w:val="0"/>
                    <w:spacing w:before="0" w:beforeAutospacing="0" w:after="0" w:afterAutospacing="0"/>
                    <w:ind w:left="0" w:right="0"/>
                    <w:jc w:val="center"/>
                    <w:rPr>
                      <w:color w:val="0000FF"/>
                      <w:sz w:val="21"/>
                      <w:szCs w:val="21"/>
                      <w:highlight w:val="none"/>
                    </w:rPr>
                  </w:pPr>
                </w:p>
              </w:tc>
              <w:tc>
                <w:tcPr>
                  <w:tcW w:w="650" w:type="pct"/>
                  <w:vAlign w:val="center"/>
                </w:tcPr>
                <w:p w14:paraId="2A784D77">
                  <w:pPr>
                    <w:keepNext w:val="0"/>
                    <w:keepLines w:val="0"/>
                    <w:widowControl/>
                    <w:suppressLineNumbers w:val="0"/>
                    <w:jc w:val="center"/>
                    <w:textAlignment w:val="center"/>
                    <w:rPr>
                      <w:rFonts w:hint="default" w:ascii="宋体" w:hAnsi="宋体" w:eastAsia="宋体" w:cs="宋体"/>
                      <w:i w:val="0"/>
                      <w:iCs w:val="0"/>
                      <w:color w:val="0000FF"/>
                      <w:kern w:val="0"/>
                      <w:sz w:val="21"/>
                      <w:szCs w:val="21"/>
                      <w:u w:val="none"/>
                      <w:lang w:val="en-US" w:eastAsia="zh-CN" w:bidi="ar"/>
                    </w:rPr>
                  </w:pPr>
                  <w:r>
                    <w:rPr>
                      <w:rFonts w:hint="eastAsia" w:ascii="宋体" w:hAnsi="宋体" w:cs="宋体"/>
                      <w:i w:val="0"/>
                      <w:iCs w:val="0"/>
                      <w:color w:val="0000FF"/>
                      <w:kern w:val="0"/>
                      <w:sz w:val="21"/>
                      <w:szCs w:val="21"/>
                      <w:u w:val="none"/>
                      <w:lang w:val="en-US" w:eastAsia="zh-CN" w:bidi="ar"/>
                    </w:rPr>
                    <w:t>盐分</w:t>
                  </w:r>
                </w:p>
              </w:tc>
              <w:tc>
                <w:tcPr>
                  <w:tcW w:w="650" w:type="pct"/>
                  <w:vAlign w:val="center"/>
                </w:tcPr>
                <w:p w14:paraId="2CE8AB9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w:t>
                  </w:r>
                </w:p>
              </w:tc>
              <w:tc>
                <w:tcPr>
                  <w:tcW w:w="650" w:type="pct"/>
                  <w:vAlign w:val="center"/>
                </w:tcPr>
                <w:p w14:paraId="628FBE53">
                  <w:pPr>
                    <w:keepNext w:val="0"/>
                    <w:keepLines w:val="0"/>
                    <w:widowControl/>
                    <w:suppressLineNumbers w:val="0"/>
                    <w:spacing w:before="0" w:beforeAutospacing="0" w:after="0" w:afterAutospacing="0"/>
                    <w:ind w:left="0" w:right="0"/>
                    <w:jc w:val="center"/>
                    <w:textAlignment w:val="center"/>
                    <w:rPr>
                      <w:rFonts w:hint="eastAsia" w:eastAsia="宋体"/>
                      <w:color w:val="0000FF"/>
                      <w:sz w:val="21"/>
                      <w:szCs w:val="21"/>
                      <w:highlight w:val="none"/>
                      <w:lang w:val="en-US" w:eastAsia="zh-CN"/>
                    </w:rPr>
                  </w:pPr>
                  <w:r>
                    <w:rPr>
                      <w:rFonts w:hint="eastAsia"/>
                      <w:color w:val="0000FF"/>
                      <w:sz w:val="21"/>
                      <w:szCs w:val="21"/>
                      <w:highlight w:val="none"/>
                      <w:lang w:val="en-US" w:eastAsia="zh-CN"/>
                    </w:rPr>
                    <w:t>/</w:t>
                  </w:r>
                </w:p>
              </w:tc>
              <w:tc>
                <w:tcPr>
                  <w:tcW w:w="651" w:type="pct"/>
                  <w:vAlign w:val="center"/>
                </w:tcPr>
                <w:p w14:paraId="3A832B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10.6667</w:t>
                  </w:r>
                </w:p>
              </w:tc>
              <w:tc>
                <w:tcPr>
                  <w:tcW w:w="640" w:type="pct"/>
                  <w:vAlign w:val="center"/>
                </w:tcPr>
                <w:p w14:paraId="78C9FAE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w:t>
                  </w:r>
                </w:p>
              </w:tc>
              <w:tc>
                <w:tcPr>
                  <w:tcW w:w="640" w:type="pct"/>
                  <w:vAlign w:val="center"/>
                </w:tcPr>
                <w:p w14:paraId="1583A8B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3.2</w:t>
                  </w:r>
                </w:p>
              </w:tc>
            </w:tr>
            <w:tr w14:paraId="52F13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8" w:type="pct"/>
                  <w:vMerge w:val="continue"/>
                  <w:vAlign w:val="center"/>
                </w:tcPr>
                <w:p w14:paraId="2E9FB670">
                  <w:pPr>
                    <w:keepNext w:val="0"/>
                    <w:keepLines w:val="0"/>
                    <w:suppressLineNumbers w:val="0"/>
                    <w:spacing w:before="0" w:beforeAutospacing="0" w:after="0" w:afterAutospacing="0"/>
                    <w:ind w:left="0" w:right="0"/>
                    <w:jc w:val="center"/>
                    <w:rPr>
                      <w:color w:val="0000FF"/>
                      <w:sz w:val="21"/>
                      <w:szCs w:val="21"/>
                      <w:highlight w:val="none"/>
                    </w:rPr>
                  </w:pPr>
                </w:p>
              </w:tc>
              <w:tc>
                <w:tcPr>
                  <w:tcW w:w="746" w:type="pct"/>
                  <w:vMerge w:val="continue"/>
                  <w:vAlign w:val="center"/>
                </w:tcPr>
                <w:p w14:paraId="09DF7042">
                  <w:pPr>
                    <w:keepNext w:val="0"/>
                    <w:keepLines w:val="0"/>
                    <w:suppressLineNumbers w:val="0"/>
                    <w:spacing w:before="0" w:beforeAutospacing="0" w:after="0" w:afterAutospacing="0"/>
                    <w:ind w:left="0" w:right="0"/>
                    <w:jc w:val="center"/>
                    <w:rPr>
                      <w:color w:val="0000FF"/>
                      <w:sz w:val="21"/>
                      <w:szCs w:val="21"/>
                      <w:highlight w:val="none"/>
                    </w:rPr>
                  </w:pPr>
                </w:p>
              </w:tc>
              <w:tc>
                <w:tcPr>
                  <w:tcW w:w="650" w:type="pct"/>
                  <w:vAlign w:val="center"/>
                </w:tcPr>
                <w:p w14:paraId="639E869B">
                  <w:pPr>
                    <w:keepNext w:val="0"/>
                    <w:keepLines w:val="0"/>
                    <w:widowControl/>
                    <w:suppressLineNumbers w:val="0"/>
                    <w:jc w:val="center"/>
                    <w:textAlignment w:val="center"/>
                    <w:rPr>
                      <w:rFonts w:hint="default" w:ascii="宋体" w:hAnsi="宋体" w:eastAsia="宋体" w:cs="宋体"/>
                      <w:i w:val="0"/>
                      <w:iCs w:val="0"/>
                      <w:color w:val="0000FF"/>
                      <w:kern w:val="2"/>
                      <w:sz w:val="21"/>
                      <w:szCs w:val="21"/>
                      <w:u w:val="none"/>
                      <w:lang w:val="en-US" w:eastAsia="zh-CN" w:bidi="ar-SA"/>
                    </w:rPr>
                  </w:pPr>
                  <w:r>
                    <w:rPr>
                      <w:rFonts w:hint="eastAsia" w:ascii="宋体" w:hAnsi="宋体" w:cs="宋体"/>
                      <w:i w:val="0"/>
                      <w:iCs w:val="0"/>
                      <w:color w:val="0000FF"/>
                      <w:kern w:val="2"/>
                      <w:sz w:val="21"/>
                      <w:szCs w:val="21"/>
                      <w:u w:val="none"/>
                      <w:lang w:val="en-US" w:eastAsia="zh-CN" w:bidi="ar-SA"/>
                    </w:rPr>
                    <w:t>氟化物</w:t>
                  </w:r>
                </w:p>
              </w:tc>
              <w:tc>
                <w:tcPr>
                  <w:tcW w:w="650" w:type="pct"/>
                  <w:vAlign w:val="center"/>
                </w:tcPr>
                <w:p w14:paraId="62DE3B35">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2"/>
                      <w:sz w:val="21"/>
                      <w:szCs w:val="21"/>
                      <w:u w:val="none"/>
                      <w:lang w:val="en-US" w:eastAsia="zh-CN" w:bidi="ar-SA"/>
                    </w:rPr>
                    <w:t>/</w:t>
                  </w:r>
                </w:p>
              </w:tc>
              <w:tc>
                <w:tcPr>
                  <w:tcW w:w="650" w:type="pct"/>
                  <w:vAlign w:val="center"/>
                </w:tcPr>
                <w:p w14:paraId="7955443B">
                  <w:pPr>
                    <w:keepNext w:val="0"/>
                    <w:keepLines w:val="0"/>
                    <w:widowControl/>
                    <w:suppressLineNumbers w:val="0"/>
                    <w:spacing w:before="0" w:beforeAutospacing="0" w:after="0" w:afterAutospacing="0"/>
                    <w:ind w:left="0" w:right="0"/>
                    <w:jc w:val="center"/>
                    <w:textAlignment w:val="center"/>
                    <w:rPr>
                      <w:rFonts w:hint="eastAsia" w:eastAsia="宋体"/>
                      <w:color w:val="0000FF"/>
                      <w:sz w:val="21"/>
                      <w:szCs w:val="21"/>
                      <w:highlight w:val="none"/>
                      <w:lang w:val="en-US" w:eastAsia="zh-CN"/>
                    </w:rPr>
                  </w:pPr>
                  <w:r>
                    <w:rPr>
                      <w:rFonts w:hint="eastAsia"/>
                      <w:color w:val="0000FF"/>
                      <w:sz w:val="21"/>
                      <w:szCs w:val="21"/>
                      <w:highlight w:val="none"/>
                      <w:lang w:val="en-US" w:eastAsia="zh-CN"/>
                    </w:rPr>
                    <w:t>/</w:t>
                  </w:r>
                </w:p>
              </w:tc>
              <w:tc>
                <w:tcPr>
                  <w:tcW w:w="651" w:type="pct"/>
                  <w:vAlign w:val="center"/>
                </w:tcPr>
                <w:p w14:paraId="079714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0.0009</w:t>
                  </w:r>
                </w:p>
              </w:tc>
              <w:tc>
                <w:tcPr>
                  <w:tcW w:w="640" w:type="pct"/>
                  <w:vAlign w:val="center"/>
                </w:tcPr>
                <w:p w14:paraId="3876469C">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w:t>
                  </w:r>
                </w:p>
              </w:tc>
              <w:tc>
                <w:tcPr>
                  <w:tcW w:w="640" w:type="pct"/>
                  <w:vAlign w:val="center"/>
                </w:tcPr>
                <w:p w14:paraId="4B19563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0.00026</w:t>
                  </w:r>
                </w:p>
              </w:tc>
            </w:tr>
            <w:tr w14:paraId="31DAB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restart"/>
                  <w:vAlign w:val="center"/>
                </w:tcPr>
                <w:p w14:paraId="237C6D60">
                  <w:pPr>
                    <w:keepNext w:val="0"/>
                    <w:keepLines w:val="0"/>
                    <w:suppressLineNumbers w:val="0"/>
                    <w:spacing w:before="0" w:beforeAutospacing="0" w:after="0" w:afterAutospacing="0"/>
                    <w:ind w:left="0" w:right="0"/>
                    <w:jc w:val="center"/>
                    <w:rPr>
                      <w:color w:val="0000FF"/>
                      <w:sz w:val="21"/>
                      <w:szCs w:val="21"/>
                      <w:highlight w:val="none"/>
                    </w:rPr>
                  </w:pPr>
                  <w:r>
                    <w:rPr>
                      <w:rFonts w:hint="eastAsia"/>
                      <w:color w:val="0000FF"/>
                      <w:sz w:val="21"/>
                      <w:szCs w:val="21"/>
                      <w:highlight w:val="none"/>
                    </w:rPr>
                    <w:t>本项目排放口合计</w:t>
                  </w:r>
                </w:p>
              </w:tc>
              <w:tc>
                <w:tcPr>
                  <w:tcW w:w="2603" w:type="pct"/>
                  <w:gridSpan w:val="4"/>
                  <w:vAlign w:val="center"/>
                </w:tcPr>
                <w:p w14:paraId="786C838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640" w:type="pct"/>
                  <w:shd w:val="clear" w:color="auto" w:fill="auto"/>
                  <w:vAlign w:val="center"/>
                </w:tcPr>
                <w:p w14:paraId="15A971BE">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0.3198</w:t>
                  </w:r>
                </w:p>
              </w:tc>
              <w:tc>
                <w:tcPr>
                  <w:tcW w:w="1056" w:type="dxa"/>
                  <w:vAlign w:val="center"/>
                </w:tcPr>
                <w:p w14:paraId="65A9B7B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2.2904</w:t>
                  </w:r>
                </w:p>
              </w:tc>
            </w:tr>
            <w:tr w14:paraId="16957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continue"/>
                  <w:vAlign w:val="center"/>
                </w:tcPr>
                <w:p w14:paraId="0478FDBE">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2603" w:type="pct"/>
                  <w:gridSpan w:val="4"/>
                  <w:vAlign w:val="center"/>
                </w:tcPr>
                <w:p w14:paraId="429DF9AB">
                  <w:pPr>
                    <w:keepNext w:val="0"/>
                    <w:keepLines w:val="0"/>
                    <w:widowControl/>
                    <w:suppressLineNumbers w:val="0"/>
                    <w:jc w:val="center"/>
                    <w:textAlignment w:val="center"/>
                    <w:rPr>
                      <w:rFonts w:hint="eastAsia"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640" w:type="pct"/>
                  <w:shd w:val="clear" w:color="auto" w:fill="auto"/>
                  <w:vAlign w:val="center"/>
                </w:tcPr>
                <w:p w14:paraId="3BBF23C4">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0.1527</w:t>
                  </w:r>
                </w:p>
              </w:tc>
              <w:tc>
                <w:tcPr>
                  <w:tcW w:w="1056" w:type="dxa"/>
                  <w:vAlign w:val="center"/>
                </w:tcPr>
                <w:p w14:paraId="1BC9FCA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2.3325</w:t>
                  </w:r>
                </w:p>
              </w:tc>
            </w:tr>
            <w:tr w14:paraId="7D487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continue"/>
                  <w:vAlign w:val="center"/>
                </w:tcPr>
                <w:p w14:paraId="5DC3230A">
                  <w:pPr>
                    <w:keepNext w:val="0"/>
                    <w:keepLines w:val="0"/>
                    <w:suppressLineNumbers w:val="0"/>
                    <w:spacing w:before="0" w:beforeAutospacing="0" w:after="0" w:afterAutospacing="0"/>
                    <w:ind w:left="0" w:right="0"/>
                    <w:jc w:val="center"/>
                    <w:rPr>
                      <w:rFonts w:hint="eastAsia"/>
                      <w:color w:val="0000FF"/>
                      <w:sz w:val="21"/>
                      <w:szCs w:val="21"/>
                      <w:highlight w:val="none"/>
                    </w:rPr>
                  </w:pPr>
                </w:p>
              </w:tc>
              <w:tc>
                <w:tcPr>
                  <w:tcW w:w="2603" w:type="pct"/>
                  <w:gridSpan w:val="4"/>
                  <w:vAlign w:val="center"/>
                </w:tcPr>
                <w:p w14:paraId="62876F5B">
                  <w:pPr>
                    <w:keepNext w:val="0"/>
                    <w:keepLines w:val="0"/>
                    <w:widowControl/>
                    <w:suppressLineNumbers w:val="0"/>
                    <w:jc w:val="center"/>
                    <w:textAlignment w:val="center"/>
                    <w:rPr>
                      <w:rFonts w:hint="eastAsia"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640" w:type="pct"/>
                  <w:shd w:val="clear" w:color="auto" w:fill="auto"/>
                  <w:vAlign w:val="center"/>
                </w:tcPr>
                <w:p w14:paraId="47CDB7E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0.2056</w:t>
                  </w:r>
                </w:p>
              </w:tc>
              <w:tc>
                <w:tcPr>
                  <w:tcW w:w="1056" w:type="dxa"/>
                  <w:vAlign w:val="center"/>
                </w:tcPr>
                <w:p w14:paraId="5B9EDA6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1.4116</w:t>
                  </w:r>
                </w:p>
              </w:tc>
            </w:tr>
            <w:tr w14:paraId="460A7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continue"/>
                  <w:vAlign w:val="center"/>
                </w:tcPr>
                <w:p w14:paraId="51FBC3D2">
                  <w:pPr>
                    <w:keepNext w:val="0"/>
                    <w:keepLines w:val="0"/>
                    <w:suppressLineNumbers w:val="0"/>
                    <w:spacing w:before="0" w:beforeAutospacing="0" w:after="0" w:afterAutospacing="0"/>
                    <w:ind w:left="0" w:right="0"/>
                    <w:jc w:val="center"/>
                    <w:rPr>
                      <w:color w:val="0000FF"/>
                      <w:sz w:val="21"/>
                      <w:szCs w:val="21"/>
                      <w:highlight w:val="none"/>
                    </w:rPr>
                  </w:pPr>
                </w:p>
              </w:tc>
              <w:tc>
                <w:tcPr>
                  <w:tcW w:w="2603" w:type="pct"/>
                  <w:gridSpan w:val="4"/>
                  <w:vAlign w:val="center"/>
                </w:tcPr>
                <w:p w14:paraId="7B567559">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氨氮</w:t>
                  </w:r>
                </w:p>
              </w:tc>
              <w:tc>
                <w:tcPr>
                  <w:tcW w:w="640" w:type="pct"/>
                  <w:shd w:val="clear" w:color="auto" w:fill="auto"/>
                  <w:vAlign w:val="center"/>
                </w:tcPr>
                <w:p w14:paraId="1286832E">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0.006</w:t>
                  </w:r>
                </w:p>
              </w:tc>
              <w:tc>
                <w:tcPr>
                  <w:tcW w:w="1056" w:type="dxa"/>
                  <w:vAlign w:val="center"/>
                </w:tcPr>
                <w:p w14:paraId="0D7415B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0.1368</w:t>
                  </w:r>
                </w:p>
              </w:tc>
            </w:tr>
            <w:tr w14:paraId="1D3F0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continue"/>
                  <w:vAlign w:val="center"/>
                </w:tcPr>
                <w:p w14:paraId="21F56C02">
                  <w:pPr>
                    <w:keepNext w:val="0"/>
                    <w:keepLines w:val="0"/>
                    <w:suppressLineNumbers w:val="0"/>
                    <w:spacing w:before="0" w:beforeAutospacing="0" w:after="0" w:afterAutospacing="0"/>
                    <w:ind w:left="0" w:right="0"/>
                    <w:jc w:val="center"/>
                    <w:rPr>
                      <w:color w:val="0000FF"/>
                      <w:sz w:val="21"/>
                      <w:szCs w:val="21"/>
                      <w:highlight w:val="none"/>
                    </w:rPr>
                  </w:pPr>
                </w:p>
              </w:tc>
              <w:tc>
                <w:tcPr>
                  <w:tcW w:w="2603" w:type="pct"/>
                  <w:gridSpan w:val="4"/>
                  <w:vAlign w:val="center"/>
                </w:tcPr>
                <w:p w14:paraId="02FA7ABC">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总氮</w:t>
                  </w:r>
                </w:p>
              </w:tc>
              <w:tc>
                <w:tcPr>
                  <w:tcW w:w="640" w:type="pct"/>
                  <w:shd w:val="clear" w:color="auto" w:fill="auto"/>
                  <w:vAlign w:val="center"/>
                </w:tcPr>
                <w:p w14:paraId="56B6531B">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0.0129</w:t>
                  </w:r>
                </w:p>
              </w:tc>
              <w:tc>
                <w:tcPr>
                  <w:tcW w:w="1056" w:type="dxa"/>
                  <w:vAlign w:val="center"/>
                </w:tcPr>
                <w:p w14:paraId="7969EE2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0.5215</w:t>
                  </w:r>
                </w:p>
              </w:tc>
            </w:tr>
            <w:tr w14:paraId="19A52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continue"/>
                  <w:vAlign w:val="center"/>
                </w:tcPr>
                <w:p w14:paraId="5626A5AC">
                  <w:pPr>
                    <w:keepNext w:val="0"/>
                    <w:keepLines w:val="0"/>
                    <w:suppressLineNumbers w:val="0"/>
                    <w:spacing w:before="0" w:beforeAutospacing="0" w:after="0" w:afterAutospacing="0"/>
                    <w:ind w:left="0" w:right="0"/>
                    <w:jc w:val="center"/>
                    <w:rPr>
                      <w:color w:val="0000FF"/>
                      <w:sz w:val="21"/>
                      <w:szCs w:val="21"/>
                      <w:highlight w:val="none"/>
                    </w:rPr>
                  </w:pPr>
                </w:p>
              </w:tc>
              <w:tc>
                <w:tcPr>
                  <w:tcW w:w="2603" w:type="pct"/>
                  <w:gridSpan w:val="4"/>
                  <w:vAlign w:val="center"/>
                </w:tcPr>
                <w:p w14:paraId="467DCFDF">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总磷</w:t>
                  </w:r>
                </w:p>
              </w:tc>
              <w:tc>
                <w:tcPr>
                  <w:tcW w:w="640" w:type="pct"/>
                  <w:shd w:val="clear" w:color="auto" w:fill="auto"/>
                  <w:vAlign w:val="center"/>
                </w:tcPr>
                <w:p w14:paraId="1B04969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0.0034</w:t>
                  </w:r>
                </w:p>
              </w:tc>
              <w:tc>
                <w:tcPr>
                  <w:tcW w:w="1056" w:type="dxa"/>
                  <w:vAlign w:val="center"/>
                </w:tcPr>
                <w:p w14:paraId="067AE85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0.01694</w:t>
                  </w:r>
                </w:p>
              </w:tc>
            </w:tr>
            <w:tr w14:paraId="4BAA4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continue"/>
                  <w:vAlign w:val="center"/>
                </w:tcPr>
                <w:p w14:paraId="59421450">
                  <w:pPr>
                    <w:keepNext w:val="0"/>
                    <w:keepLines w:val="0"/>
                    <w:suppressLineNumbers w:val="0"/>
                    <w:spacing w:before="0" w:beforeAutospacing="0" w:after="0" w:afterAutospacing="0"/>
                    <w:ind w:left="0" w:right="0"/>
                    <w:jc w:val="center"/>
                    <w:rPr>
                      <w:color w:val="0000FF"/>
                      <w:sz w:val="21"/>
                      <w:szCs w:val="21"/>
                      <w:highlight w:val="none"/>
                    </w:rPr>
                  </w:pPr>
                </w:p>
              </w:tc>
              <w:tc>
                <w:tcPr>
                  <w:tcW w:w="2603" w:type="pct"/>
                  <w:gridSpan w:val="4"/>
                  <w:vAlign w:val="center"/>
                </w:tcPr>
                <w:p w14:paraId="02FF873C">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石油类</w:t>
                  </w:r>
                </w:p>
              </w:tc>
              <w:tc>
                <w:tcPr>
                  <w:tcW w:w="640" w:type="pct"/>
                  <w:shd w:val="clear" w:color="auto" w:fill="auto"/>
                  <w:vAlign w:val="center"/>
                </w:tcPr>
                <w:p w14:paraId="57D18FAF">
                  <w:pPr>
                    <w:keepNext w:val="0"/>
                    <w:keepLines w:val="0"/>
                    <w:widowControl/>
                    <w:suppressLineNumbers w:val="0"/>
                    <w:jc w:val="center"/>
                    <w:textAlignment w:val="center"/>
                    <w:rPr>
                      <w:rFonts w:hint="eastAsia"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0.009</w:t>
                  </w:r>
                </w:p>
              </w:tc>
              <w:tc>
                <w:tcPr>
                  <w:tcW w:w="1056" w:type="dxa"/>
                  <w:vAlign w:val="center"/>
                </w:tcPr>
                <w:p w14:paraId="0507390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0.03466</w:t>
                  </w:r>
                </w:p>
              </w:tc>
            </w:tr>
            <w:tr w14:paraId="32DA6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continue"/>
                </w:tcPr>
                <w:p w14:paraId="08F555E8">
                  <w:pPr>
                    <w:keepNext w:val="0"/>
                    <w:keepLines w:val="0"/>
                    <w:suppressLineNumbers w:val="0"/>
                    <w:spacing w:before="0" w:beforeAutospacing="0" w:after="0" w:afterAutospacing="0"/>
                    <w:ind w:left="0" w:right="0"/>
                    <w:jc w:val="center"/>
                    <w:rPr>
                      <w:color w:val="0000FF"/>
                      <w:sz w:val="21"/>
                      <w:szCs w:val="21"/>
                      <w:highlight w:val="none"/>
                    </w:rPr>
                  </w:pPr>
                </w:p>
              </w:tc>
              <w:tc>
                <w:tcPr>
                  <w:tcW w:w="0" w:type="auto"/>
                  <w:gridSpan w:val="4"/>
                  <w:vAlign w:val="center"/>
                </w:tcPr>
                <w:p w14:paraId="6C11EB4A">
                  <w:pPr>
                    <w:keepNext w:val="0"/>
                    <w:keepLines w:val="0"/>
                    <w:widowControl/>
                    <w:suppressLineNumbers w:val="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FF"/>
                      <w:kern w:val="0"/>
                      <w:sz w:val="21"/>
                      <w:szCs w:val="21"/>
                      <w:u w:val="none"/>
                      <w:lang w:val="en-US" w:eastAsia="zh-CN" w:bidi="ar"/>
                    </w:rPr>
                    <w:t>总锌</w:t>
                  </w:r>
                </w:p>
              </w:tc>
              <w:tc>
                <w:tcPr>
                  <w:tcW w:w="0" w:type="auto"/>
                  <w:shd w:val="clear" w:color="auto" w:fill="auto"/>
                  <w:vAlign w:val="center"/>
                </w:tcPr>
                <w:p w14:paraId="0AA89688">
                  <w:pPr>
                    <w:keepNext w:val="0"/>
                    <w:keepLines w:val="0"/>
                    <w:widowControl/>
                    <w:suppressLineNumbers w:val="0"/>
                    <w:jc w:val="center"/>
                    <w:textAlignment w:val="center"/>
                    <w:rPr>
                      <w:rFonts w:hint="eastAsia"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0.0009</w:t>
                  </w:r>
                </w:p>
              </w:tc>
              <w:tc>
                <w:tcPr>
                  <w:tcW w:w="1056" w:type="dxa"/>
                  <w:vAlign w:val="center"/>
                </w:tcPr>
                <w:p w14:paraId="4C01D58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0.00094</w:t>
                  </w:r>
                </w:p>
              </w:tc>
            </w:tr>
            <w:tr w14:paraId="6FF85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continue"/>
                </w:tcPr>
                <w:p w14:paraId="50CB9BEE">
                  <w:pPr>
                    <w:keepNext w:val="0"/>
                    <w:keepLines w:val="0"/>
                    <w:suppressLineNumbers w:val="0"/>
                    <w:spacing w:before="0" w:beforeAutospacing="0" w:after="0" w:afterAutospacing="0"/>
                    <w:ind w:left="0" w:right="0"/>
                    <w:jc w:val="center"/>
                    <w:rPr>
                      <w:color w:val="0000FF"/>
                      <w:sz w:val="21"/>
                      <w:szCs w:val="21"/>
                      <w:highlight w:val="none"/>
                    </w:rPr>
                  </w:pPr>
                </w:p>
              </w:tc>
              <w:tc>
                <w:tcPr>
                  <w:tcW w:w="0" w:type="auto"/>
                  <w:gridSpan w:val="4"/>
                  <w:vAlign w:val="center"/>
                </w:tcPr>
                <w:p w14:paraId="46B59D8D">
                  <w:pPr>
                    <w:keepNext w:val="0"/>
                    <w:keepLines w:val="0"/>
                    <w:widowControl/>
                    <w:suppressLineNumbers w:val="0"/>
                    <w:jc w:val="center"/>
                    <w:textAlignment w:val="center"/>
                    <w:rPr>
                      <w:rFonts w:hint="default" w:ascii="宋体" w:hAnsi="宋体" w:eastAsia="宋体" w:cs="宋体"/>
                      <w:i w:val="0"/>
                      <w:iCs w:val="0"/>
                      <w:color w:val="0000FF"/>
                      <w:kern w:val="0"/>
                      <w:sz w:val="21"/>
                      <w:szCs w:val="21"/>
                      <w:u w:val="none"/>
                      <w:lang w:val="en-US" w:eastAsia="zh-CN" w:bidi="ar"/>
                    </w:rPr>
                  </w:pPr>
                  <w:r>
                    <w:rPr>
                      <w:rFonts w:hint="eastAsia" w:ascii="宋体" w:hAnsi="宋体" w:cs="宋体"/>
                      <w:i w:val="0"/>
                      <w:iCs w:val="0"/>
                      <w:color w:val="0000FF"/>
                      <w:kern w:val="0"/>
                      <w:sz w:val="21"/>
                      <w:szCs w:val="21"/>
                      <w:u w:val="none"/>
                      <w:lang w:val="en-US" w:eastAsia="zh-CN" w:bidi="ar"/>
                    </w:rPr>
                    <w:t>盐分</w:t>
                  </w:r>
                </w:p>
              </w:tc>
              <w:tc>
                <w:tcPr>
                  <w:tcW w:w="0" w:type="auto"/>
                  <w:vAlign w:val="center"/>
                </w:tcPr>
                <w:p w14:paraId="29B4E68C">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w:t>
                  </w:r>
                </w:p>
              </w:tc>
              <w:tc>
                <w:tcPr>
                  <w:tcW w:w="640" w:type="pct"/>
                  <w:vAlign w:val="center"/>
                </w:tcPr>
                <w:p w14:paraId="3D46487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3.2</w:t>
                  </w:r>
                </w:p>
              </w:tc>
            </w:tr>
            <w:tr w14:paraId="54C30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15" w:type="pct"/>
                  <w:gridSpan w:val="2"/>
                  <w:vMerge w:val="continue"/>
                </w:tcPr>
                <w:p w14:paraId="7C5A693B">
                  <w:pPr>
                    <w:keepNext w:val="0"/>
                    <w:keepLines w:val="0"/>
                    <w:suppressLineNumbers w:val="0"/>
                    <w:spacing w:before="0" w:beforeAutospacing="0" w:after="0" w:afterAutospacing="0"/>
                    <w:ind w:left="0" w:right="0"/>
                    <w:jc w:val="center"/>
                    <w:rPr>
                      <w:color w:val="0000FF"/>
                      <w:sz w:val="21"/>
                      <w:szCs w:val="21"/>
                      <w:highlight w:val="none"/>
                    </w:rPr>
                  </w:pPr>
                </w:p>
              </w:tc>
              <w:tc>
                <w:tcPr>
                  <w:tcW w:w="0" w:type="auto"/>
                  <w:gridSpan w:val="4"/>
                  <w:vAlign w:val="center"/>
                </w:tcPr>
                <w:p w14:paraId="5C4088CB">
                  <w:pPr>
                    <w:keepNext w:val="0"/>
                    <w:keepLines w:val="0"/>
                    <w:widowControl/>
                    <w:suppressLineNumbers w:val="0"/>
                    <w:jc w:val="center"/>
                    <w:textAlignment w:val="center"/>
                    <w:rPr>
                      <w:rFonts w:hint="default" w:ascii="宋体" w:hAnsi="宋体" w:eastAsia="宋体" w:cs="宋体"/>
                      <w:i w:val="0"/>
                      <w:iCs w:val="0"/>
                      <w:color w:val="0000FF"/>
                      <w:kern w:val="2"/>
                      <w:sz w:val="21"/>
                      <w:szCs w:val="21"/>
                      <w:u w:val="none"/>
                      <w:lang w:val="en-US" w:eastAsia="zh-CN" w:bidi="ar-SA"/>
                    </w:rPr>
                  </w:pPr>
                  <w:r>
                    <w:rPr>
                      <w:rFonts w:hint="eastAsia" w:ascii="宋体" w:hAnsi="宋体" w:cs="宋体"/>
                      <w:i w:val="0"/>
                      <w:iCs w:val="0"/>
                      <w:color w:val="0000FF"/>
                      <w:kern w:val="2"/>
                      <w:sz w:val="21"/>
                      <w:szCs w:val="21"/>
                      <w:u w:val="none"/>
                      <w:lang w:val="en-US" w:eastAsia="zh-CN" w:bidi="ar-SA"/>
                    </w:rPr>
                    <w:t>氟化物</w:t>
                  </w:r>
                </w:p>
              </w:tc>
              <w:tc>
                <w:tcPr>
                  <w:tcW w:w="0" w:type="auto"/>
                  <w:vAlign w:val="center"/>
                </w:tcPr>
                <w:p w14:paraId="019CAED4">
                  <w:pPr>
                    <w:keepNext w:val="0"/>
                    <w:keepLines w:val="0"/>
                    <w:widowControl/>
                    <w:suppressLineNumbers w:val="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w:t>
                  </w:r>
                </w:p>
              </w:tc>
              <w:tc>
                <w:tcPr>
                  <w:tcW w:w="640" w:type="pct"/>
                  <w:vAlign w:val="center"/>
                </w:tcPr>
                <w:p w14:paraId="37ED58E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0.00026</w:t>
                  </w:r>
                </w:p>
              </w:tc>
            </w:tr>
          </w:tbl>
          <w:p w14:paraId="28D77C7D">
            <w:pPr>
              <w:keepNext w:val="0"/>
              <w:keepLines w:val="0"/>
              <w:suppressLineNumbers w:val="0"/>
              <w:spacing w:before="0" w:beforeAutospacing="0" w:after="0" w:afterAutospacing="0" w:line="360" w:lineRule="auto"/>
              <w:ind w:left="0" w:right="0" w:firstLine="422" w:firstLineChars="200"/>
              <w:rPr>
                <w:b/>
                <w:bCs/>
                <w:color w:val="auto"/>
                <w:szCs w:val="21"/>
                <w:highlight w:val="none"/>
              </w:rPr>
            </w:pPr>
            <w:r>
              <w:rPr>
                <w:rFonts w:hint="eastAsia"/>
                <w:b/>
                <w:bCs/>
                <w:color w:val="auto"/>
                <w:szCs w:val="21"/>
                <w:highlight w:val="none"/>
              </w:rPr>
              <w:t>2.5</w:t>
            </w:r>
            <w:r>
              <w:rPr>
                <w:b/>
                <w:bCs/>
                <w:color w:val="auto"/>
                <w:szCs w:val="21"/>
                <w:highlight w:val="none"/>
              </w:rPr>
              <w:t xml:space="preserve"> </w:t>
            </w:r>
            <w:r>
              <w:rPr>
                <w:rFonts w:hint="eastAsia"/>
                <w:b/>
                <w:bCs/>
                <w:color w:val="auto"/>
                <w:szCs w:val="21"/>
                <w:highlight w:val="none"/>
              </w:rPr>
              <w:t>环境监测计划</w:t>
            </w:r>
          </w:p>
          <w:p w14:paraId="7872CD72">
            <w:pPr>
              <w:keepNext w:val="0"/>
              <w:keepLines w:val="0"/>
              <w:suppressLineNumbers w:val="0"/>
              <w:spacing w:before="0" w:beforeAutospacing="0" w:after="0" w:afterAutospacing="0" w:line="360" w:lineRule="auto"/>
              <w:ind w:left="0" w:right="0" w:firstLine="420" w:firstLineChars="200"/>
              <w:rPr>
                <w:rFonts w:hint="eastAsia"/>
                <w:color w:val="auto"/>
                <w:szCs w:val="21"/>
                <w:highlight w:val="none"/>
                <w:lang w:val="en-US" w:eastAsia="zh-CN"/>
              </w:rPr>
            </w:pPr>
            <w:r>
              <w:rPr>
                <w:rFonts w:hint="eastAsia"/>
                <w:color w:val="auto"/>
                <w:szCs w:val="21"/>
                <w:highlight w:val="none"/>
              </w:rPr>
              <w:t xml:space="preserve">本项目建成后，企业根据《排污单位自行监测技术指南 总则》（HJ819-2017）、《排污单位自行监测技术指南 </w:t>
            </w:r>
            <w:r>
              <w:rPr>
                <w:rFonts w:hint="eastAsia"/>
                <w:color w:val="auto"/>
                <w:szCs w:val="21"/>
                <w:highlight w:val="none"/>
                <w:lang w:val="en-US" w:eastAsia="zh-CN"/>
              </w:rPr>
              <w:t>涂装</w:t>
            </w:r>
            <w:r>
              <w:rPr>
                <w:rFonts w:hint="eastAsia"/>
                <w:color w:val="auto"/>
                <w:szCs w:val="21"/>
                <w:highlight w:val="none"/>
              </w:rPr>
              <w:t>》（HJ1</w:t>
            </w:r>
            <w:r>
              <w:rPr>
                <w:rFonts w:hint="eastAsia"/>
                <w:color w:val="auto"/>
                <w:szCs w:val="21"/>
                <w:highlight w:val="none"/>
                <w:lang w:val="en-US" w:eastAsia="zh-CN"/>
              </w:rPr>
              <w:t>086</w:t>
            </w:r>
            <w:r>
              <w:rPr>
                <w:rFonts w:hint="eastAsia"/>
                <w:color w:val="auto"/>
                <w:szCs w:val="21"/>
                <w:highlight w:val="none"/>
              </w:rPr>
              <w:t>-202</w:t>
            </w:r>
            <w:r>
              <w:rPr>
                <w:rFonts w:hint="eastAsia"/>
                <w:color w:val="auto"/>
                <w:szCs w:val="21"/>
                <w:highlight w:val="none"/>
                <w:lang w:val="en-US" w:eastAsia="zh-CN"/>
              </w:rPr>
              <w:t>0</w:t>
            </w:r>
            <w:r>
              <w:rPr>
                <w:rFonts w:hint="eastAsia"/>
                <w:color w:val="auto"/>
                <w:szCs w:val="21"/>
                <w:highlight w:val="none"/>
              </w:rPr>
              <w:t>）、《江苏省污染源自动监控管理办法》（试行）等文件的相关要求开展例行监测。</w:t>
            </w:r>
            <w:r>
              <w:rPr>
                <w:rFonts w:hint="eastAsia"/>
                <w:color w:val="auto"/>
                <w:szCs w:val="21"/>
                <w:highlight w:val="none"/>
                <w:lang w:val="en-US" w:eastAsia="zh-CN"/>
              </w:rPr>
              <w:t>项目自行监测要求如下。</w:t>
            </w:r>
          </w:p>
          <w:p w14:paraId="1EB794EB">
            <w:pPr>
              <w:widowControl w:val="0"/>
              <w:spacing w:line="300" w:lineRule="auto"/>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-25</w:t>
            </w:r>
            <w:r>
              <w:rPr>
                <w:rFonts w:hint="eastAsia" w:ascii="Times New Roman" w:hAnsi="Times New Roman" w:eastAsia="宋体" w:cs="Times New Roman"/>
                <w:b/>
                <w:bCs/>
                <w:color w:val="auto"/>
                <w:kern w:val="2"/>
                <w:sz w:val="21"/>
                <w:szCs w:val="21"/>
                <w:highlight w:val="none"/>
                <w:lang w:val="en-US" w:eastAsia="zh-CN" w:bidi="ar-SA"/>
              </w:rPr>
              <w:t xml:space="preserve"> 废水污染源监测计划一览表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2643"/>
              <w:gridCol w:w="1509"/>
              <w:gridCol w:w="2397"/>
            </w:tblGrid>
            <w:tr w14:paraId="11302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25" w:type="pct"/>
                  <w:noWrap w:val="0"/>
                  <w:vAlign w:val="center"/>
                </w:tcPr>
                <w:p w14:paraId="44237991">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监测点位</w:t>
                  </w:r>
                </w:p>
              </w:tc>
              <w:tc>
                <w:tcPr>
                  <w:tcW w:w="1604" w:type="pct"/>
                  <w:noWrap w:val="0"/>
                  <w:vAlign w:val="center"/>
                </w:tcPr>
                <w:p w14:paraId="30E06FD7">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监测因子</w:t>
                  </w:r>
                </w:p>
              </w:tc>
              <w:tc>
                <w:tcPr>
                  <w:tcW w:w="915" w:type="pct"/>
                  <w:noWrap w:val="0"/>
                  <w:vAlign w:val="center"/>
                </w:tcPr>
                <w:p w14:paraId="710C78F3">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监测频次</w:t>
                  </w:r>
                </w:p>
              </w:tc>
              <w:tc>
                <w:tcPr>
                  <w:tcW w:w="1454" w:type="pct"/>
                  <w:noWrap w:val="0"/>
                  <w:vAlign w:val="center"/>
                </w:tcPr>
                <w:p w14:paraId="1F05BA8A">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执行排放标准</w:t>
                  </w:r>
                </w:p>
              </w:tc>
            </w:tr>
            <w:tr w14:paraId="4A61B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25" w:type="pct"/>
                  <w:vMerge w:val="restart"/>
                  <w:noWrap w:val="0"/>
                  <w:vAlign w:val="center"/>
                </w:tcPr>
                <w:p w14:paraId="2721A58D">
                  <w:pPr>
                    <w:widowControl/>
                    <w:shd w:val="clear" w:color="auto" w:fill="auto"/>
                    <w:spacing w:line="240" w:lineRule="auto"/>
                    <w:jc w:val="center"/>
                    <w:rPr>
                      <w:rFonts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废水总排口</w:t>
                  </w:r>
                </w:p>
              </w:tc>
              <w:tc>
                <w:tcPr>
                  <w:tcW w:w="1604" w:type="pct"/>
                  <w:noWrap w:val="0"/>
                  <w:vAlign w:val="center"/>
                </w:tcPr>
                <w:p w14:paraId="07F6AC27">
                  <w:pPr>
                    <w:widowControl/>
                    <w:shd w:val="clear" w:color="auto" w:fill="auto"/>
                    <w:spacing w:line="240" w:lineRule="auto"/>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流量、pH值、化学需氧量、氨氮、总磷、总氮、悬浮物</w:t>
                  </w:r>
                  <w:r>
                    <w:rPr>
                      <w:rFonts w:hint="eastAsia" w:cs="Times New Roman"/>
                      <w:color w:val="auto"/>
                      <w:kern w:val="0"/>
                      <w:sz w:val="21"/>
                      <w:szCs w:val="24"/>
                      <w:highlight w:val="none"/>
                      <w:lang w:val="en-US" w:eastAsia="zh-CN" w:bidi="ar-SA"/>
                    </w:rPr>
                    <w:t>、石油类</w:t>
                  </w:r>
                </w:p>
              </w:tc>
              <w:tc>
                <w:tcPr>
                  <w:tcW w:w="915" w:type="pct"/>
                  <w:vMerge w:val="restart"/>
                  <w:noWrap w:val="0"/>
                  <w:vAlign w:val="center"/>
                </w:tcPr>
                <w:p w14:paraId="04E0AC4D">
                  <w:pPr>
                    <w:widowControl/>
                    <w:shd w:val="clear" w:color="auto" w:fill="auto"/>
                    <w:spacing w:line="240" w:lineRule="auto"/>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1次/半年</w:t>
                  </w:r>
                </w:p>
              </w:tc>
              <w:tc>
                <w:tcPr>
                  <w:tcW w:w="1454" w:type="pct"/>
                  <w:noWrap w:val="0"/>
                  <w:vAlign w:val="center"/>
                </w:tcPr>
                <w:p w14:paraId="14121240">
                  <w:pPr>
                    <w:widowControl/>
                    <w:shd w:val="clear" w:color="auto" w:fill="auto"/>
                    <w:spacing w:line="240" w:lineRule="auto"/>
                    <w:jc w:val="center"/>
                    <w:rPr>
                      <w:rFonts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李口镇污水处理厂</w:t>
                  </w:r>
                  <w:r>
                    <w:rPr>
                      <w:rFonts w:hint="eastAsia" w:ascii="Times New Roman" w:hAnsi="Times New Roman" w:eastAsia="宋体" w:cs="Times New Roman"/>
                      <w:color w:val="auto"/>
                      <w:kern w:val="0"/>
                      <w:sz w:val="21"/>
                      <w:szCs w:val="24"/>
                      <w:highlight w:val="none"/>
                      <w:lang w:val="en-US" w:eastAsia="zh-CN" w:bidi="ar-SA"/>
                    </w:rPr>
                    <w:t>接管要求</w:t>
                  </w:r>
                </w:p>
              </w:tc>
            </w:tr>
            <w:tr w14:paraId="7C0E1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25" w:type="pct"/>
                  <w:vMerge w:val="continue"/>
                  <w:noWrap w:val="0"/>
                  <w:vAlign w:val="center"/>
                </w:tcPr>
                <w:p w14:paraId="110795FE">
                  <w:pPr>
                    <w:widowControl/>
                    <w:shd w:val="clear" w:color="auto" w:fill="auto"/>
                    <w:spacing w:line="240" w:lineRule="auto"/>
                    <w:jc w:val="center"/>
                    <w:rPr>
                      <w:rFonts w:hint="eastAsia" w:ascii="Times New Roman" w:hAnsi="Times New Roman" w:eastAsia="宋体" w:cs="Times New Roman"/>
                      <w:color w:val="auto"/>
                      <w:kern w:val="0"/>
                      <w:sz w:val="21"/>
                      <w:szCs w:val="24"/>
                      <w:highlight w:val="none"/>
                      <w:lang w:val="en-US" w:eastAsia="zh-CN" w:bidi="ar-SA"/>
                    </w:rPr>
                  </w:pPr>
                </w:p>
              </w:tc>
              <w:tc>
                <w:tcPr>
                  <w:tcW w:w="1604" w:type="pct"/>
                  <w:noWrap w:val="0"/>
                  <w:vAlign w:val="center"/>
                </w:tcPr>
                <w:p w14:paraId="07521631">
                  <w:pPr>
                    <w:widowControl/>
                    <w:shd w:val="clear" w:color="auto" w:fill="auto"/>
                    <w:spacing w:line="240" w:lineRule="auto"/>
                    <w:jc w:val="center"/>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总锌、氟化物</w:t>
                  </w:r>
                </w:p>
              </w:tc>
              <w:tc>
                <w:tcPr>
                  <w:tcW w:w="915" w:type="pct"/>
                  <w:vMerge w:val="continue"/>
                  <w:noWrap w:val="0"/>
                  <w:vAlign w:val="center"/>
                </w:tcPr>
                <w:p w14:paraId="72A7BB7F">
                  <w:pPr>
                    <w:widowControl/>
                    <w:shd w:val="clear" w:color="auto" w:fill="auto"/>
                    <w:spacing w:line="240" w:lineRule="auto"/>
                    <w:jc w:val="center"/>
                    <w:rPr>
                      <w:rFonts w:hint="eastAsia" w:cs="Times New Roman"/>
                      <w:color w:val="auto"/>
                      <w:kern w:val="0"/>
                      <w:sz w:val="21"/>
                      <w:szCs w:val="24"/>
                      <w:highlight w:val="none"/>
                      <w:lang w:val="en-US" w:eastAsia="zh-CN" w:bidi="ar-SA"/>
                    </w:rPr>
                  </w:pPr>
                </w:p>
              </w:tc>
              <w:tc>
                <w:tcPr>
                  <w:tcW w:w="1454" w:type="pct"/>
                  <w:noWrap w:val="0"/>
                  <w:vAlign w:val="center"/>
                </w:tcPr>
                <w:p w14:paraId="2047C263">
                  <w:pPr>
                    <w:widowControl/>
                    <w:shd w:val="clear" w:color="auto" w:fill="auto"/>
                    <w:spacing w:line="240" w:lineRule="auto"/>
                    <w:jc w:val="center"/>
                    <w:rPr>
                      <w:rFonts w:hint="eastAsia" w:cs="Times New Roman"/>
                      <w:color w:val="auto"/>
                      <w:kern w:val="0"/>
                      <w:sz w:val="21"/>
                      <w:szCs w:val="24"/>
                      <w:highlight w:val="none"/>
                      <w:lang w:val="en-US" w:eastAsia="zh-CN" w:bidi="ar-SA"/>
                    </w:rPr>
                  </w:pPr>
                  <w:r>
                    <w:rPr>
                      <w:rFonts w:hint="eastAsia"/>
                      <w:bCs/>
                      <w:color w:val="000000"/>
                      <w:sz w:val="21"/>
                      <w:szCs w:val="21"/>
                      <w:highlight w:val="none"/>
                      <w:lang w:val="en-US" w:eastAsia="zh-CN"/>
                    </w:rPr>
                    <w:t>《城镇污水处理厂污染物排放标准》（DB32/4440-2022）</w:t>
                  </w:r>
                </w:p>
              </w:tc>
            </w:tr>
            <w:tr w14:paraId="19FBF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25" w:type="pct"/>
                  <w:noWrap w:val="0"/>
                  <w:vAlign w:val="center"/>
                </w:tcPr>
                <w:p w14:paraId="725FD686">
                  <w:pPr>
                    <w:widowControl/>
                    <w:shd w:val="clear" w:color="auto" w:fill="auto"/>
                    <w:spacing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雨水排放口</w:t>
                  </w:r>
                </w:p>
              </w:tc>
              <w:tc>
                <w:tcPr>
                  <w:tcW w:w="1604" w:type="pct"/>
                  <w:noWrap w:val="0"/>
                  <w:vAlign w:val="center"/>
                </w:tcPr>
                <w:p w14:paraId="2335E708">
                  <w:pPr>
                    <w:widowControl/>
                    <w:shd w:val="clear" w:color="auto" w:fill="auto"/>
                    <w:spacing w:line="240" w:lineRule="auto"/>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p</w:t>
                  </w:r>
                  <w:r>
                    <w:rPr>
                      <w:rFonts w:hint="eastAsia" w:ascii="Times New Roman" w:hAnsi="Times New Roman" w:eastAsia="宋体" w:cs="Times New Roman"/>
                      <w:bCs/>
                      <w:color w:val="0000FF"/>
                      <w:kern w:val="0"/>
                      <w:sz w:val="21"/>
                      <w:szCs w:val="21"/>
                      <w:highlight w:val="none"/>
                      <w:lang w:val="en-US" w:eastAsia="zh-CN" w:bidi="ar-SA"/>
                    </w:rPr>
                    <w:t>H、化学需氧量、悬浮物</w:t>
                  </w:r>
                </w:p>
              </w:tc>
              <w:tc>
                <w:tcPr>
                  <w:tcW w:w="915" w:type="pct"/>
                  <w:noWrap w:val="0"/>
                  <w:vAlign w:val="center"/>
                </w:tcPr>
                <w:p w14:paraId="7529B54D">
                  <w:pPr>
                    <w:widowControl/>
                    <w:shd w:val="clear" w:color="auto" w:fill="auto"/>
                    <w:spacing w:line="240" w:lineRule="auto"/>
                    <w:jc w:val="center"/>
                    <w:rPr>
                      <w:rFonts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1次/</w:t>
                  </w:r>
                  <w:r>
                    <w:rPr>
                      <w:rFonts w:hint="eastAsia" w:cs="Times New Roman"/>
                      <w:color w:val="auto"/>
                      <w:kern w:val="0"/>
                      <w:sz w:val="21"/>
                      <w:szCs w:val="24"/>
                      <w:highlight w:val="none"/>
                      <w:lang w:val="en-US" w:eastAsia="zh-CN" w:bidi="ar-SA"/>
                    </w:rPr>
                    <w:t>月</w:t>
                  </w:r>
                  <w:r>
                    <w:rPr>
                      <w:rFonts w:hint="eastAsia" w:ascii="Times New Roman" w:hAnsi="Times New Roman" w:eastAsia="宋体" w:cs="Times New Roman"/>
                      <w:color w:val="auto"/>
                      <w:kern w:val="0"/>
                      <w:sz w:val="21"/>
                      <w:szCs w:val="24"/>
                      <w:highlight w:val="none"/>
                      <w:lang w:val="en-US" w:eastAsia="zh-CN" w:bidi="ar-SA"/>
                    </w:rPr>
                    <w:t>*</w:t>
                  </w:r>
                </w:p>
              </w:tc>
              <w:tc>
                <w:tcPr>
                  <w:tcW w:w="1454" w:type="pct"/>
                  <w:noWrap w:val="0"/>
                  <w:vAlign w:val="center"/>
                </w:tcPr>
                <w:p w14:paraId="64C4945B">
                  <w:pPr>
                    <w:widowControl/>
                    <w:shd w:val="clear" w:color="auto" w:fill="auto"/>
                    <w:spacing w:line="240" w:lineRule="auto"/>
                    <w:jc w:val="center"/>
                    <w:rPr>
                      <w:rFonts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rPr>
                    <w:t>《地表水环境质量标准》(GB3838-2002)</w:t>
                  </w:r>
                  <w:r>
                    <w:rPr>
                      <w:rFonts w:hint="default" w:ascii="Times New Roman" w:hAnsi="Times New Roman" w:eastAsia="宋体" w:cs="Times New Roman"/>
                      <w:color w:val="auto"/>
                      <w:kern w:val="2"/>
                      <w:sz w:val="21"/>
                      <w:szCs w:val="24"/>
                      <w:highlight w:val="none"/>
                      <w:lang w:val="en-US" w:eastAsia="zh-CN" w:bidi="ar-SA"/>
                    </w:rPr>
                    <w:t>Ⅲ</w:t>
                  </w:r>
                  <w:r>
                    <w:rPr>
                      <w:rFonts w:hint="eastAsia" w:cs="Times New Roman"/>
                      <w:color w:val="auto"/>
                      <w:kern w:val="2"/>
                      <w:sz w:val="21"/>
                      <w:szCs w:val="24"/>
                      <w:highlight w:val="none"/>
                      <w:lang w:val="en-US" w:eastAsia="zh-CN" w:bidi="ar-SA"/>
                    </w:rPr>
                    <w:t>类</w:t>
                  </w:r>
                </w:p>
              </w:tc>
            </w:tr>
            <w:tr w14:paraId="6B859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4"/>
                  <w:noWrap w:val="0"/>
                  <w:vAlign w:val="center"/>
                </w:tcPr>
                <w:p w14:paraId="39944D9C">
                  <w:pPr>
                    <w:widowControl w:val="0"/>
                    <w:jc w:val="left"/>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*雨水排放口有流动水排放时按月监测。若监测一年无异常情况，可放宽至每季度开展一次监测。</w:t>
                  </w:r>
                </w:p>
              </w:tc>
            </w:tr>
          </w:tbl>
          <w:p w14:paraId="44FC84E2">
            <w:pPr>
              <w:keepNext w:val="0"/>
              <w:keepLines w:val="0"/>
              <w:suppressLineNumbers w:val="0"/>
              <w:spacing w:before="0" w:beforeAutospacing="0" w:after="0" w:afterAutospacing="0" w:line="360" w:lineRule="auto"/>
              <w:ind w:left="0" w:right="0" w:firstLine="422" w:firstLineChars="200"/>
              <w:rPr>
                <w:color w:val="auto"/>
                <w:szCs w:val="21"/>
                <w:highlight w:val="none"/>
              </w:rPr>
            </w:pPr>
            <w:r>
              <w:rPr>
                <w:rFonts w:hint="eastAsia"/>
                <w:b/>
                <w:bCs/>
                <w:color w:val="auto"/>
                <w:szCs w:val="21"/>
                <w:highlight w:val="none"/>
              </w:rPr>
              <w:t>2.6地表水环境影响评价结论</w:t>
            </w:r>
          </w:p>
          <w:p w14:paraId="25ACE590">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企业废水为间接排放，</w:t>
            </w:r>
            <w:r>
              <w:rPr>
                <w:rFonts w:hint="eastAsia" w:hAnsi="宋体"/>
                <w:color w:val="auto"/>
                <w:highlight w:val="none"/>
                <w:lang w:val="en-US" w:eastAsia="zh-CN"/>
              </w:rPr>
              <w:t>本项目生活污水</w:t>
            </w:r>
            <w:r>
              <w:rPr>
                <w:rFonts w:hint="eastAsia"/>
                <w:color w:val="auto"/>
                <w:sz w:val="21"/>
                <w:szCs w:val="21"/>
                <w:highlight w:val="none"/>
                <w:lang w:val="en-US" w:eastAsia="zh-CN"/>
              </w:rPr>
              <w:t>经化粪池处理后与经厂内污水处理站处理后的生产废水一起接管至李口镇污水处理厂，总锌</w:t>
            </w:r>
            <w:r>
              <w:rPr>
                <w:rFonts w:hint="eastAsia"/>
                <w:bCs/>
                <w:color w:val="000000"/>
                <w:sz w:val="21"/>
                <w:szCs w:val="21"/>
                <w:highlight w:val="none"/>
                <w:lang w:val="en-US" w:eastAsia="zh-CN"/>
              </w:rPr>
              <w:t>浓度企业总排口达到《城镇污水处理厂污染物排放标准》（DB32/4440-2022）中表4标准限值，其他因子满足</w:t>
            </w:r>
            <w:r>
              <w:rPr>
                <w:rFonts w:hint="eastAsia"/>
                <w:color w:val="auto"/>
                <w:sz w:val="21"/>
                <w:szCs w:val="21"/>
                <w:highlight w:val="none"/>
                <w:lang w:val="en-US" w:eastAsia="zh-CN"/>
              </w:rPr>
              <w:t>李口镇污水处理厂</w:t>
            </w:r>
            <w:r>
              <w:rPr>
                <w:rFonts w:hint="eastAsia"/>
                <w:bCs/>
                <w:color w:val="000000"/>
                <w:sz w:val="21"/>
                <w:szCs w:val="21"/>
                <w:highlight w:val="none"/>
                <w:lang w:val="en-US" w:eastAsia="zh-CN"/>
              </w:rPr>
              <w:t>接管标准，接入李口镇污水处理厂</w:t>
            </w:r>
            <w:r>
              <w:rPr>
                <w:rFonts w:hint="eastAsia"/>
                <w:color w:val="auto"/>
                <w:szCs w:val="21"/>
                <w:highlight w:val="none"/>
              </w:rPr>
              <w:t>，废水经处理后达到《城镇污水处理厂废水排放标准》表1一级A标准</w:t>
            </w:r>
            <w:r>
              <w:rPr>
                <w:rFonts w:hint="default" w:ascii="宋体"/>
                <w:sz w:val="21"/>
                <w:szCs w:val="24"/>
              </w:rPr>
              <w:t>排入小长河，最终进入废</w:t>
            </w:r>
            <w:r>
              <w:rPr>
                <w:rFonts w:hint="eastAsia"/>
                <w:color w:val="auto"/>
                <w:szCs w:val="21"/>
                <w:highlight w:val="none"/>
                <w:lang w:val="en-US" w:eastAsia="zh-CN"/>
              </w:rPr>
              <w:t>黄河</w:t>
            </w:r>
            <w:r>
              <w:rPr>
                <w:rFonts w:hint="eastAsia"/>
                <w:color w:val="auto"/>
                <w:szCs w:val="21"/>
                <w:highlight w:val="none"/>
              </w:rPr>
              <w:t>。经分析评价，项目废水可达到相应接管标准，污水处理厂具备充足的接纳能力，处理工艺可行，可确保尾水达标排入纳污河流，对地表水环境影响较小。因此，本项目地表水环境影响可接受。</w:t>
            </w:r>
          </w:p>
          <w:p w14:paraId="31CA7C7B">
            <w:pPr>
              <w:keepNext w:val="0"/>
              <w:keepLines w:val="0"/>
              <w:suppressLineNumbers w:val="0"/>
              <w:spacing w:before="0" w:beforeAutospacing="0" w:after="0" w:afterAutospacing="0" w:line="360" w:lineRule="auto"/>
              <w:ind w:left="0" w:right="0" w:firstLine="422" w:firstLineChars="200"/>
              <w:rPr>
                <w:b/>
                <w:bCs/>
                <w:color w:val="auto"/>
                <w:szCs w:val="21"/>
                <w:highlight w:val="none"/>
              </w:rPr>
            </w:pPr>
            <w:r>
              <w:rPr>
                <w:rFonts w:hint="eastAsia"/>
                <w:b/>
                <w:bCs/>
                <w:color w:val="auto"/>
                <w:szCs w:val="21"/>
                <w:highlight w:val="none"/>
              </w:rPr>
              <w:t>三、运营期声环境影响及保护措施</w:t>
            </w:r>
          </w:p>
          <w:p w14:paraId="4DE56AED">
            <w:pPr>
              <w:keepNext w:val="0"/>
              <w:keepLines w:val="0"/>
              <w:suppressLineNumbers w:val="0"/>
              <w:spacing w:before="0" w:beforeAutospacing="0" w:after="0" w:afterAutospacing="0" w:line="360" w:lineRule="auto"/>
              <w:ind w:left="0" w:right="0" w:firstLine="422" w:firstLineChars="200"/>
              <w:rPr>
                <w:b/>
                <w:bCs/>
                <w:color w:val="auto"/>
                <w:szCs w:val="21"/>
                <w:highlight w:val="none"/>
              </w:rPr>
            </w:pPr>
            <w:r>
              <w:rPr>
                <w:rFonts w:hint="eastAsia"/>
                <w:b/>
                <w:bCs/>
                <w:color w:val="auto"/>
                <w:szCs w:val="21"/>
                <w:highlight w:val="none"/>
              </w:rPr>
              <w:t>3.1</w:t>
            </w:r>
            <w:r>
              <w:rPr>
                <w:b/>
                <w:bCs/>
                <w:color w:val="auto"/>
                <w:szCs w:val="21"/>
                <w:highlight w:val="none"/>
              </w:rPr>
              <w:t xml:space="preserve"> </w:t>
            </w:r>
            <w:r>
              <w:rPr>
                <w:rFonts w:hint="eastAsia"/>
                <w:b/>
                <w:bCs/>
                <w:color w:val="auto"/>
                <w:szCs w:val="21"/>
                <w:highlight w:val="none"/>
              </w:rPr>
              <w:t>噪声源强分析</w:t>
            </w:r>
          </w:p>
          <w:p w14:paraId="3BEDA645">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bCs/>
                <w:color w:val="auto"/>
                <w:szCs w:val="21"/>
                <w:highlight w:val="none"/>
              </w:rPr>
              <w:t>本项目在生产中高噪声设备主要</w:t>
            </w:r>
            <w:r>
              <w:rPr>
                <w:rFonts w:hint="eastAsia"/>
                <w:bCs/>
                <w:color w:val="auto"/>
                <w:szCs w:val="21"/>
                <w:highlight w:val="none"/>
              </w:rPr>
              <w:t>为</w:t>
            </w:r>
            <w:r>
              <w:rPr>
                <w:rFonts w:hint="eastAsia"/>
                <w:bCs/>
                <w:color w:val="auto"/>
                <w:szCs w:val="21"/>
                <w:highlight w:val="none"/>
                <w:lang w:val="en-US" w:eastAsia="zh-CN"/>
              </w:rPr>
              <w:t>激光切割机、折弯机、剪板机、焊接机、风机</w:t>
            </w:r>
            <w:r>
              <w:rPr>
                <w:rFonts w:hint="eastAsia"/>
                <w:bCs/>
                <w:color w:val="auto"/>
                <w:szCs w:val="21"/>
                <w:highlight w:val="none"/>
              </w:rPr>
              <w:t>等</w:t>
            </w:r>
            <w:r>
              <w:rPr>
                <w:bCs/>
                <w:color w:val="auto"/>
                <w:szCs w:val="21"/>
                <w:highlight w:val="none"/>
              </w:rPr>
              <w:t>，其噪声源强约为</w:t>
            </w:r>
            <w:r>
              <w:rPr>
                <w:rFonts w:hint="eastAsia"/>
                <w:bCs/>
                <w:color w:val="auto"/>
                <w:szCs w:val="21"/>
                <w:highlight w:val="none"/>
              </w:rPr>
              <w:t>7</w:t>
            </w:r>
            <w:r>
              <w:rPr>
                <w:rFonts w:hint="eastAsia"/>
                <w:bCs/>
                <w:color w:val="auto"/>
                <w:szCs w:val="21"/>
                <w:highlight w:val="none"/>
                <w:lang w:val="en-US" w:eastAsia="zh-CN"/>
              </w:rPr>
              <w:t>5</w:t>
            </w:r>
            <w:r>
              <w:rPr>
                <w:rFonts w:hint="eastAsia"/>
                <w:bCs/>
                <w:color w:val="auto"/>
                <w:szCs w:val="21"/>
                <w:highlight w:val="none"/>
              </w:rPr>
              <w:t>-8</w:t>
            </w:r>
            <w:r>
              <w:rPr>
                <w:rFonts w:hint="eastAsia"/>
                <w:bCs/>
                <w:color w:val="auto"/>
                <w:szCs w:val="21"/>
                <w:highlight w:val="none"/>
                <w:lang w:val="en-US" w:eastAsia="zh-CN"/>
              </w:rPr>
              <w:t>0</w:t>
            </w:r>
            <w:r>
              <w:rPr>
                <w:bCs/>
                <w:color w:val="auto"/>
                <w:szCs w:val="21"/>
                <w:highlight w:val="none"/>
              </w:rPr>
              <w:t>dB（A），</w:t>
            </w:r>
            <w:r>
              <w:rPr>
                <w:color w:val="auto"/>
                <w:szCs w:val="21"/>
                <w:highlight w:val="none"/>
              </w:rPr>
              <w:t>分别通过采取将各类高噪声设备采用减震、消音、隔音装置等不同的措施，噪声值可降低</w:t>
            </w:r>
            <w:r>
              <w:rPr>
                <w:rFonts w:hint="eastAsia"/>
                <w:color w:val="auto"/>
                <w:szCs w:val="21"/>
                <w:highlight w:val="none"/>
              </w:rPr>
              <w:t>2</w:t>
            </w:r>
            <w:r>
              <w:rPr>
                <w:rFonts w:hint="eastAsia"/>
                <w:color w:val="auto"/>
                <w:szCs w:val="21"/>
                <w:highlight w:val="none"/>
                <w:lang w:val="en-US" w:eastAsia="zh-CN"/>
              </w:rPr>
              <w:t>5</w:t>
            </w:r>
            <w:r>
              <w:rPr>
                <w:color w:val="auto"/>
                <w:szCs w:val="21"/>
                <w:highlight w:val="none"/>
              </w:rPr>
              <w:t>dB(A)，</w:t>
            </w:r>
            <w:r>
              <w:rPr>
                <w:rFonts w:hint="eastAsia"/>
                <w:color w:val="auto"/>
                <w:szCs w:val="21"/>
                <w:highlight w:val="none"/>
              </w:rPr>
              <w:t>根据</w:t>
            </w:r>
            <w:r>
              <w:rPr>
                <w:color w:val="auto"/>
                <w:szCs w:val="21"/>
                <w:highlight w:val="none"/>
              </w:rPr>
              <w:t>同类型设备的类比实测调查</w:t>
            </w:r>
            <w:r>
              <w:rPr>
                <w:rFonts w:hint="eastAsia"/>
                <w:color w:val="auto"/>
                <w:szCs w:val="21"/>
                <w:highlight w:val="none"/>
              </w:rPr>
              <w:t>，</w:t>
            </w:r>
            <w:r>
              <w:rPr>
                <w:color w:val="auto"/>
                <w:szCs w:val="21"/>
                <w:highlight w:val="none"/>
              </w:rPr>
              <w:t>本项目噪声产生及治理情况见</w:t>
            </w:r>
            <w:r>
              <w:rPr>
                <w:rFonts w:hint="eastAsia"/>
                <w:color w:val="auto"/>
                <w:szCs w:val="21"/>
                <w:highlight w:val="none"/>
                <w:lang w:val="en-US" w:eastAsia="zh-CN"/>
              </w:rPr>
              <w:t>下表</w:t>
            </w:r>
            <w:r>
              <w:rPr>
                <w:rFonts w:hint="eastAsia"/>
                <w:color w:val="auto"/>
                <w:szCs w:val="21"/>
                <w:highlight w:val="none"/>
              </w:rPr>
              <w:t>。</w:t>
            </w:r>
          </w:p>
          <w:p w14:paraId="075CA891">
            <w:pPr>
              <w:keepNext w:val="0"/>
              <w:keepLines w:val="0"/>
              <w:suppressLineNumbers w:val="0"/>
              <w:spacing w:before="0" w:beforeAutospacing="0" w:after="0" w:afterAutospacing="0" w:line="360" w:lineRule="auto"/>
              <w:ind w:left="0" w:right="0" w:firstLine="420" w:firstLineChars="200"/>
              <w:rPr>
                <w:color w:val="FF0000"/>
                <w:szCs w:val="21"/>
                <w:highlight w:val="none"/>
              </w:rPr>
            </w:pPr>
          </w:p>
        </w:tc>
      </w:tr>
    </w:tbl>
    <w:p w14:paraId="29DB46A4">
      <w:pPr>
        <w:pStyle w:val="10"/>
      </w:pPr>
    </w:p>
    <w:p w14:paraId="459023B7">
      <w:pPr>
        <w:pStyle w:val="10"/>
      </w:pPr>
    </w:p>
    <w:p w14:paraId="61B06D84">
      <w:pPr>
        <w:jc w:val="center"/>
        <w:rPr>
          <w:rFonts w:ascii="Times New Roman" w:hAnsi="Times New Roman" w:eastAsia="宋体" w:cs="Times New Roman"/>
          <w:color w:val="FF0000"/>
          <w:sz w:val="24"/>
          <w:szCs w:val="22"/>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1"/>
        <w:tblW w:w="13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3089"/>
      </w:tblGrid>
      <w:tr w14:paraId="3089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19" w:type="dxa"/>
            <w:vAlign w:val="center"/>
          </w:tcPr>
          <w:p w14:paraId="3304E2BB">
            <w:pPr>
              <w:jc w:val="center"/>
              <w:rPr>
                <w:rFonts w:ascii="Times New Roman" w:hAnsi="Times New Roman" w:eastAsia="宋体" w:cs="Times New Roman"/>
                <w:color w:val="FF0000"/>
                <w:sz w:val="24"/>
                <w:szCs w:val="22"/>
                <w:highlight w:val="none"/>
              </w:rPr>
            </w:pPr>
          </w:p>
        </w:tc>
        <w:tc>
          <w:tcPr>
            <w:tcW w:w="13089" w:type="dxa"/>
            <w:vAlign w:val="center"/>
          </w:tcPr>
          <w:p w14:paraId="43DCBDA3">
            <w:pPr>
              <w:widowControl w:val="0"/>
              <w:spacing w:line="300" w:lineRule="auto"/>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w:t>
            </w:r>
            <w:r>
              <w:rPr>
                <w:rFonts w:ascii="Times New Roman" w:hAnsi="Times New Roman" w:eastAsia="宋体" w:cs="Times New Roman"/>
                <w:b/>
                <w:bCs/>
                <w:color w:val="auto"/>
                <w:kern w:val="2"/>
                <w:sz w:val="21"/>
                <w:szCs w:val="21"/>
                <w:highlight w:val="none"/>
                <w:lang w:val="en-US" w:eastAsia="zh-CN" w:bidi="ar-SA"/>
              </w:rPr>
              <w:t>4-</w:t>
            </w:r>
            <w:r>
              <w:rPr>
                <w:rFonts w:hint="eastAsia" w:cs="Times New Roman"/>
                <w:b/>
                <w:bCs/>
                <w:color w:val="auto"/>
                <w:kern w:val="2"/>
                <w:sz w:val="21"/>
                <w:szCs w:val="21"/>
                <w:highlight w:val="none"/>
                <w:lang w:val="en-US" w:eastAsia="zh-CN" w:bidi="ar-SA"/>
              </w:rPr>
              <w:t>26</w:t>
            </w:r>
            <w:r>
              <w:rPr>
                <w:rFonts w:hint="eastAsia" w:ascii="Times New Roman" w:hAnsi="Times New Roman" w:eastAsia="宋体" w:cs="Times New Roman"/>
                <w:b/>
                <w:bCs/>
                <w:color w:val="auto"/>
                <w:kern w:val="2"/>
                <w:sz w:val="21"/>
                <w:szCs w:val="21"/>
                <w:highlight w:val="none"/>
                <w:lang w:val="en-US" w:eastAsia="zh-CN" w:bidi="ar-SA"/>
              </w:rPr>
              <w:t xml:space="preserve"> 项目噪声源强调查清单（室内声源）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8"/>
              <w:gridCol w:w="893"/>
              <w:gridCol w:w="917"/>
              <w:gridCol w:w="538"/>
              <w:gridCol w:w="1455"/>
              <w:gridCol w:w="1005"/>
              <w:gridCol w:w="579"/>
              <w:gridCol w:w="711"/>
              <w:gridCol w:w="711"/>
              <w:gridCol w:w="708"/>
              <w:gridCol w:w="852"/>
              <w:gridCol w:w="1133"/>
              <w:gridCol w:w="991"/>
              <w:gridCol w:w="994"/>
              <w:gridCol w:w="878"/>
            </w:tblGrid>
            <w:tr w14:paraId="6C2B0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 w:type="pct"/>
                  <w:vMerge w:val="restart"/>
                  <w:vAlign w:val="center"/>
                </w:tcPr>
                <w:p w14:paraId="14B0E1B8">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序号</w:t>
                  </w:r>
                </w:p>
              </w:tc>
              <w:tc>
                <w:tcPr>
                  <w:tcW w:w="346" w:type="pct"/>
                  <w:vMerge w:val="restart"/>
                  <w:vAlign w:val="center"/>
                </w:tcPr>
                <w:p w14:paraId="6A0B445E">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建筑物名称</w:t>
                  </w:r>
                </w:p>
              </w:tc>
              <w:tc>
                <w:tcPr>
                  <w:tcW w:w="356" w:type="pct"/>
                  <w:vMerge w:val="restart"/>
                  <w:vAlign w:val="center"/>
                </w:tcPr>
                <w:p w14:paraId="02F27625">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声源名称</w:t>
                  </w:r>
                </w:p>
              </w:tc>
              <w:tc>
                <w:tcPr>
                  <w:tcW w:w="208" w:type="pct"/>
                  <w:vMerge w:val="restart"/>
                  <w:vAlign w:val="center"/>
                </w:tcPr>
                <w:p w14:paraId="3AFA10EC">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型号</w:t>
                  </w:r>
                </w:p>
              </w:tc>
              <w:tc>
                <w:tcPr>
                  <w:tcW w:w="565" w:type="pct"/>
                  <w:vMerge w:val="restart"/>
                  <w:tcMar>
                    <w:left w:w="0" w:type="dxa"/>
                    <w:right w:w="0" w:type="dxa"/>
                  </w:tcMar>
                  <w:vAlign w:val="center"/>
                </w:tcPr>
                <w:p w14:paraId="4600D085">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声源源强（声压级/距声源距离）/（dB(A)/m）</w:t>
                  </w:r>
                </w:p>
              </w:tc>
              <w:tc>
                <w:tcPr>
                  <w:tcW w:w="390" w:type="pct"/>
                  <w:vMerge w:val="restart"/>
                  <w:tcMar>
                    <w:left w:w="0" w:type="dxa"/>
                    <w:right w:w="0" w:type="dxa"/>
                  </w:tcMar>
                  <w:vAlign w:val="center"/>
                </w:tcPr>
                <w:p w14:paraId="635DD87F">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声源控制措施</w:t>
                  </w:r>
                </w:p>
              </w:tc>
              <w:tc>
                <w:tcPr>
                  <w:tcW w:w="777" w:type="pct"/>
                  <w:gridSpan w:val="3"/>
                  <w:vAlign w:val="center"/>
                </w:tcPr>
                <w:p w14:paraId="45EA9047">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空间相对位置/m</w:t>
                  </w:r>
                </w:p>
              </w:tc>
              <w:tc>
                <w:tcPr>
                  <w:tcW w:w="274" w:type="pct"/>
                  <w:vMerge w:val="restart"/>
                  <w:vAlign w:val="center"/>
                </w:tcPr>
                <w:p w14:paraId="290087CB">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距室内边界距离/m</w:t>
                  </w:r>
                </w:p>
              </w:tc>
              <w:tc>
                <w:tcPr>
                  <w:tcW w:w="330" w:type="pct"/>
                  <w:vMerge w:val="restart"/>
                  <w:vAlign w:val="center"/>
                </w:tcPr>
                <w:p w14:paraId="4CB2437C">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室内边界声级/dB(A)</w:t>
                  </w:r>
                </w:p>
              </w:tc>
              <w:tc>
                <w:tcPr>
                  <w:tcW w:w="440" w:type="pct"/>
                  <w:vMerge w:val="restart"/>
                  <w:vAlign w:val="center"/>
                </w:tcPr>
                <w:p w14:paraId="2367C434">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运行时段</w:t>
                  </w:r>
                </w:p>
              </w:tc>
              <w:tc>
                <w:tcPr>
                  <w:tcW w:w="384" w:type="pct"/>
                  <w:vMerge w:val="restart"/>
                  <w:vAlign w:val="center"/>
                </w:tcPr>
                <w:p w14:paraId="4DB8BFB8">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建筑物插入损失/ dB(A)</w:t>
                  </w:r>
                </w:p>
              </w:tc>
              <w:tc>
                <w:tcPr>
                  <w:tcW w:w="727" w:type="pct"/>
                  <w:gridSpan w:val="2"/>
                  <w:vAlign w:val="center"/>
                </w:tcPr>
                <w:p w14:paraId="52C32FAE">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建筑物外噪声</w:t>
                  </w:r>
                </w:p>
              </w:tc>
            </w:tr>
            <w:tr w14:paraId="4C20F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 w:type="pct"/>
                  <w:vMerge w:val="continue"/>
                  <w:vAlign w:val="center"/>
                </w:tcPr>
                <w:p w14:paraId="170A37D3">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346" w:type="pct"/>
                  <w:vMerge w:val="continue"/>
                  <w:vAlign w:val="center"/>
                </w:tcPr>
                <w:p w14:paraId="3B406B44">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356" w:type="pct"/>
                  <w:vMerge w:val="continue"/>
                  <w:vAlign w:val="center"/>
                </w:tcPr>
                <w:p w14:paraId="7A11FCAF">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208" w:type="pct"/>
                  <w:vMerge w:val="continue"/>
                  <w:vAlign w:val="center"/>
                </w:tcPr>
                <w:p w14:paraId="000EC21B">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565" w:type="pct"/>
                  <w:vMerge w:val="continue"/>
                  <w:vAlign w:val="center"/>
                </w:tcPr>
                <w:p w14:paraId="0863ADE1">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390" w:type="pct"/>
                  <w:vMerge w:val="continue"/>
                  <w:tcMar>
                    <w:left w:w="0" w:type="dxa"/>
                    <w:right w:w="0" w:type="dxa"/>
                  </w:tcMar>
                  <w:vAlign w:val="center"/>
                </w:tcPr>
                <w:p w14:paraId="67C68B9B">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224" w:type="pct"/>
                  <w:vAlign w:val="center"/>
                </w:tcPr>
                <w:p w14:paraId="2E248831">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X</w:t>
                  </w:r>
                </w:p>
              </w:tc>
              <w:tc>
                <w:tcPr>
                  <w:tcW w:w="276" w:type="pct"/>
                  <w:vAlign w:val="center"/>
                </w:tcPr>
                <w:p w14:paraId="2A0FDC9E">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Y</w:t>
                  </w:r>
                </w:p>
              </w:tc>
              <w:tc>
                <w:tcPr>
                  <w:tcW w:w="276" w:type="pct"/>
                  <w:vAlign w:val="center"/>
                </w:tcPr>
                <w:p w14:paraId="25031419">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Z</w:t>
                  </w:r>
                </w:p>
              </w:tc>
              <w:tc>
                <w:tcPr>
                  <w:tcW w:w="274" w:type="pct"/>
                  <w:vMerge w:val="continue"/>
                  <w:vAlign w:val="center"/>
                </w:tcPr>
                <w:p w14:paraId="4665BEA6">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330" w:type="pct"/>
                  <w:vMerge w:val="continue"/>
                  <w:vAlign w:val="center"/>
                </w:tcPr>
                <w:p w14:paraId="44ECBDC4">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440" w:type="pct"/>
                  <w:vMerge w:val="continue"/>
                  <w:vAlign w:val="center"/>
                </w:tcPr>
                <w:p w14:paraId="786F4234">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384" w:type="pct"/>
                  <w:vMerge w:val="continue"/>
                  <w:vAlign w:val="center"/>
                </w:tcPr>
                <w:p w14:paraId="014CD397">
                  <w:pPr>
                    <w:widowControl w:val="0"/>
                    <w:jc w:val="center"/>
                    <w:rPr>
                      <w:rFonts w:ascii="Times New Roman" w:hAnsi="Times New Roman" w:eastAsia="宋体" w:cs="Times New Roman"/>
                      <w:b/>
                      <w:bCs/>
                      <w:color w:val="auto"/>
                      <w:kern w:val="2"/>
                      <w:sz w:val="21"/>
                      <w:szCs w:val="21"/>
                      <w:highlight w:val="none"/>
                      <w:lang w:val="en-US" w:eastAsia="zh-CN" w:bidi="ar-SA"/>
                    </w:rPr>
                  </w:pPr>
                </w:p>
              </w:tc>
              <w:tc>
                <w:tcPr>
                  <w:tcW w:w="386" w:type="pct"/>
                  <w:vAlign w:val="center"/>
                </w:tcPr>
                <w:p w14:paraId="090DF3D7">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声压级/dB(A)</w:t>
                  </w:r>
                </w:p>
              </w:tc>
              <w:tc>
                <w:tcPr>
                  <w:tcW w:w="341" w:type="pct"/>
                  <w:vAlign w:val="center"/>
                </w:tcPr>
                <w:p w14:paraId="49BB6ADC">
                  <w:pPr>
                    <w:widowControl w:val="0"/>
                    <w:jc w:val="center"/>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建筑物外距离</w:t>
                  </w:r>
                </w:p>
              </w:tc>
            </w:tr>
            <w:tr w14:paraId="45FFE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 w:type="pct"/>
                  <w:vAlign w:val="center"/>
                </w:tcPr>
                <w:p w14:paraId="0E7D3AAF">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346" w:type="pct"/>
                  <w:vAlign w:val="center"/>
                </w:tcPr>
                <w:p w14:paraId="701ED467">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#厂房</w:t>
                  </w:r>
                </w:p>
              </w:tc>
              <w:tc>
                <w:tcPr>
                  <w:tcW w:w="356" w:type="pct"/>
                  <w:vAlign w:val="center"/>
                </w:tcPr>
                <w:p w14:paraId="4601F0DB">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喷涂流水线</w:t>
                  </w:r>
                </w:p>
              </w:tc>
              <w:tc>
                <w:tcPr>
                  <w:tcW w:w="208" w:type="pct"/>
                  <w:vAlign w:val="center"/>
                </w:tcPr>
                <w:p w14:paraId="3BDF8EC5">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565" w:type="pct"/>
                  <w:vAlign w:val="center"/>
                </w:tcPr>
                <w:p w14:paraId="435EA0A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r>
                    <w:rPr>
                      <w:rFonts w:ascii="Times New Roman" w:hAnsi="Times New Roman" w:eastAsia="宋体" w:cs="Times New Roman"/>
                      <w:color w:val="auto"/>
                      <w:kern w:val="2"/>
                      <w:sz w:val="21"/>
                      <w:szCs w:val="21"/>
                      <w:highlight w:val="none"/>
                      <w:lang w:val="en-US" w:eastAsia="zh-CN" w:bidi="ar-SA"/>
                    </w:rPr>
                    <w:t>/1</w:t>
                  </w:r>
                </w:p>
              </w:tc>
              <w:tc>
                <w:tcPr>
                  <w:tcW w:w="390" w:type="pct"/>
                  <w:tcMar>
                    <w:left w:w="0" w:type="dxa"/>
                    <w:right w:w="0" w:type="dxa"/>
                  </w:tcMar>
                  <w:vAlign w:val="center"/>
                </w:tcPr>
                <w:p w14:paraId="74C0D71D">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选用低噪声设备、减振、隔声</w:t>
                  </w:r>
                </w:p>
              </w:tc>
              <w:tc>
                <w:tcPr>
                  <w:tcW w:w="224" w:type="pct"/>
                  <w:vAlign w:val="center"/>
                </w:tcPr>
                <w:p w14:paraId="2411126C">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336</w:t>
                  </w:r>
                </w:p>
              </w:tc>
              <w:tc>
                <w:tcPr>
                  <w:tcW w:w="276" w:type="pct"/>
                  <w:vAlign w:val="center"/>
                </w:tcPr>
                <w:p w14:paraId="16B228E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275</w:t>
                  </w:r>
                </w:p>
              </w:tc>
              <w:tc>
                <w:tcPr>
                  <w:tcW w:w="276" w:type="pct"/>
                  <w:vAlign w:val="center"/>
                </w:tcPr>
                <w:p w14:paraId="35658D32">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74" w:type="pct"/>
                  <w:vAlign w:val="center"/>
                </w:tcPr>
                <w:p w14:paraId="611EC386">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330" w:type="pct"/>
                  <w:vAlign w:val="center"/>
                </w:tcPr>
                <w:p w14:paraId="490F1706">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440" w:type="pct"/>
                  <w:tcMar>
                    <w:left w:w="57" w:type="dxa"/>
                    <w:right w:w="57" w:type="dxa"/>
                  </w:tcMar>
                  <w:vAlign w:val="center"/>
                </w:tcPr>
                <w:p w14:paraId="6CBF4A71">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昼间</w:t>
                  </w:r>
                </w:p>
              </w:tc>
              <w:tc>
                <w:tcPr>
                  <w:tcW w:w="384" w:type="pct"/>
                  <w:vAlign w:val="center"/>
                </w:tcPr>
                <w:p w14:paraId="5C7B1E8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w:t>
                  </w:r>
                </w:p>
              </w:tc>
              <w:tc>
                <w:tcPr>
                  <w:tcW w:w="386" w:type="pct"/>
                  <w:vAlign w:val="center"/>
                </w:tcPr>
                <w:p w14:paraId="659693AE">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55</w:t>
                  </w:r>
                </w:p>
              </w:tc>
              <w:tc>
                <w:tcPr>
                  <w:tcW w:w="341" w:type="pct"/>
                  <w:vAlign w:val="center"/>
                </w:tcPr>
                <w:p w14:paraId="5AD9D137">
                  <w:pPr>
                    <w:widowControl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ascii="Times New Roman" w:hAnsi="Times New Roman" w:eastAsia="宋体" w:cs="Times New Roman"/>
                      <w:color w:val="auto"/>
                      <w:kern w:val="2"/>
                      <w:sz w:val="21"/>
                      <w:szCs w:val="21"/>
                      <w:highlight w:val="none"/>
                      <w:lang w:val="en-US" w:eastAsia="zh-CN" w:bidi="ar-SA"/>
                    </w:rPr>
                    <w:t>m</w:t>
                  </w:r>
                </w:p>
              </w:tc>
            </w:tr>
          </w:tbl>
          <w:p w14:paraId="2D9C9A37">
            <w:pPr>
              <w:widowControl/>
              <w:jc w:val="both"/>
              <w:rPr>
                <w:rFonts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注：原点坐标为118.748306</w:t>
            </w:r>
            <w:r>
              <w:rPr>
                <w:rFonts w:ascii="Times New Roman" w:hAnsi="Times New Roman" w:eastAsia="宋体" w:cs="Times New Roman"/>
                <w:color w:val="auto"/>
                <w:kern w:val="0"/>
                <w:sz w:val="21"/>
                <w:szCs w:val="24"/>
                <w:highlight w:val="none"/>
                <w:lang w:val="en-US" w:eastAsia="zh-CN" w:bidi="ar-SA"/>
              </w:rPr>
              <w:t>°E</w:t>
            </w:r>
            <w:r>
              <w:rPr>
                <w:rFonts w:hint="eastAsia" w:ascii="Times New Roman" w:hAnsi="Times New Roman" w:eastAsia="宋体" w:cs="Times New Roman"/>
                <w:color w:val="auto"/>
                <w:kern w:val="0"/>
                <w:sz w:val="21"/>
                <w:szCs w:val="24"/>
                <w:highlight w:val="none"/>
                <w:lang w:val="en-US" w:eastAsia="zh-CN" w:bidi="ar-SA"/>
              </w:rPr>
              <w:t>，</w:t>
            </w:r>
            <w:r>
              <w:rPr>
                <w:rFonts w:ascii="Times New Roman" w:hAnsi="Times New Roman" w:eastAsia="宋体" w:cs="Times New Roman"/>
                <w:color w:val="auto"/>
                <w:kern w:val="0"/>
                <w:sz w:val="21"/>
                <w:szCs w:val="24"/>
                <w:highlight w:val="none"/>
                <w:lang w:val="en-US" w:eastAsia="zh-CN" w:bidi="ar-SA"/>
              </w:rPr>
              <w:t>33.</w:t>
            </w:r>
            <w:r>
              <w:rPr>
                <w:rFonts w:hint="eastAsia" w:ascii="Times New Roman" w:hAnsi="Times New Roman" w:eastAsia="宋体" w:cs="Times New Roman"/>
                <w:color w:val="auto"/>
                <w:kern w:val="0"/>
                <w:sz w:val="21"/>
                <w:szCs w:val="24"/>
                <w:highlight w:val="none"/>
                <w:lang w:val="en-US" w:eastAsia="zh-CN" w:bidi="ar-SA"/>
              </w:rPr>
              <w:t>678777</w:t>
            </w:r>
            <w:r>
              <w:rPr>
                <w:rFonts w:ascii="Times New Roman" w:hAnsi="Times New Roman" w:eastAsia="宋体" w:cs="Times New Roman"/>
                <w:color w:val="auto"/>
                <w:kern w:val="0"/>
                <w:sz w:val="21"/>
                <w:szCs w:val="24"/>
                <w:highlight w:val="none"/>
                <w:lang w:val="en-US" w:eastAsia="zh-CN" w:bidi="ar-SA"/>
              </w:rPr>
              <w:t>°N</w:t>
            </w:r>
            <w:r>
              <w:rPr>
                <w:rFonts w:hint="eastAsia" w:ascii="Times New Roman" w:hAnsi="Times New Roman" w:eastAsia="宋体" w:cs="Times New Roman"/>
                <w:color w:val="auto"/>
                <w:kern w:val="0"/>
                <w:sz w:val="21"/>
                <w:szCs w:val="24"/>
                <w:highlight w:val="none"/>
                <w:lang w:val="en-US" w:eastAsia="zh-CN" w:bidi="ar-SA"/>
              </w:rPr>
              <w:t>。</w:t>
            </w:r>
          </w:p>
          <w:p w14:paraId="29F38FDC">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2" w:firstLineChars="200"/>
              <w:jc w:val="center"/>
              <w:textAlignment w:val="auto"/>
              <w:rPr>
                <w:rFonts w:hint="eastAsia" w:ascii="Times New Roman" w:hAnsi="Times New Roman" w:eastAsia="宋体" w:cs="Times New Roman"/>
                <w:b/>
                <w:bCs/>
                <w:color w:val="auto"/>
                <w:kern w:val="0"/>
                <w:sz w:val="21"/>
                <w:szCs w:val="16"/>
                <w:highlight w:val="none"/>
                <w:lang w:val="en-US" w:eastAsia="zh-CN" w:bidi="ar-SA"/>
              </w:rPr>
            </w:pPr>
            <w:r>
              <w:rPr>
                <w:rFonts w:hint="default" w:ascii="Times New Roman" w:hAnsi="Times New Roman" w:eastAsia="宋体" w:cs="Times New Roman"/>
                <w:b/>
                <w:bCs/>
                <w:color w:val="auto"/>
                <w:kern w:val="0"/>
                <w:sz w:val="21"/>
                <w:szCs w:val="16"/>
                <w:highlight w:val="none"/>
                <w:lang w:val="en-US" w:eastAsia="zh-CN" w:bidi="ar-SA"/>
              </w:rPr>
              <w:t>表</w:t>
            </w:r>
            <w:r>
              <w:rPr>
                <w:rFonts w:hint="eastAsia" w:cs="Times New Roman"/>
                <w:b/>
                <w:bCs/>
                <w:color w:val="auto"/>
                <w:kern w:val="0"/>
                <w:sz w:val="21"/>
                <w:szCs w:val="16"/>
                <w:highlight w:val="none"/>
                <w:lang w:val="en-US" w:eastAsia="zh-CN" w:bidi="ar-SA"/>
              </w:rPr>
              <w:t>4-27</w:t>
            </w:r>
            <w:r>
              <w:rPr>
                <w:rFonts w:hint="default" w:ascii="Times New Roman" w:hAnsi="Times New Roman" w:eastAsia="宋体" w:cs="Times New Roman"/>
                <w:b/>
                <w:bCs/>
                <w:color w:val="auto"/>
                <w:kern w:val="0"/>
                <w:sz w:val="21"/>
                <w:szCs w:val="16"/>
                <w:highlight w:val="none"/>
                <w:lang w:val="en-US" w:eastAsia="zh-CN" w:bidi="ar-SA"/>
              </w:rPr>
              <w:t xml:space="preserve"> 建设项目</w:t>
            </w:r>
            <w:r>
              <w:rPr>
                <w:rFonts w:hint="eastAsia" w:cs="Times New Roman"/>
                <w:b/>
                <w:bCs/>
                <w:color w:val="auto"/>
                <w:kern w:val="0"/>
                <w:sz w:val="21"/>
                <w:szCs w:val="16"/>
                <w:highlight w:val="none"/>
                <w:lang w:val="en-US" w:eastAsia="zh-CN" w:bidi="ar-SA"/>
              </w:rPr>
              <w:t>室外</w:t>
            </w:r>
            <w:r>
              <w:rPr>
                <w:rFonts w:hint="default" w:ascii="Times New Roman" w:hAnsi="Times New Roman" w:eastAsia="宋体" w:cs="Times New Roman"/>
                <w:b/>
                <w:bCs/>
                <w:color w:val="auto"/>
                <w:kern w:val="0"/>
                <w:sz w:val="21"/>
                <w:szCs w:val="16"/>
                <w:highlight w:val="none"/>
                <w:lang w:val="en-US" w:eastAsia="zh-CN" w:bidi="ar-SA"/>
              </w:rPr>
              <w:t>噪声源一览表  单位：dB(A</w:t>
            </w:r>
            <w:r>
              <w:rPr>
                <w:rFonts w:hint="eastAsia" w:ascii="Times New Roman" w:hAnsi="Times New Roman" w:eastAsia="宋体" w:cs="Times New Roman"/>
                <w:b/>
                <w:bCs/>
                <w:color w:val="auto"/>
                <w:kern w:val="0"/>
                <w:sz w:val="21"/>
                <w:szCs w:val="16"/>
                <w:highlight w:val="none"/>
                <w:lang w:val="en-US" w:eastAsia="zh-CN" w:bidi="ar-SA"/>
              </w:rPr>
              <w:t>)</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98"/>
              <w:gridCol w:w="1371"/>
              <w:gridCol w:w="1770"/>
              <w:gridCol w:w="1048"/>
              <w:gridCol w:w="994"/>
              <w:gridCol w:w="1145"/>
              <w:gridCol w:w="1675"/>
              <w:gridCol w:w="2884"/>
              <w:gridCol w:w="983"/>
            </w:tblGrid>
            <w:tr w14:paraId="0EE7DF7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6" w:hRule="atLeast"/>
                <w:jc w:val="center"/>
              </w:trPr>
              <w:tc>
                <w:tcPr>
                  <w:tcW w:w="998" w:type="dxa"/>
                  <w:vMerge w:val="restart"/>
                  <w:tcBorders>
                    <w:tl2br w:val="nil"/>
                    <w:tr2bl w:val="nil"/>
                  </w:tcBorders>
                  <w:shd w:val="clear" w:color="auto" w:fill="auto"/>
                  <w:vAlign w:val="center"/>
                </w:tcPr>
                <w:p w14:paraId="2E06EC09">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1371" w:type="dxa"/>
                  <w:vMerge w:val="restart"/>
                  <w:tcBorders>
                    <w:tl2br w:val="nil"/>
                    <w:tr2bl w:val="nil"/>
                  </w:tcBorders>
                  <w:shd w:val="clear" w:color="auto" w:fill="auto"/>
                  <w:vAlign w:val="center"/>
                </w:tcPr>
                <w:p w14:paraId="3086375C">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声源名称</w:t>
                  </w:r>
                </w:p>
              </w:tc>
              <w:tc>
                <w:tcPr>
                  <w:tcW w:w="1770" w:type="dxa"/>
                  <w:vMerge w:val="restart"/>
                  <w:tcBorders>
                    <w:tl2br w:val="nil"/>
                    <w:tr2bl w:val="nil"/>
                  </w:tcBorders>
                  <w:shd w:val="clear" w:color="auto" w:fill="auto"/>
                  <w:vAlign w:val="center"/>
                </w:tcPr>
                <w:p w14:paraId="6BDAC5E7">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w:t>
                  </w:r>
                </w:p>
              </w:tc>
              <w:tc>
                <w:tcPr>
                  <w:tcW w:w="3187" w:type="dxa"/>
                  <w:gridSpan w:val="3"/>
                  <w:tcBorders>
                    <w:tl2br w:val="nil"/>
                    <w:tr2bl w:val="nil"/>
                  </w:tcBorders>
                  <w:shd w:val="clear" w:color="auto" w:fill="auto"/>
                  <w:vAlign w:val="center"/>
                </w:tcPr>
                <w:p w14:paraId="2FA8C4AF">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空间相对位置/m</w:t>
                  </w:r>
                </w:p>
              </w:tc>
              <w:tc>
                <w:tcPr>
                  <w:tcW w:w="1675" w:type="dxa"/>
                  <w:vMerge w:val="restart"/>
                  <w:tcBorders>
                    <w:tl2br w:val="nil"/>
                    <w:tr2bl w:val="nil"/>
                  </w:tcBorders>
                  <w:shd w:val="clear" w:color="auto" w:fill="auto"/>
                  <w:vAlign w:val="center"/>
                </w:tcPr>
                <w:p w14:paraId="42CE7B28">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声源源强/dB(A)</w:t>
                  </w:r>
                </w:p>
              </w:tc>
              <w:tc>
                <w:tcPr>
                  <w:tcW w:w="2884" w:type="dxa"/>
                  <w:vMerge w:val="restart"/>
                  <w:tcBorders>
                    <w:tl2br w:val="nil"/>
                    <w:tr2bl w:val="nil"/>
                  </w:tcBorders>
                  <w:shd w:val="clear" w:color="auto" w:fill="auto"/>
                  <w:vAlign w:val="center"/>
                </w:tcPr>
                <w:p w14:paraId="5C1256B4">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声源控制措施</w:t>
                  </w:r>
                </w:p>
              </w:tc>
              <w:tc>
                <w:tcPr>
                  <w:tcW w:w="983" w:type="dxa"/>
                  <w:vMerge w:val="restart"/>
                  <w:tcBorders>
                    <w:tl2br w:val="nil"/>
                    <w:tr2bl w:val="nil"/>
                  </w:tcBorders>
                  <w:shd w:val="clear" w:color="auto" w:fill="auto"/>
                  <w:vAlign w:val="center"/>
                </w:tcPr>
                <w:p w14:paraId="02D6FA43">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运行时段</w:t>
                  </w:r>
                </w:p>
              </w:tc>
            </w:tr>
            <w:tr w14:paraId="2946DE1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6" w:hRule="atLeast"/>
                <w:jc w:val="center"/>
              </w:trPr>
              <w:tc>
                <w:tcPr>
                  <w:tcW w:w="998" w:type="dxa"/>
                  <w:vMerge w:val="continue"/>
                  <w:tcBorders>
                    <w:tl2br w:val="nil"/>
                    <w:tr2bl w:val="nil"/>
                  </w:tcBorders>
                  <w:shd w:val="clear" w:color="auto" w:fill="auto"/>
                  <w:vAlign w:val="center"/>
                </w:tcPr>
                <w:p w14:paraId="642D015D">
                  <w:pPr>
                    <w:shd w:val="clear"/>
                    <w:jc w:val="center"/>
                    <w:rPr>
                      <w:rFonts w:hint="default" w:ascii="Times New Roman" w:hAnsi="Times New Roman" w:eastAsia="宋体" w:cs="Times New Roman"/>
                      <w:b w:val="0"/>
                      <w:bCs w:val="0"/>
                      <w:i w:val="0"/>
                      <w:iCs w:val="0"/>
                      <w:color w:val="auto"/>
                      <w:sz w:val="21"/>
                      <w:szCs w:val="21"/>
                      <w:highlight w:val="none"/>
                      <w:u w:val="none"/>
                    </w:rPr>
                  </w:pPr>
                </w:p>
              </w:tc>
              <w:tc>
                <w:tcPr>
                  <w:tcW w:w="1371" w:type="dxa"/>
                  <w:vMerge w:val="continue"/>
                  <w:tcBorders>
                    <w:tl2br w:val="nil"/>
                    <w:tr2bl w:val="nil"/>
                  </w:tcBorders>
                  <w:shd w:val="clear" w:color="auto" w:fill="auto"/>
                  <w:vAlign w:val="center"/>
                </w:tcPr>
                <w:p w14:paraId="75FFA5CA">
                  <w:pPr>
                    <w:shd w:val="clear"/>
                    <w:jc w:val="center"/>
                    <w:rPr>
                      <w:rFonts w:hint="default" w:ascii="Times New Roman" w:hAnsi="Times New Roman" w:eastAsia="宋体" w:cs="Times New Roman"/>
                      <w:b w:val="0"/>
                      <w:bCs w:val="0"/>
                      <w:i w:val="0"/>
                      <w:iCs w:val="0"/>
                      <w:color w:val="auto"/>
                      <w:sz w:val="21"/>
                      <w:szCs w:val="21"/>
                      <w:highlight w:val="none"/>
                      <w:u w:val="none"/>
                    </w:rPr>
                  </w:pPr>
                </w:p>
              </w:tc>
              <w:tc>
                <w:tcPr>
                  <w:tcW w:w="1770" w:type="dxa"/>
                  <w:vMerge w:val="continue"/>
                  <w:tcBorders>
                    <w:tl2br w:val="nil"/>
                    <w:tr2bl w:val="nil"/>
                  </w:tcBorders>
                  <w:shd w:val="clear" w:color="auto" w:fill="auto"/>
                  <w:vAlign w:val="center"/>
                </w:tcPr>
                <w:p w14:paraId="533528FC">
                  <w:pPr>
                    <w:shd w:val="clear"/>
                    <w:jc w:val="center"/>
                    <w:rPr>
                      <w:rFonts w:hint="default" w:ascii="Times New Roman" w:hAnsi="Times New Roman" w:eastAsia="宋体" w:cs="Times New Roman"/>
                      <w:b w:val="0"/>
                      <w:bCs w:val="0"/>
                      <w:i w:val="0"/>
                      <w:iCs w:val="0"/>
                      <w:color w:val="auto"/>
                      <w:sz w:val="21"/>
                      <w:szCs w:val="21"/>
                      <w:highlight w:val="none"/>
                      <w:u w:val="none"/>
                    </w:rPr>
                  </w:pPr>
                </w:p>
              </w:tc>
              <w:tc>
                <w:tcPr>
                  <w:tcW w:w="1048" w:type="dxa"/>
                  <w:tcBorders>
                    <w:tl2br w:val="nil"/>
                    <w:tr2bl w:val="nil"/>
                  </w:tcBorders>
                  <w:shd w:val="clear" w:color="auto" w:fill="auto"/>
                  <w:vAlign w:val="center"/>
                </w:tcPr>
                <w:p w14:paraId="2FD547B1">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p>
              </w:tc>
              <w:tc>
                <w:tcPr>
                  <w:tcW w:w="994" w:type="dxa"/>
                  <w:tcBorders>
                    <w:tl2br w:val="nil"/>
                    <w:tr2bl w:val="nil"/>
                  </w:tcBorders>
                  <w:shd w:val="clear" w:color="auto" w:fill="auto"/>
                  <w:vAlign w:val="center"/>
                </w:tcPr>
                <w:p w14:paraId="327BC701">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p>
              </w:tc>
              <w:tc>
                <w:tcPr>
                  <w:tcW w:w="1145" w:type="dxa"/>
                  <w:tcBorders>
                    <w:tl2br w:val="nil"/>
                    <w:tr2bl w:val="nil"/>
                  </w:tcBorders>
                  <w:shd w:val="clear" w:color="auto" w:fill="auto"/>
                  <w:vAlign w:val="center"/>
                </w:tcPr>
                <w:p w14:paraId="77E652A2">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w:t>
                  </w:r>
                </w:p>
              </w:tc>
              <w:tc>
                <w:tcPr>
                  <w:tcW w:w="1675" w:type="dxa"/>
                  <w:vMerge w:val="continue"/>
                  <w:tcBorders>
                    <w:tl2br w:val="nil"/>
                    <w:tr2bl w:val="nil"/>
                  </w:tcBorders>
                  <w:shd w:val="clear" w:color="auto" w:fill="auto"/>
                  <w:vAlign w:val="center"/>
                </w:tcPr>
                <w:p w14:paraId="736B1E4A">
                  <w:pPr>
                    <w:shd w:val="clear"/>
                    <w:jc w:val="center"/>
                    <w:rPr>
                      <w:rFonts w:hint="default" w:ascii="Times New Roman" w:hAnsi="Times New Roman" w:eastAsia="宋体" w:cs="Times New Roman"/>
                      <w:b w:val="0"/>
                      <w:bCs w:val="0"/>
                      <w:i w:val="0"/>
                      <w:iCs w:val="0"/>
                      <w:color w:val="auto"/>
                      <w:sz w:val="21"/>
                      <w:szCs w:val="21"/>
                      <w:highlight w:val="none"/>
                      <w:u w:val="none"/>
                    </w:rPr>
                  </w:pPr>
                </w:p>
              </w:tc>
              <w:tc>
                <w:tcPr>
                  <w:tcW w:w="2884" w:type="dxa"/>
                  <w:vMerge w:val="continue"/>
                  <w:tcBorders>
                    <w:tl2br w:val="nil"/>
                    <w:tr2bl w:val="nil"/>
                  </w:tcBorders>
                  <w:shd w:val="clear" w:color="auto" w:fill="auto"/>
                  <w:vAlign w:val="center"/>
                </w:tcPr>
                <w:p w14:paraId="6D050978">
                  <w:pPr>
                    <w:shd w:val="clear"/>
                    <w:jc w:val="center"/>
                    <w:rPr>
                      <w:rFonts w:hint="default" w:ascii="Times New Roman" w:hAnsi="Times New Roman" w:eastAsia="宋体" w:cs="Times New Roman"/>
                      <w:b w:val="0"/>
                      <w:bCs w:val="0"/>
                      <w:i w:val="0"/>
                      <w:iCs w:val="0"/>
                      <w:color w:val="auto"/>
                      <w:sz w:val="21"/>
                      <w:szCs w:val="21"/>
                      <w:highlight w:val="none"/>
                      <w:u w:val="none"/>
                    </w:rPr>
                  </w:pPr>
                </w:p>
              </w:tc>
              <w:tc>
                <w:tcPr>
                  <w:tcW w:w="983" w:type="dxa"/>
                  <w:vMerge w:val="continue"/>
                  <w:tcBorders>
                    <w:tl2br w:val="nil"/>
                    <w:tr2bl w:val="nil"/>
                  </w:tcBorders>
                  <w:shd w:val="clear" w:color="auto" w:fill="auto"/>
                  <w:vAlign w:val="center"/>
                </w:tcPr>
                <w:p w14:paraId="696B20DB">
                  <w:pPr>
                    <w:shd w:val="clear"/>
                    <w:jc w:val="center"/>
                    <w:rPr>
                      <w:rFonts w:hint="default" w:ascii="Times New Roman" w:hAnsi="Times New Roman" w:eastAsia="宋体" w:cs="Times New Roman"/>
                      <w:b w:val="0"/>
                      <w:bCs w:val="0"/>
                      <w:i w:val="0"/>
                      <w:iCs w:val="0"/>
                      <w:color w:val="auto"/>
                      <w:sz w:val="21"/>
                      <w:szCs w:val="21"/>
                      <w:highlight w:val="none"/>
                      <w:u w:val="none"/>
                    </w:rPr>
                  </w:pPr>
                </w:p>
              </w:tc>
            </w:tr>
            <w:tr w14:paraId="354CA1E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6" w:hRule="atLeast"/>
                <w:jc w:val="center"/>
              </w:trPr>
              <w:tc>
                <w:tcPr>
                  <w:tcW w:w="998" w:type="dxa"/>
                  <w:tcBorders>
                    <w:tl2br w:val="nil"/>
                    <w:tr2bl w:val="nil"/>
                  </w:tcBorders>
                  <w:shd w:val="clear" w:color="auto" w:fill="auto"/>
                  <w:noWrap/>
                  <w:vAlign w:val="center"/>
                </w:tcPr>
                <w:p w14:paraId="0E190720">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371" w:type="dxa"/>
                  <w:tcBorders>
                    <w:tl2br w:val="nil"/>
                    <w:tr2bl w:val="nil"/>
                  </w:tcBorders>
                  <w:shd w:val="clear" w:color="auto" w:fill="auto"/>
                  <w:noWrap/>
                  <w:vAlign w:val="center"/>
                </w:tcPr>
                <w:p w14:paraId="4DB056B3">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风机</w:t>
                  </w:r>
                </w:p>
              </w:tc>
              <w:tc>
                <w:tcPr>
                  <w:tcW w:w="1770" w:type="dxa"/>
                  <w:tcBorders>
                    <w:tl2br w:val="nil"/>
                    <w:tr2bl w:val="nil"/>
                  </w:tcBorders>
                  <w:shd w:val="clear" w:color="auto" w:fill="auto"/>
                  <w:noWrap/>
                  <w:vAlign w:val="center"/>
                </w:tcPr>
                <w:p w14:paraId="131D7A6B">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w:t>
                  </w:r>
                </w:p>
              </w:tc>
              <w:tc>
                <w:tcPr>
                  <w:tcW w:w="1048" w:type="dxa"/>
                  <w:tcBorders>
                    <w:tl2br w:val="nil"/>
                    <w:tr2bl w:val="nil"/>
                  </w:tcBorders>
                  <w:shd w:val="clear" w:color="auto" w:fill="auto"/>
                  <w:noWrap/>
                  <w:vAlign w:val="center"/>
                </w:tcPr>
                <w:p w14:paraId="4A8F9249">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eastAsia="宋体" w:cs="Times New Roman"/>
                      <w:b w:val="0"/>
                      <w:bCs w:val="0"/>
                      <w:i w:val="0"/>
                      <w:iCs w:val="0"/>
                      <w:color w:val="auto"/>
                      <w:sz w:val="21"/>
                      <w:szCs w:val="21"/>
                      <w:highlight w:val="none"/>
                      <w:u w:val="none"/>
                      <w:lang w:val="en-US" w:eastAsia="zh-CN"/>
                    </w:rPr>
                    <w:t>18</w:t>
                  </w:r>
                </w:p>
              </w:tc>
              <w:tc>
                <w:tcPr>
                  <w:tcW w:w="994" w:type="dxa"/>
                  <w:tcBorders>
                    <w:tl2br w:val="nil"/>
                    <w:tr2bl w:val="nil"/>
                  </w:tcBorders>
                  <w:shd w:val="clear" w:color="auto" w:fill="auto"/>
                  <w:noWrap/>
                  <w:vAlign w:val="center"/>
                </w:tcPr>
                <w:p w14:paraId="6AF5DEE8">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eastAsia="宋体" w:cs="Times New Roman"/>
                      <w:b w:val="0"/>
                      <w:bCs w:val="0"/>
                      <w:i w:val="0"/>
                      <w:iCs w:val="0"/>
                      <w:color w:val="auto"/>
                      <w:sz w:val="21"/>
                      <w:szCs w:val="21"/>
                      <w:highlight w:val="none"/>
                      <w:u w:val="none"/>
                      <w:lang w:val="en-US" w:eastAsia="zh-CN"/>
                    </w:rPr>
                    <w:t>142</w:t>
                  </w:r>
                </w:p>
              </w:tc>
              <w:tc>
                <w:tcPr>
                  <w:tcW w:w="1145" w:type="dxa"/>
                  <w:tcBorders>
                    <w:tl2br w:val="nil"/>
                    <w:tr2bl w:val="nil"/>
                  </w:tcBorders>
                  <w:shd w:val="clear" w:color="auto" w:fill="auto"/>
                  <w:noWrap/>
                  <w:vAlign w:val="center"/>
                </w:tcPr>
                <w:p w14:paraId="6C9F1317">
                  <w:pPr>
                    <w:keepNext w:val="0"/>
                    <w:keepLines w:val="0"/>
                    <w:widowControl/>
                    <w:suppressLineNumbers w:val="0"/>
                    <w:shd w:val="clear"/>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w:t>
                  </w:r>
                </w:p>
              </w:tc>
              <w:tc>
                <w:tcPr>
                  <w:tcW w:w="1675" w:type="dxa"/>
                  <w:tcBorders>
                    <w:tl2br w:val="nil"/>
                    <w:tr2bl w:val="nil"/>
                  </w:tcBorders>
                  <w:shd w:val="clear" w:color="auto" w:fill="auto"/>
                  <w:vAlign w:val="center"/>
                </w:tcPr>
                <w:p w14:paraId="53345BBB">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80</w:t>
                  </w:r>
                </w:p>
              </w:tc>
              <w:tc>
                <w:tcPr>
                  <w:tcW w:w="2884" w:type="dxa"/>
                  <w:tcBorders>
                    <w:tl2br w:val="nil"/>
                    <w:tr2bl w:val="nil"/>
                  </w:tcBorders>
                  <w:shd w:val="clear" w:color="auto" w:fill="auto"/>
                  <w:vAlign w:val="center"/>
                </w:tcPr>
                <w:p w14:paraId="2BE2F47C">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选用低噪声设备、加装隔声罩、减震垫、合理布局等</w:t>
                  </w:r>
                </w:p>
              </w:tc>
              <w:tc>
                <w:tcPr>
                  <w:tcW w:w="983" w:type="dxa"/>
                  <w:tcBorders>
                    <w:tl2br w:val="nil"/>
                    <w:tr2bl w:val="nil"/>
                  </w:tcBorders>
                  <w:shd w:val="clear" w:color="auto" w:fill="auto"/>
                  <w:vAlign w:val="center"/>
                </w:tcPr>
                <w:p w14:paraId="6BCDD2F8">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sz w:val="21"/>
                      <w:szCs w:val="21"/>
                      <w:highlight w:val="none"/>
                      <w:u w:val="none"/>
                      <w:lang w:val="en-US" w:eastAsia="zh-CN"/>
                    </w:rPr>
                    <w:t>昼间</w:t>
                  </w:r>
                </w:p>
              </w:tc>
            </w:tr>
          </w:tbl>
          <w:p w14:paraId="5708020B">
            <w:pPr>
              <w:widowControl/>
              <w:jc w:val="both"/>
              <w:rPr>
                <w:rFonts w:hint="eastAsia"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注：原点坐标为118.748306</w:t>
            </w:r>
            <w:r>
              <w:rPr>
                <w:rFonts w:ascii="Times New Roman" w:hAnsi="Times New Roman" w:eastAsia="宋体" w:cs="Times New Roman"/>
                <w:color w:val="auto"/>
                <w:kern w:val="0"/>
                <w:sz w:val="21"/>
                <w:szCs w:val="24"/>
                <w:highlight w:val="none"/>
                <w:lang w:val="en-US" w:eastAsia="zh-CN" w:bidi="ar-SA"/>
              </w:rPr>
              <w:t>°E</w:t>
            </w:r>
            <w:r>
              <w:rPr>
                <w:rFonts w:hint="eastAsia" w:ascii="Times New Roman" w:hAnsi="Times New Roman" w:eastAsia="宋体" w:cs="Times New Roman"/>
                <w:color w:val="auto"/>
                <w:kern w:val="0"/>
                <w:sz w:val="21"/>
                <w:szCs w:val="24"/>
                <w:highlight w:val="none"/>
                <w:lang w:val="en-US" w:eastAsia="zh-CN" w:bidi="ar-SA"/>
              </w:rPr>
              <w:t>，</w:t>
            </w:r>
            <w:r>
              <w:rPr>
                <w:rFonts w:ascii="Times New Roman" w:hAnsi="Times New Roman" w:eastAsia="宋体" w:cs="Times New Roman"/>
                <w:color w:val="auto"/>
                <w:kern w:val="0"/>
                <w:sz w:val="21"/>
                <w:szCs w:val="24"/>
                <w:highlight w:val="none"/>
                <w:lang w:val="en-US" w:eastAsia="zh-CN" w:bidi="ar-SA"/>
              </w:rPr>
              <w:t>33.</w:t>
            </w:r>
            <w:r>
              <w:rPr>
                <w:rFonts w:hint="eastAsia" w:ascii="Times New Roman" w:hAnsi="Times New Roman" w:eastAsia="宋体" w:cs="Times New Roman"/>
                <w:color w:val="auto"/>
                <w:kern w:val="0"/>
                <w:sz w:val="21"/>
                <w:szCs w:val="24"/>
                <w:highlight w:val="none"/>
                <w:lang w:val="en-US" w:eastAsia="zh-CN" w:bidi="ar-SA"/>
              </w:rPr>
              <w:t>678777</w:t>
            </w:r>
            <w:r>
              <w:rPr>
                <w:rFonts w:ascii="Times New Roman" w:hAnsi="Times New Roman" w:eastAsia="宋体" w:cs="Times New Roman"/>
                <w:color w:val="auto"/>
                <w:kern w:val="0"/>
                <w:sz w:val="21"/>
                <w:szCs w:val="24"/>
                <w:highlight w:val="none"/>
                <w:lang w:val="en-US" w:eastAsia="zh-CN" w:bidi="ar-SA"/>
              </w:rPr>
              <w:t>°N</w:t>
            </w:r>
            <w:r>
              <w:rPr>
                <w:rFonts w:hint="eastAsia" w:ascii="Times New Roman" w:hAnsi="Times New Roman" w:eastAsia="宋体" w:cs="Times New Roman"/>
                <w:color w:val="auto"/>
                <w:kern w:val="0"/>
                <w:sz w:val="21"/>
                <w:szCs w:val="24"/>
                <w:highlight w:val="none"/>
                <w:lang w:val="en-US" w:eastAsia="zh-CN" w:bidi="ar-SA"/>
              </w:rPr>
              <w:t>。</w:t>
            </w:r>
          </w:p>
          <w:p w14:paraId="23A6A771">
            <w:pPr>
              <w:pStyle w:val="10"/>
            </w:pPr>
          </w:p>
        </w:tc>
      </w:tr>
    </w:tbl>
    <w:p w14:paraId="33B8CB1F">
      <w:pPr>
        <w:adjustRightInd w:val="0"/>
        <w:snapToGrid w:val="0"/>
        <w:spacing w:line="360" w:lineRule="auto"/>
        <w:rPr>
          <w:rFonts w:ascii="宋体" w:cs="宋体"/>
          <w:b/>
          <w:color w:val="FF0000"/>
          <w:kern w:val="0"/>
          <w:sz w:val="28"/>
          <w:szCs w:val="28"/>
          <w:highlight w:val="none"/>
        </w:rPr>
        <w:sectPr>
          <w:pgSz w:w="16840" w:h="11907" w:orient="landscape"/>
          <w:pgMar w:top="1531" w:right="1701" w:bottom="1531" w:left="2127" w:header="851" w:footer="850" w:gutter="0"/>
          <w:pgBorders>
            <w:top w:val="none" w:sz="0" w:space="0"/>
            <w:left w:val="none" w:sz="0" w:space="0"/>
            <w:bottom w:val="none" w:sz="0" w:space="0"/>
            <w:right w:val="none" w:sz="0" w:space="0"/>
          </w:pgBorders>
          <w:cols w:space="0" w:num="1"/>
          <w:rtlGutter w:val="0"/>
          <w:docGrid w:linePitch="312" w:charSpace="0"/>
        </w:sectPr>
      </w:pPr>
    </w:p>
    <w:tbl>
      <w:tblPr>
        <w:tblStyle w:val="31"/>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
        <w:gridCol w:w="8454"/>
      </w:tblGrid>
      <w:tr w14:paraId="132F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1" w:hRule="atLeast"/>
          <w:jc w:val="center"/>
        </w:trPr>
        <w:tc>
          <w:tcPr>
            <w:tcW w:w="335" w:type="dxa"/>
            <w:vAlign w:val="center"/>
          </w:tcPr>
          <w:p w14:paraId="409C453E">
            <w:pPr>
              <w:jc w:val="center"/>
              <w:rPr>
                <w:color w:val="FF0000"/>
                <w:szCs w:val="21"/>
                <w:highlight w:val="none"/>
              </w:rPr>
            </w:pPr>
          </w:p>
        </w:tc>
        <w:tc>
          <w:tcPr>
            <w:tcW w:w="8454" w:type="dxa"/>
            <w:vAlign w:val="center"/>
          </w:tcPr>
          <w:p w14:paraId="713E82AB">
            <w:pPr>
              <w:spacing w:line="360" w:lineRule="auto"/>
              <w:ind w:firstLine="422" w:firstLineChars="200"/>
              <w:rPr>
                <w:color w:val="auto"/>
                <w:szCs w:val="21"/>
                <w:highlight w:val="none"/>
              </w:rPr>
            </w:pPr>
            <w:r>
              <w:rPr>
                <w:rFonts w:hint="eastAsia"/>
                <w:b/>
                <w:bCs/>
                <w:color w:val="auto"/>
                <w:szCs w:val="21"/>
                <w:highlight w:val="none"/>
              </w:rPr>
              <w:t>3.2降噪措施</w:t>
            </w:r>
          </w:p>
          <w:p w14:paraId="35D03CA8">
            <w:pPr>
              <w:adjustRightInd w:val="0"/>
              <w:snapToGrid w:val="0"/>
              <w:spacing w:line="360" w:lineRule="auto"/>
              <w:ind w:firstLine="420" w:firstLineChars="200"/>
              <w:rPr>
                <w:color w:val="auto"/>
                <w:szCs w:val="21"/>
                <w:highlight w:val="none"/>
              </w:rPr>
            </w:pPr>
            <w:r>
              <w:rPr>
                <w:color w:val="auto"/>
                <w:szCs w:val="21"/>
                <w:highlight w:val="none"/>
              </w:rPr>
              <w:t>为降低噪声、改善环境质量，建设单位拟采取隔声、减振等防治措施</w:t>
            </w:r>
            <w:r>
              <w:rPr>
                <w:rFonts w:hint="eastAsia"/>
                <w:color w:val="auto"/>
                <w:szCs w:val="21"/>
                <w:highlight w:val="none"/>
              </w:rPr>
              <w:t>，具体如下</w:t>
            </w:r>
            <w:r>
              <w:rPr>
                <w:color w:val="auto"/>
                <w:szCs w:val="21"/>
                <w:highlight w:val="none"/>
              </w:rPr>
              <w:t>：</w:t>
            </w:r>
          </w:p>
          <w:p w14:paraId="5E0566C2">
            <w:pPr>
              <w:numPr>
                <w:ilvl w:val="0"/>
                <w:numId w:val="4"/>
              </w:numPr>
              <w:adjustRightInd w:val="0"/>
              <w:snapToGrid w:val="0"/>
              <w:spacing w:line="360" w:lineRule="auto"/>
              <w:ind w:firstLine="420" w:firstLineChars="200"/>
              <w:rPr>
                <w:color w:val="auto"/>
                <w:szCs w:val="21"/>
                <w:highlight w:val="none"/>
              </w:rPr>
            </w:pPr>
            <w:r>
              <w:rPr>
                <w:color w:val="auto"/>
                <w:szCs w:val="21"/>
                <w:highlight w:val="none"/>
              </w:rPr>
              <w:t>合理设备选型，尽量选用低噪声设备；</w:t>
            </w:r>
          </w:p>
          <w:p w14:paraId="3D3ACD6D">
            <w:pPr>
              <w:numPr>
                <w:ilvl w:val="0"/>
                <w:numId w:val="4"/>
              </w:numPr>
              <w:adjustRightInd w:val="0"/>
              <w:snapToGrid w:val="0"/>
              <w:spacing w:line="360" w:lineRule="auto"/>
              <w:ind w:firstLine="420" w:firstLineChars="200"/>
              <w:rPr>
                <w:color w:val="auto"/>
                <w:szCs w:val="21"/>
                <w:highlight w:val="none"/>
              </w:rPr>
            </w:pPr>
            <w:r>
              <w:rPr>
                <w:color w:val="auto"/>
                <w:szCs w:val="21"/>
                <w:highlight w:val="none"/>
              </w:rPr>
              <w:t>合理规划设备布局，将高噪声设备置于厂房中间；</w:t>
            </w:r>
          </w:p>
          <w:p w14:paraId="70034ED3">
            <w:pPr>
              <w:numPr>
                <w:ilvl w:val="0"/>
                <w:numId w:val="4"/>
              </w:numPr>
              <w:adjustRightInd w:val="0"/>
              <w:snapToGrid w:val="0"/>
              <w:spacing w:line="360" w:lineRule="auto"/>
              <w:ind w:firstLine="420" w:firstLineChars="200"/>
              <w:rPr>
                <w:color w:val="auto"/>
                <w:szCs w:val="21"/>
                <w:highlight w:val="none"/>
              </w:rPr>
            </w:pPr>
            <w:r>
              <w:rPr>
                <w:color w:val="auto"/>
                <w:szCs w:val="21"/>
                <w:highlight w:val="none"/>
              </w:rPr>
              <w:t>项目主要噪声设备采取基础减震，必要时加设隔声屏障；</w:t>
            </w:r>
          </w:p>
          <w:p w14:paraId="5605843E">
            <w:pPr>
              <w:numPr>
                <w:ilvl w:val="0"/>
                <w:numId w:val="4"/>
              </w:numPr>
              <w:adjustRightInd w:val="0"/>
              <w:snapToGrid w:val="0"/>
              <w:spacing w:line="360" w:lineRule="auto"/>
              <w:ind w:firstLine="420" w:firstLineChars="200"/>
              <w:rPr>
                <w:color w:val="auto"/>
                <w:szCs w:val="21"/>
                <w:highlight w:val="none"/>
              </w:rPr>
            </w:pPr>
            <w:r>
              <w:rPr>
                <w:color w:val="auto"/>
                <w:szCs w:val="21"/>
                <w:highlight w:val="none"/>
              </w:rPr>
              <w:t>车间采用实墙隔声、隔震垫；</w:t>
            </w:r>
          </w:p>
          <w:p w14:paraId="2958C5F9">
            <w:pPr>
              <w:numPr>
                <w:ilvl w:val="0"/>
                <w:numId w:val="4"/>
              </w:numPr>
              <w:adjustRightInd w:val="0"/>
              <w:snapToGrid w:val="0"/>
              <w:spacing w:line="360" w:lineRule="auto"/>
              <w:ind w:firstLine="420" w:firstLineChars="200"/>
              <w:rPr>
                <w:color w:val="auto"/>
                <w:szCs w:val="21"/>
                <w:highlight w:val="none"/>
              </w:rPr>
            </w:pPr>
            <w:r>
              <w:rPr>
                <w:color w:val="auto"/>
                <w:szCs w:val="21"/>
                <w:highlight w:val="none"/>
              </w:rPr>
              <w:t>加强管理，设备定时检修，避免因设备不正常运行产生的噪声。</w:t>
            </w:r>
          </w:p>
          <w:p w14:paraId="2C68CF2F">
            <w:pPr>
              <w:spacing w:line="360" w:lineRule="auto"/>
              <w:ind w:firstLine="420" w:firstLineChars="200"/>
              <w:rPr>
                <w:color w:val="auto"/>
                <w:szCs w:val="21"/>
                <w:highlight w:val="none"/>
              </w:rPr>
            </w:pPr>
            <w:r>
              <w:rPr>
                <w:color w:val="auto"/>
                <w:szCs w:val="21"/>
                <w:highlight w:val="none"/>
              </w:rPr>
              <w:t>在运营期内加强管理，对设备定期保养，避免设备故障噪声，加强职工</w:t>
            </w:r>
            <w:r>
              <w:rPr>
                <w:rFonts w:hint="eastAsia"/>
                <w:color w:val="auto"/>
                <w:szCs w:val="21"/>
                <w:highlight w:val="none"/>
              </w:rPr>
              <w:t>教育，</w:t>
            </w:r>
            <w:r>
              <w:rPr>
                <w:color w:val="auto"/>
                <w:szCs w:val="21"/>
                <w:highlight w:val="none"/>
              </w:rPr>
              <w:t>要求职工文明操作。</w:t>
            </w:r>
          </w:p>
          <w:p w14:paraId="14B801BC">
            <w:pPr>
              <w:spacing w:line="360" w:lineRule="auto"/>
              <w:ind w:firstLine="422" w:firstLineChars="200"/>
              <w:rPr>
                <w:color w:val="auto"/>
                <w:szCs w:val="21"/>
                <w:highlight w:val="none"/>
              </w:rPr>
            </w:pPr>
            <w:r>
              <w:rPr>
                <w:rFonts w:hint="eastAsia"/>
                <w:b/>
                <w:bCs/>
                <w:color w:val="auto"/>
                <w:szCs w:val="21"/>
                <w:highlight w:val="none"/>
              </w:rPr>
              <w:t>3.3厂界预测及达标情况分析</w:t>
            </w:r>
          </w:p>
          <w:p w14:paraId="2D89165B">
            <w:pPr>
              <w:numPr>
                <w:ilvl w:val="0"/>
                <w:numId w:val="5"/>
              </w:numPr>
              <w:spacing w:line="360" w:lineRule="auto"/>
              <w:ind w:firstLine="420" w:firstLineChars="200"/>
              <w:rPr>
                <w:color w:val="auto"/>
                <w:szCs w:val="21"/>
                <w:highlight w:val="none"/>
              </w:rPr>
            </w:pPr>
            <w:r>
              <w:rPr>
                <w:color w:val="auto"/>
                <w:szCs w:val="21"/>
                <w:highlight w:val="none"/>
              </w:rPr>
              <w:t>声环境影响预测模式</w:t>
            </w:r>
          </w:p>
          <w:p w14:paraId="1030BEF9">
            <w:pPr>
              <w:widowControl/>
              <w:spacing w:line="360" w:lineRule="auto"/>
              <w:ind w:firstLine="420" w:firstLineChars="200"/>
              <w:jc w:val="left"/>
              <w:rPr>
                <w:color w:val="auto"/>
                <w:szCs w:val="21"/>
                <w:highlight w:val="none"/>
              </w:rPr>
            </w:pPr>
            <w:r>
              <w:rPr>
                <w:rFonts w:hint="eastAsia"/>
                <w:color w:val="auto"/>
                <w:szCs w:val="21"/>
                <w:highlight w:val="none"/>
              </w:rPr>
              <w:t>根据《环境影响评价技术导则 声环境》（HJ2.4-2021）的规定，选取预测模式，应用过程中将根据具体情况作必要简化，计算过程如下：</w:t>
            </w:r>
          </w:p>
          <w:p w14:paraId="0267F5AE">
            <w:pPr>
              <w:numPr>
                <w:ilvl w:val="0"/>
                <w:numId w:val="6"/>
              </w:numPr>
              <w:spacing w:line="360" w:lineRule="auto"/>
              <w:ind w:left="0" w:firstLine="420" w:firstLineChars="200"/>
              <w:rPr>
                <w:color w:val="auto"/>
                <w:szCs w:val="21"/>
                <w:highlight w:val="none"/>
              </w:rPr>
            </w:pPr>
            <w:r>
              <w:rPr>
                <w:rFonts w:hint="eastAsia"/>
                <w:color w:val="auto"/>
                <w:szCs w:val="21"/>
                <w:highlight w:val="none"/>
              </w:rPr>
              <w:t>声环境影响预测模式</w:t>
            </w:r>
          </w:p>
          <w:p w14:paraId="0FDDDB04">
            <w:pPr>
              <w:adjustRightInd w:val="0"/>
              <w:snapToGrid w:val="0"/>
              <w:jc w:val="center"/>
              <w:rPr>
                <w:color w:val="auto"/>
                <w:szCs w:val="21"/>
                <w:highlight w:val="none"/>
              </w:rPr>
            </w:pPr>
            <w:r>
              <w:rPr>
                <w:color w:val="auto"/>
                <w:position w:val="-12"/>
                <w:szCs w:val="21"/>
                <w:highlight w:val="none"/>
              </w:rPr>
              <w:object>
                <v:shape id="_x0000_i1026" o:spt="75" type="#_x0000_t75" style="height:18pt;width:99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14:paraId="0F966E53">
            <w:pPr>
              <w:pStyle w:val="111"/>
              <w:spacing w:before="0" w:after="0" w:line="360" w:lineRule="auto"/>
              <w:jc w:val="center"/>
              <w:rPr>
                <w:color w:val="auto"/>
                <w:highlight w:val="none"/>
              </w:rPr>
            </w:pPr>
            <w:r>
              <w:rPr>
                <w:color w:val="auto"/>
                <w:position w:val="-12"/>
                <w:sz w:val="21"/>
                <w:szCs w:val="21"/>
                <w:highlight w:val="none"/>
              </w:rPr>
              <w:object>
                <v:shape id="_x0000_i1027" o:spt="75" type="#_x0000_t75" style="height:18pt;width:84.7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p>
          <w:p w14:paraId="0BEDDAA8">
            <w:pPr>
              <w:widowControl/>
              <w:spacing w:line="360" w:lineRule="auto"/>
              <w:ind w:firstLine="420" w:firstLineChars="200"/>
              <w:jc w:val="left"/>
              <w:rPr>
                <w:color w:val="auto"/>
                <w:szCs w:val="21"/>
                <w:highlight w:val="none"/>
              </w:rPr>
            </w:pPr>
            <w:r>
              <w:rPr>
                <w:color w:val="auto"/>
                <w:szCs w:val="21"/>
                <w:highlight w:val="none"/>
              </w:rPr>
              <w:t>式中：L</w:t>
            </w:r>
            <w:r>
              <w:rPr>
                <w:rFonts w:hint="eastAsia"/>
                <w:color w:val="auto"/>
                <w:szCs w:val="21"/>
                <w:highlight w:val="none"/>
                <w:vertAlign w:val="subscript"/>
              </w:rPr>
              <w:t>A</w:t>
            </w:r>
            <w:r>
              <w:rPr>
                <w:color w:val="auto"/>
                <w:szCs w:val="21"/>
                <w:highlight w:val="none"/>
              </w:rPr>
              <w:t>（r）——</w:t>
            </w:r>
            <w:r>
              <w:rPr>
                <w:rFonts w:hint="eastAsia"/>
                <w:color w:val="auto"/>
                <w:szCs w:val="21"/>
                <w:highlight w:val="none"/>
              </w:rPr>
              <w:t>距声源r处的A声级，dB(A)；</w:t>
            </w:r>
          </w:p>
          <w:p w14:paraId="23549715">
            <w:pPr>
              <w:widowControl/>
              <w:spacing w:line="360" w:lineRule="auto"/>
              <w:ind w:firstLine="1050" w:firstLineChars="500"/>
              <w:jc w:val="left"/>
              <w:rPr>
                <w:color w:val="auto"/>
                <w:highlight w:val="none"/>
              </w:rPr>
            </w:pPr>
            <w:r>
              <w:rPr>
                <w:color w:val="auto"/>
                <w:szCs w:val="21"/>
                <w:highlight w:val="none"/>
              </w:rPr>
              <w:t>L</w:t>
            </w:r>
            <w:r>
              <w:rPr>
                <w:rFonts w:hint="eastAsia"/>
                <w:color w:val="auto"/>
                <w:szCs w:val="21"/>
                <w:highlight w:val="none"/>
                <w:vertAlign w:val="subscript"/>
              </w:rPr>
              <w:t>A</w:t>
            </w:r>
            <w:r>
              <w:rPr>
                <w:color w:val="auto"/>
                <w:szCs w:val="21"/>
                <w:highlight w:val="none"/>
              </w:rPr>
              <w:t>（r</w:t>
            </w:r>
            <w:r>
              <w:rPr>
                <w:rFonts w:hint="eastAsia"/>
                <w:color w:val="auto"/>
                <w:szCs w:val="21"/>
                <w:highlight w:val="none"/>
                <w:vertAlign w:val="subscript"/>
              </w:rPr>
              <w:t>0</w:t>
            </w:r>
            <w:r>
              <w:rPr>
                <w:color w:val="auto"/>
                <w:szCs w:val="21"/>
                <w:highlight w:val="none"/>
              </w:rPr>
              <w:t>）——</w:t>
            </w:r>
            <w:r>
              <w:rPr>
                <w:rFonts w:hint="eastAsia"/>
                <w:color w:val="auto"/>
                <w:szCs w:val="21"/>
                <w:highlight w:val="none"/>
              </w:rPr>
              <w:t>参考位置r</w:t>
            </w:r>
            <w:r>
              <w:rPr>
                <w:rFonts w:hint="eastAsia"/>
                <w:color w:val="auto"/>
                <w:szCs w:val="21"/>
                <w:highlight w:val="none"/>
                <w:vertAlign w:val="subscript"/>
              </w:rPr>
              <w:t>0</w:t>
            </w:r>
            <w:r>
              <w:rPr>
                <w:rFonts w:hint="eastAsia"/>
                <w:color w:val="auto"/>
                <w:szCs w:val="21"/>
                <w:highlight w:val="none"/>
              </w:rPr>
              <w:t>处的A声级</w:t>
            </w:r>
            <w:r>
              <w:rPr>
                <w:color w:val="auto"/>
                <w:szCs w:val="21"/>
                <w:highlight w:val="none"/>
              </w:rPr>
              <w:t>，dB；</w:t>
            </w:r>
          </w:p>
          <w:p w14:paraId="63ECCE70">
            <w:pPr>
              <w:widowControl/>
              <w:spacing w:line="360" w:lineRule="auto"/>
              <w:ind w:firstLine="1050" w:firstLineChars="500"/>
              <w:jc w:val="left"/>
              <w:rPr>
                <w:color w:val="auto"/>
                <w:highlight w:val="none"/>
              </w:rPr>
            </w:pPr>
            <w:r>
              <w:rPr>
                <w:color w:val="auto"/>
                <w:szCs w:val="21"/>
                <w:highlight w:val="none"/>
              </w:rPr>
              <w:t>A</w:t>
            </w:r>
            <w:r>
              <w:rPr>
                <w:color w:val="auto"/>
                <w:szCs w:val="21"/>
                <w:highlight w:val="none"/>
                <w:vertAlign w:val="subscript"/>
              </w:rPr>
              <w:t>div</w:t>
            </w:r>
            <w:r>
              <w:rPr>
                <w:color w:val="auto"/>
                <w:szCs w:val="21"/>
                <w:highlight w:val="none"/>
              </w:rPr>
              <w:t>——几何发散引起的衰减，dB；</w:t>
            </w:r>
          </w:p>
          <w:p w14:paraId="12D929DF">
            <w:pPr>
              <w:widowControl/>
              <w:spacing w:line="360" w:lineRule="auto"/>
              <w:ind w:firstLine="1050" w:firstLineChars="500"/>
              <w:jc w:val="left"/>
              <w:rPr>
                <w:color w:val="auto"/>
                <w:szCs w:val="21"/>
                <w:highlight w:val="none"/>
              </w:rPr>
            </w:pPr>
            <w:r>
              <w:rPr>
                <w:rFonts w:hint="eastAsia"/>
                <w:color w:val="auto"/>
                <w:szCs w:val="21"/>
                <w:highlight w:val="none"/>
              </w:rPr>
              <w:t>r</w:t>
            </w:r>
            <w:r>
              <w:rPr>
                <w:color w:val="auto"/>
                <w:szCs w:val="21"/>
                <w:highlight w:val="none"/>
              </w:rPr>
              <w:t>——</w:t>
            </w:r>
            <w:r>
              <w:rPr>
                <w:rFonts w:hint="eastAsia"/>
                <w:color w:val="auto"/>
                <w:szCs w:val="21"/>
                <w:highlight w:val="none"/>
              </w:rPr>
              <w:t>预测点距声源的距离</w:t>
            </w:r>
            <w:r>
              <w:rPr>
                <w:color w:val="auto"/>
                <w:szCs w:val="21"/>
                <w:highlight w:val="none"/>
              </w:rPr>
              <w:t>；</w:t>
            </w:r>
          </w:p>
          <w:p w14:paraId="6DAD1D43">
            <w:pPr>
              <w:widowControl/>
              <w:spacing w:line="360" w:lineRule="auto"/>
              <w:ind w:firstLine="1050" w:firstLineChars="500"/>
              <w:jc w:val="left"/>
              <w:rPr>
                <w:color w:val="auto"/>
                <w:szCs w:val="21"/>
                <w:highlight w:val="none"/>
              </w:rPr>
            </w:pPr>
            <w:r>
              <w:rPr>
                <w:rFonts w:hint="eastAsia"/>
                <w:color w:val="auto"/>
                <w:szCs w:val="21"/>
                <w:highlight w:val="none"/>
              </w:rPr>
              <w:t>r</w:t>
            </w:r>
            <w:r>
              <w:rPr>
                <w:rFonts w:hint="eastAsia"/>
                <w:color w:val="auto"/>
                <w:szCs w:val="21"/>
                <w:highlight w:val="none"/>
                <w:vertAlign w:val="subscript"/>
              </w:rPr>
              <w:t>0</w:t>
            </w:r>
            <w:r>
              <w:rPr>
                <w:color w:val="auto"/>
                <w:szCs w:val="21"/>
                <w:highlight w:val="none"/>
              </w:rPr>
              <w:t>——</w:t>
            </w:r>
            <w:r>
              <w:rPr>
                <w:rFonts w:hint="eastAsia"/>
                <w:color w:val="auto"/>
                <w:szCs w:val="21"/>
                <w:highlight w:val="none"/>
              </w:rPr>
              <w:t>参考位置距声源的距离。</w:t>
            </w:r>
          </w:p>
          <w:p w14:paraId="17B1D275">
            <w:pPr>
              <w:numPr>
                <w:ilvl w:val="0"/>
                <w:numId w:val="6"/>
              </w:numPr>
              <w:spacing w:line="360" w:lineRule="auto"/>
              <w:ind w:left="0" w:firstLine="420" w:firstLineChars="200"/>
              <w:rPr>
                <w:color w:val="auto"/>
                <w:szCs w:val="21"/>
                <w:highlight w:val="none"/>
              </w:rPr>
            </w:pPr>
            <w:r>
              <w:rPr>
                <w:rFonts w:hint="eastAsia"/>
                <w:color w:val="auto"/>
                <w:szCs w:val="21"/>
                <w:highlight w:val="none"/>
              </w:rPr>
              <w:t>声源在预测点产生的等效声级贡献值(Leqg)计算公式：</w:t>
            </w:r>
          </w:p>
          <w:p w14:paraId="0FA3D9B6">
            <w:pPr>
              <w:widowControl/>
              <w:spacing w:line="360" w:lineRule="auto"/>
              <w:ind w:firstLine="420" w:firstLineChars="200"/>
              <w:jc w:val="left"/>
              <w:rPr>
                <w:color w:val="auto"/>
                <w:szCs w:val="21"/>
                <w:highlight w:val="none"/>
              </w:rPr>
            </w:pPr>
            <w:r>
              <w:rPr>
                <w:rFonts w:hint="eastAsia"/>
                <w:color w:val="auto"/>
                <w:szCs w:val="21"/>
                <w:highlight w:val="none"/>
              </w:rPr>
              <w:t>第i个室外声源在预测点产生的A声级为L</w:t>
            </w:r>
            <w:r>
              <w:rPr>
                <w:rFonts w:hint="eastAsia"/>
                <w:color w:val="auto"/>
                <w:szCs w:val="21"/>
                <w:highlight w:val="none"/>
                <w:vertAlign w:val="subscript"/>
              </w:rPr>
              <w:t>Ai</w:t>
            </w:r>
            <w:r>
              <w:rPr>
                <w:rFonts w:hint="eastAsia"/>
                <w:color w:val="auto"/>
                <w:szCs w:val="21"/>
                <w:highlight w:val="none"/>
              </w:rPr>
              <w:t>，在T时间内该声源工作时间为ti；第j个等效室外声源在预测点产生的A声级为L</w:t>
            </w:r>
            <w:r>
              <w:rPr>
                <w:rFonts w:hint="eastAsia"/>
                <w:color w:val="auto"/>
                <w:szCs w:val="21"/>
                <w:highlight w:val="none"/>
                <w:vertAlign w:val="subscript"/>
              </w:rPr>
              <w:t>Aj</w:t>
            </w:r>
            <w:r>
              <w:rPr>
                <w:rFonts w:hint="eastAsia"/>
                <w:color w:val="auto"/>
                <w:szCs w:val="21"/>
                <w:highlight w:val="none"/>
              </w:rPr>
              <w:t>，在T时间内该声源工作时间为t</w:t>
            </w:r>
            <w:r>
              <w:rPr>
                <w:rFonts w:hint="eastAsia"/>
                <w:color w:val="auto"/>
                <w:szCs w:val="21"/>
                <w:highlight w:val="none"/>
                <w:vertAlign w:val="subscript"/>
              </w:rPr>
              <w:t>j</w:t>
            </w:r>
            <w:r>
              <w:rPr>
                <w:rFonts w:hint="eastAsia"/>
                <w:color w:val="auto"/>
                <w:szCs w:val="21"/>
                <w:highlight w:val="none"/>
              </w:rPr>
              <w:t>，则拟建工程声源对预测点产生的贡献值（L</w:t>
            </w:r>
            <w:r>
              <w:rPr>
                <w:rFonts w:hint="eastAsia"/>
                <w:color w:val="auto"/>
                <w:szCs w:val="21"/>
                <w:highlight w:val="none"/>
                <w:vertAlign w:val="subscript"/>
              </w:rPr>
              <w:t>eqg</w:t>
            </w:r>
            <w:r>
              <w:rPr>
                <w:rFonts w:hint="eastAsia"/>
                <w:color w:val="auto"/>
                <w:szCs w:val="21"/>
                <w:highlight w:val="none"/>
              </w:rPr>
              <w:t>）为</w:t>
            </w:r>
            <w:r>
              <w:rPr>
                <w:color w:val="auto"/>
                <w:szCs w:val="21"/>
                <w:highlight w:val="none"/>
              </w:rPr>
              <w:t>：</w:t>
            </w:r>
          </w:p>
          <w:p w14:paraId="06B2B60E">
            <w:pPr>
              <w:widowControl/>
              <w:spacing w:line="360" w:lineRule="auto"/>
              <w:jc w:val="center"/>
              <w:rPr>
                <w:color w:val="auto"/>
                <w:szCs w:val="21"/>
                <w:highlight w:val="none"/>
              </w:rPr>
            </w:pPr>
            <w:r>
              <w:rPr>
                <w:color w:val="auto"/>
                <w:szCs w:val="21"/>
                <w:highlight w:val="none"/>
              </w:rPr>
              <w:object>
                <v:shape id="_x0000_i1028" o:spt="75" type="#_x0000_t75" style="height:31.5pt;width:162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p>
          <w:p w14:paraId="64C85936">
            <w:pPr>
              <w:widowControl/>
              <w:spacing w:line="360" w:lineRule="auto"/>
              <w:ind w:firstLine="420" w:firstLineChars="200"/>
              <w:jc w:val="left"/>
              <w:rPr>
                <w:color w:val="auto"/>
                <w:szCs w:val="21"/>
                <w:highlight w:val="none"/>
              </w:rPr>
            </w:pPr>
            <w:r>
              <w:rPr>
                <w:color w:val="auto"/>
                <w:szCs w:val="21"/>
                <w:highlight w:val="none"/>
              </w:rPr>
              <w:t>式中：</w:t>
            </w:r>
            <w:r>
              <w:rPr>
                <w:rFonts w:hint="eastAsia"/>
                <w:color w:val="auto"/>
                <w:szCs w:val="21"/>
                <w:highlight w:val="none"/>
              </w:rPr>
              <w:t>L</w:t>
            </w:r>
            <w:r>
              <w:rPr>
                <w:rFonts w:hint="eastAsia"/>
                <w:color w:val="auto"/>
                <w:szCs w:val="21"/>
                <w:highlight w:val="none"/>
                <w:vertAlign w:val="subscript"/>
              </w:rPr>
              <w:t>eqg</w:t>
            </w:r>
            <w:r>
              <w:rPr>
                <w:color w:val="auto"/>
                <w:szCs w:val="21"/>
                <w:highlight w:val="none"/>
              </w:rPr>
              <w:t>——</w:t>
            </w:r>
            <w:r>
              <w:rPr>
                <w:rFonts w:hint="eastAsia"/>
                <w:color w:val="auto"/>
                <w:szCs w:val="21"/>
                <w:highlight w:val="none"/>
              </w:rPr>
              <w:t>建设项目声源在预测点产生的噪声贡献值，dB；</w:t>
            </w:r>
          </w:p>
          <w:p w14:paraId="00D17C90">
            <w:pPr>
              <w:widowControl/>
              <w:spacing w:line="360" w:lineRule="auto"/>
              <w:ind w:firstLine="1050" w:firstLineChars="500"/>
              <w:jc w:val="left"/>
              <w:rPr>
                <w:color w:val="auto"/>
                <w:highlight w:val="none"/>
              </w:rPr>
            </w:pPr>
            <w:r>
              <w:rPr>
                <w:color w:val="auto"/>
                <w:szCs w:val="21"/>
                <w:highlight w:val="none"/>
              </w:rPr>
              <w:t>T——用于计算等效声级的时间，s；</w:t>
            </w:r>
          </w:p>
          <w:p w14:paraId="6320C272">
            <w:pPr>
              <w:widowControl/>
              <w:spacing w:line="360" w:lineRule="auto"/>
              <w:ind w:firstLine="1050" w:firstLineChars="500"/>
              <w:jc w:val="left"/>
              <w:rPr>
                <w:color w:val="auto"/>
                <w:szCs w:val="21"/>
                <w:highlight w:val="none"/>
              </w:rPr>
            </w:pPr>
            <w:r>
              <w:rPr>
                <w:color w:val="auto"/>
                <w:szCs w:val="21"/>
                <w:highlight w:val="none"/>
              </w:rPr>
              <w:t>N——室外声源个数；</w:t>
            </w:r>
          </w:p>
          <w:p w14:paraId="0C129C16">
            <w:pPr>
              <w:widowControl/>
              <w:spacing w:line="360" w:lineRule="auto"/>
              <w:ind w:firstLine="1050" w:firstLineChars="500"/>
              <w:jc w:val="left"/>
              <w:rPr>
                <w:color w:val="auto"/>
                <w:szCs w:val="21"/>
                <w:highlight w:val="none"/>
              </w:rPr>
            </w:pPr>
            <w:r>
              <w:rPr>
                <w:color w:val="auto"/>
                <w:szCs w:val="21"/>
                <w:highlight w:val="none"/>
              </w:rPr>
              <w:t>t</w:t>
            </w:r>
            <w:r>
              <w:rPr>
                <w:color w:val="auto"/>
                <w:szCs w:val="21"/>
                <w:highlight w:val="none"/>
                <w:vertAlign w:val="subscript"/>
              </w:rPr>
              <w:t>i</w:t>
            </w:r>
            <w:r>
              <w:rPr>
                <w:color w:val="auto"/>
                <w:szCs w:val="21"/>
                <w:highlight w:val="none"/>
              </w:rPr>
              <w:t>——在T时间内i声源工作时间，s；</w:t>
            </w:r>
          </w:p>
          <w:p w14:paraId="6631DA87">
            <w:pPr>
              <w:widowControl/>
              <w:spacing w:line="360" w:lineRule="auto"/>
              <w:ind w:firstLine="1050" w:firstLineChars="500"/>
              <w:jc w:val="left"/>
              <w:rPr>
                <w:color w:val="auto"/>
                <w:szCs w:val="21"/>
                <w:highlight w:val="none"/>
              </w:rPr>
            </w:pPr>
            <w:r>
              <w:rPr>
                <w:color w:val="auto"/>
                <w:szCs w:val="21"/>
                <w:highlight w:val="none"/>
              </w:rPr>
              <w:t>M——等效室外声源个数</w:t>
            </w:r>
            <w:r>
              <w:rPr>
                <w:rFonts w:hint="eastAsia"/>
                <w:color w:val="auto"/>
                <w:szCs w:val="21"/>
                <w:highlight w:val="none"/>
              </w:rPr>
              <w:t>；</w:t>
            </w:r>
          </w:p>
          <w:p w14:paraId="2A7E33E2">
            <w:pPr>
              <w:widowControl/>
              <w:spacing w:line="360" w:lineRule="auto"/>
              <w:ind w:firstLine="1050" w:firstLineChars="500"/>
              <w:jc w:val="left"/>
              <w:rPr>
                <w:color w:val="auto"/>
                <w:szCs w:val="21"/>
                <w:highlight w:val="none"/>
              </w:rPr>
            </w:pPr>
            <w:r>
              <w:rPr>
                <w:color w:val="auto"/>
                <w:szCs w:val="21"/>
                <w:highlight w:val="none"/>
              </w:rPr>
              <w:t>t</w:t>
            </w:r>
            <w:r>
              <w:rPr>
                <w:color w:val="auto"/>
                <w:szCs w:val="21"/>
                <w:highlight w:val="none"/>
                <w:vertAlign w:val="subscript"/>
              </w:rPr>
              <w:t>j</w:t>
            </w:r>
            <w:r>
              <w:rPr>
                <w:color w:val="auto"/>
                <w:szCs w:val="21"/>
                <w:highlight w:val="none"/>
              </w:rPr>
              <w:t>——在T时间内j声源工作时间，s</w:t>
            </w:r>
            <w:r>
              <w:rPr>
                <w:rFonts w:hint="eastAsia"/>
                <w:color w:val="auto"/>
                <w:szCs w:val="21"/>
                <w:highlight w:val="none"/>
              </w:rPr>
              <w:t>。</w:t>
            </w:r>
          </w:p>
          <w:p w14:paraId="53640293">
            <w:pPr>
              <w:numPr>
                <w:ilvl w:val="0"/>
                <w:numId w:val="6"/>
              </w:numPr>
              <w:spacing w:line="360" w:lineRule="auto"/>
              <w:ind w:left="0" w:firstLine="420" w:firstLineChars="200"/>
              <w:rPr>
                <w:color w:val="auto"/>
                <w:szCs w:val="21"/>
                <w:highlight w:val="none"/>
              </w:rPr>
            </w:pPr>
            <w:r>
              <w:rPr>
                <w:rFonts w:hint="eastAsia"/>
                <w:color w:val="auto"/>
                <w:szCs w:val="21"/>
                <w:highlight w:val="none"/>
              </w:rPr>
              <w:t>预测点的预测等效声级(L</w:t>
            </w:r>
            <w:r>
              <w:rPr>
                <w:rFonts w:hint="eastAsia"/>
                <w:color w:val="auto"/>
                <w:szCs w:val="21"/>
                <w:highlight w:val="none"/>
                <w:vertAlign w:val="subscript"/>
              </w:rPr>
              <w:t>eq</w:t>
            </w:r>
            <w:r>
              <w:rPr>
                <w:rFonts w:hint="eastAsia"/>
                <w:color w:val="auto"/>
                <w:szCs w:val="21"/>
                <w:highlight w:val="none"/>
              </w:rPr>
              <w:t>)计算公式：</w:t>
            </w:r>
          </w:p>
          <w:p w14:paraId="329E8811">
            <w:pPr>
              <w:widowControl/>
              <w:spacing w:line="360" w:lineRule="auto"/>
              <w:jc w:val="center"/>
              <w:rPr>
                <w:color w:val="auto"/>
                <w:szCs w:val="21"/>
                <w:highlight w:val="none"/>
              </w:rPr>
            </w:pPr>
            <w:r>
              <w:rPr>
                <w:rFonts w:hint="eastAsia"/>
                <w:color w:val="auto"/>
                <w:position w:val="-14"/>
                <w:szCs w:val="21"/>
                <w:highlight w:val="none"/>
              </w:rPr>
              <w:object>
                <v:shape id="_x0000_i1029" o:spt="75" type="#_x0000_t75" style="height:21pt;width:13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p>
          <w:p w14:paraId="76D3D899">
            <w:pPr>
              <w:widowControl/>
              <w:spacing w:line="360" w:lineRule="auto"/>
              <w:ind w:firstLine="420" w:firstLineChars="200"/>
              <w:jc w:val="left"/>
              <w:rPr>
                <w:color w:val="auto"/>
                <w:szCs w:val="21"/>
                <w:highlight w:val="none"/>
              </w:rPr>
            </w:pPr>
            <w:r>
              <w:rPr>
                <w:color w:val="auto"/>
                <w:szCs w:val="21"/>
                <w:highlight w:val="none"/>
              </w:rPr>
              <w:t>式中：</w:t>
            </w:r>
            <w:r>
              <w:rPr>
                <w:rFonts w:hint="eastAsia"/>
                <w:color w:val="auto"/>
                <w:szCs w:val="21"/>
                <w:highlight w:val="none"/>
              </w:rPr>
              <w:t>L</w:t>
            </w:r>
            <w:r>
              <w:rPr>
                <w:rFonts w:hint="eastAsia"/>
                <w:color w:val="auto"/>
                <w:szCs w:val="21"/>
                <w:highlight w:val="none"/>
                <w:vertAlign w:val="subscript"/>
              </w:rPr>
              <w:t>eq</w:t>
            </w:r>
            <w:r>
              <w:rPr>
                <w:color w:val="auto"/>
                <w:szCs w:val="21"/>
                <w:highlight w:val="none"/>
              </w:rPr>
              <w:t>——</w:t>
            </w:r>
            <w:r>
              <w:rPr>
                <w:rFonts w:hint="eastAsia"/>
                <w:color w:val="auto"/>
                <w:szCs w:val="21"/>
                <w:highlight w:val="none"/>
              </w:rPr>
              <w:t>预测点的噪声预测值，dB</w:t>
            </w:r>
            <w:r>
              <w:rPr>
                <w:color w:val="auto"/>
                <w:szCs w:val="21"/>
                <w:highlight w:val="none"/>
              </w:rPr>
              <w:t>；</w:t>
            </w:r>
          </w:p>
          <w:p w14:paraId="11CFA9A2">
            <w:pPr>
              <w:widowControl/>
              <w:spacing w:line="360" w:lineRule="auto"/>
              <w:ind w:firstLine="1050" w:firstLineChars="500"/>
              <w:jc w:val="left"/>
              <w:rPr>
                <w:color w:val="auto"/>
                <w:szCs w:val="21"/>
                <w:highlight w:val="none"/>
              </w:rPr>
            </w:pPr>
            <w:r>
              <w:rPr>
                <w:rFonts w:hint="eastAsia"/>
                <w:color w:val="auto"/>
                <w:szCs w:val="21"/>
                <w:highlight w:val="none"/>
              </w:rPr>
              <w:t>L</w:t>
            </w:r>
            <w:r>
              <w:rPr>
                <w:rFonts w:hint="eastAsia"/>
                <w:color w:val="auto"/>
                <w:szCs w:val="21"/>
                <w:highlight w:val="none"/>
                <w:vertAlign w:val="subscript"/>
              </w:rPr>
              <w:t>eqg</w:t>
            </w:r>
            <w:r>
              <w:rPr>
                <w:color w:val="auto"/>
                <w:szCs w:val="21"/>
                <w:highlight w:val="none"/>
              </w:rPr>
              <w:t>——</w:t>
            </w:r>
            <w:r>
              <w:rPr>
                <w:rFonts w:hint="eastAsia"/>
                <w:color w:val="auto"/>
                <w:szCs w:val="21"/>
                <w:highlight w:val="none"/>
              </w:rPr>
              <w:t>建设项目声源在预测点产生的噪声贡献值，dB</w:t>
            </w:r>
            <w:r>
              <w:rPr>
                <w:color w:val="auto"/>
                <w:szCs w:val="21"/>
                <w:highlight w:val="none"/>
              </w:rPr>
              <w:t>；</w:t>
            </w:r>
          </w:p>
          <w:p w14:paraId="06FCE113">
            <w:pPr>
              <w:widowControl/>
              <w:spacing w:line="360" w:lineRule="auto"/>
              <w:ind w:firstLine="1050" w:firstLineChars="500"/>
              <w:jc w:val="left"/>
              <w:rPr>
                <w:color w:val="auto"/>
                <w:highlight w:val="none"/>
              </w:rPr>
            </w:pPr>
            <w:r>
              <w:rPr>
                <w:rFonts w:hint="eastAsia"/>
                <w:color w:val="auto"/>
                <w:szCs w:val="21"/>
                <w:highlight w:val="none"/>
              </w:rPr>
              <w:t>L</w:t>
            </w:r>
            <w:r>
              <w:rPr>
                <w:rFonts w:hint="eastAsia"/>
                <w:color w:val="auto"/>
                <w:szCs w:val="21"/>
                <w:highlight w:val="none"/>
                <w:vertAlign w:val="subscript"/>
              </w:rPr>
              <w:t>eqb</w:t>
            </w:r>
            <w:r>
              <w:rPr>
                <w:color w:val="auto"/>
                <w:szCs w:val="21"/>
                <w:highlight w:val="none"/>
              </w:rPr>
              <w:t>——</w:t>
            </w:r>
            <w:r>
              <w:rPr>
                <w:rFonts w:hint="eastAsia"/>
                <w:color w:val="auto"/>
                <w:szCs w:val="21"/>
                <w:highlight w:val="none"/>
              </w:rPr>
              <w:t>预测点的背景噪声值，dB</w:t>
            </w:r>
            <w:r>
              <w:rPr>
                <w:color w:val="auto"/>
                <w:szCs w:val="21"/>
                <w:highlight w:val="none"/>
              </w:rPr>
              <w:t>。</w:t>
            </w:r>
          </w:p>
          <w:p w14:paraId="0FF6E03B">
            <w:pPr>
              <w:numPr>
                <w:ilvl w:val="0"/>
                <w:numId w:val="5"/>
              </w:numPr>
              <w:spacing w:line="360" w:lineRule="auto"/>
              <w:ind w:firstLine="420" w:firstLineChars="200"/>
              <w:rPr>
                <w:color w:val="auto"/>
                <w:szCs w:val="21"/>
                <w:highlight w:val="none"/>
              </w:rPr>
            </w:pPr>
            <w:r>
              <w:rPr>
                <w:rFonts w:hint="eastAsia"/>
                <w:color w:val="auto"/>
                <w:szCs w:val="21"/>
                <w:highlight w:val="none"/>
              </w:rPr>
              <w:t>评价标准</w:t>
            </w:r>
          </w:p>
          <w:p w14:paraId="22F0E0E7">
            <w:pPr>
              <w:adjustRightInd w:val="0"/>
              <w:snapToGrid w:val="0"/>
              <w:spacing w:line="360" w:lineRule="auto"/>
              <w:ind w:firstLine="420" w:firstLineChars="200"/>
              <w:rPr>
                <w:color w:val="auto"/>
                <w:szCs w:val="21"/>
                <w:highlight w:val="none"/>
              </w:rPr>
            </w:pPr>
            <w:r>
              <w:rPr>
                <w:color w:val="auto"/>
                <w:szCs w:val="21"/>
                <w:highlight w:val="none"/>
              </w:rPr>
              <w:t>厂界噪声执行《工业企业厂界环境噪声排放标准》（GB</w:t>
            </w:r>
            <w:r>
              <w:rPr>
                <w:rFonts w:hint="eastAsia"/>
                <w:color w:val="auto"/>
                <w:szCs w:val="21"/>
                <w:highlight w:val="none"/>
              </w:rPr>
              <w:t>12348</w:t>
            </w:r>
            <w:r>
              <w:rPr>
                <w:color w:val="auto"/>
                <w:szCs w:val="21"/>
                <w:highlight w:val="none"/>
              </w:rPr>
              <w:t>-2008）中3类标准。</w:t>
            </w:r>
          </w:p>
          <w:p w14:paraId="6B03F2F3">
            <w:pPr>
              <w:numPr>
                <w:ilvl w:val="0"/>
                <w:numId w:val="5"/>
              </w:numPr>
              <w:spacing w:line="360" w:lineRule="auto"/>
              <w:ind w:firstLine="420" w:firstLineChars="200"/>
              <w:rPr>
                <w:color w:val="auto"/>
                <w:szCs w:val="21"/>
                <w:highlight w:val="none"/>
              </w:rPr>
            </w:pPr>
            <w:r>
              <w:rPr>
                <w:rFonts w:hint="eastAsia"/>
                <w:color w:val="auto"/>
                <w:szCs w:val="21"/>
                <w:highlight w:val="none"/>
              </w:rPr>
              <w:t>预测结果及评价</w:t>
            </w:r>
          </w:p>
          <w:p w14:paraId="027966AB">
            <w:pPr>
              <w:spacing w:line="360" w:lineRule="auto"/>
              <w:ind w:firstLine="420" w:firstLineChars="200"/>
              <w:rPr>
                <w:b/>
                <w:bCs/>
                <w:color w:val="auto"/>
                <w:szCs w:val="21"/>
                <w:highlight w:val="none"/>
              </w:rPr>
            </w:pPr>
            <w:r>
              <w:rPr>
                <w:color w:val="auto"/>
                <w:szCs w:val="21"/>
                <w:highlight w:val="none"/>
              </w:rPr>
              <w:t>通过对各产噪单元或设备加装隔声罩、减震垫等降噪措施，并考虑房屋隔声条件下，各噪声单元产生的噪声在传播途径上即产生衰减，衰减量按</w:t>
            </w:r>
            <w:r>
              <w:rPr>
                <w:rFonts w:hint="eastAsia"/>
                <w:color w:val="auto"/>
                <w:szCs w:val="21"/>
                <w:highlight w:val="none"/>
              </w:rPr>
              <w:t>2</w:t>
            </w:r>
            <w:r>
              <w:rPr>
                <w:rFonts w:hint="eastAsia"/>
                <w:color w:val="auto"/>
                <w:szCs w:val="21"/>
                <w:highlight w:val="none"/>
                <w:lang w:val="en-US" w:eastAsia="zh-CN"/>
              </w:rPr>
              <w:t>5</w:t>
            </w:r>
            <w:r>
              <w:rPr>
                <w:color w:val="auto"/>
                <w:szCs w:val="21"/>
                <w:highlight w:val="none"/>
              </w:rPr>
              <w:t>dB（A）计。为充分估算声源对周围环境的影响，对不满足计算条件的小额正衰减予以忽略，在此基础上进一步计算各预测点的声级。厂界各预测点的噪声预测结果</w:t>
            </w:r>
            <w:r>
              <w:rPr>
                <w:rFonts w:hint="eastAsia"/>
                <w:color w:val="auto"/>
                <w:szCs w:val="21"/>
                <w:highlight w:val="none"/>
              </w:rPr>
              <w:t>见</w:t>
            </w:r>
            <w:r>
              <w:rPr>
                <w:rFonts w:hint="eastAsia"/>
                <w:color w:val="auto"/>
                <w:szCs w:val="21"/>
                <w:highlight w:val="none"/>
                <w:lang w:val="en-US" w:eastAsia="zh-CN"/>
              </w:rPr>
              <w:t>下表</w:t>
            </w:r>
            <w:r>
              <w:rPr>
                <w:color w:val="auto"/>
                <w:szCs w:val="21"/>
                <w:highlight w:val="none"/>
              </w:rPr>
              <w:t>。</w:t>
            </w:r>
          </w:p>
          <w:p w14:paraId="2A37AA5E">
            <w:pPr>
              <w:shd w:val="clear"/>
              <w:spacing w:line="360" w:lineRule="auto"/>
              <w:jc w:val="center"/>
              <w:rPr>
                <w:color w:val="auto"/>
                <w:sz w:val="21"/>
                <w:szCs w:val="21"/>
                <w:highlight w:val="none"/>
                <w:vertAlign w:val="baseline"/>
              </w:rPr>
            </w:pPr>
            <w:r>
              <w:rPr>
                <w:b/>
                <w:bCs/>
                <w:color w:val="auto"/>
                <w:sz w:val="21"/>
                <w:szCs w:val="21"/>
                <w:highlight w:val="none"/>
              </w:rPr>
              <w:t>表</w:t>
            </w:r>
            <w:r>
              <w:rPr>
                <w:rFonts w:hint="eastAsia"/>
                <w:b/>
                <w:bCs/>
                <w:color w:val="auto"/>
                <w:sz w:val="21"/>
                <w:szCs w:val="21"/>
                <w:highlight w:val="none"/>
                <w:lang w:val="en-US" w:eastAsia="zh-CN"/>
              </w:rPr>
              <w:t>4-28</w:t>
            </w:r>
            <w:r>
              <w:rPr>
                <w:b/>
                <w:bCs/>
                <w:color w:val="auto"/>
                <w:sz w:val="21"/>
                <w:szCs w:val="21"/>
                <w:highlight w:val="none"/>
              </w:rPr>
              <w:t xml:space="preserve"> 噪声影响预测结果  单位：dB(A)</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705"/>
              <w:gridCol w:w="1530"/>
              <w:gridCol w:w="1530"/>
              <w:gridCol w:w="1530"/>
              <w:gridCol w:w="1943"/>
            </w:tblGrid>
            <w:tr w14:paraId="2C842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dxa"/>
                  <w:vMerge w:val="restart"/>
                  <w:tcBorders>
                    <w:tl2br w:val="nil"/>
                    <w:tr2bl w:val="nil"/>
                  </w:tcBorders>
                  <w:vAlign w:val="center"/>
                </w:tcPr>
                <w:p w14:paraId="5D5612E8">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olor w:val="auto"/>
                      <w:sz w:val="21"/>
                      <w:szCs w:val="21"/>
                      <w:highlight w:val="none"/>
                      <w:lang w:val="en-US" w:eastAsia="zh-CN"/>
                    </w:rPr>
                    <w:t>点位</w:t>
                  </w:r>
                </w:p>
              </w:tc>
              <w:tc>
                <w:tcPr>
                  <w:tcW w:w="3701" w:type="dxa"/>
                  <w:gridSpan w:val="4"/>
                  <w:tcBorders>
                    <w:tl2br w:val="nil"/>
                    <w:tr2bl w:val="nil"/>
                  </w:tcBorders>
                  <w:vAlign w:val="center"/>
                </w:tcPr>
                <w:p w14:paraId="0C8E933D">
                  <w:pPr>
                    <w:keepNext w:val="0"/>
                    <w:keepLines w:val="0"/>
                    <w:pageBreakBefore w:val="0"/>
                    <w:shd w:val="clear"/>
                    <w:kinsoku/>
                    <w:wordWrap/>
                    <w:overflowPunct/>
                    <w:topLinePunct w:val="0"/>
                    <w:autoSpaceDE/>
                    <w:autoSpaceDN/>
                    <w:bidi w:val="0"/>
                    <w:snapToGrid/>
                    <w:spacing w:line="240"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预测结果</w:t>
                  </w:r>
                </w:p>
              </w:tc>
            </w:tr>
            <w:tr w14:paraId="622B9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dxa"/>
                  <w:vMerge w:val="continue"/>
                  <w:tcBorders>
                    <w:tl2br w:val="nil"/>
                    <w:tr2bl w:val="nil"/>
                  </w:tcBorders>
                  <w:vAlign w:val="center"/>
                </w:tcPr>
                <w:p w14:paraId="76B86EBC">
                  <w:pPr>
                    <w:keepNext w:val="0"/>
                    <w:keepLines w:val="0"/>
                    <w:pageBreakBefore w:val="0"/>
                    <w:shd w:val="clear"/>
                    <w:kinsoku/>
                    <w:wordWrap/>
                    <w:overflowPunct/>
                    <w:topLinePunct w:val="0"/>
                    <w:autoSpaceDE/>
                    <w:autoSpaceDN/>
                    <w:bidi w:val="0"/>
                    <w:snapToGrid/>
                    <w:spacing w:line="240" w:lineRule="auto"/>
                    <w:jc w:val="center"/>
                    <w:rPr>
                      <w:color w:val="auto"/>
                      <w:highlight w:val="none"/>
                      <w:vertAlign w:val="baseline"/>
                    </w:rPr>
                  </w:pPr>
                </w:p>
              </w:tc>
              <w:tc>
                <w:tcPr>
                  <w:tcW w:w="3700" w:type="dxa"/>
                  <w:gridSpan w:val="4"/>
                  <w:tcBorders>
                    <w:tl2br w:val="nil"/>
                    <w:tr2bl w:val="nil"/>
                  </w:tcBorders>
                  <w:vAlign w:val="center"/>
                </w:tcPr>
                <w:p w14:paraId="1EEAE838">
                  <w:pPr>
                    <w:keepNext w:val="0"/>
                    <w:keepLines w:val="0"/>
                    <w:pageBreakBefore w:val="0"/>
                    <w:shd w:val="clear"/>
                    <w:kinsoku/>
                    <w:wordWrap/>
                    <w:overflowPunct/>
                    <w:topLinePunct w:val="0"/>
                    <w:autoSpaceDE/>
                    <w:autoSpaceDN/>
                    <w:bidi w:val="0"/>
                    <w:snapToGrid/>
                    <w:spacing w:line="240" w:lineRule="auto"/>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昼间</w:t>
                  </w:r>
                </w:p>
              </w:tc>
            </w:tr>
            <w:tr w14:paraId="7A5B0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dxa"/>
                  <w:vMerge w:val="continue"/>
                  <w:tcBorders>
                    <w:tl2br w:val="nil"/>
                    <w:tr2bl w:val="nil"/>
                  </w:tcBorders>
                  <w:vAlign w:val="center"/>
                </w:tcPr>
                <w:p w14:paraId="0CABD9C1">
                  <w:pPr>
                    <w:keepNext w:val="0"/>
                    <w:keepLines w:val="0"/>
                    <w:pageBreakBefore w:val="0"/>
                    <w:shd w:val="clear"/>
                    <w:kinsoku/>
                    <w:wordWrap/>
                    <w:overflowPunct/>
                    <w:topLinePunct w:val="0"/>
                    <w:autoSpaceDE/>
                    <w:autoSpaceDN/>
                    <w:bidi w:val="0"/>
                    <w:snapToGrid/>
                    <w:spacing w:line="240" w:lineRule="auto"/>
                    <w:jc w:val="center"/>
                    <w:rPr>
                      <w:color w:val="auto"/>
                      <w:highlight w:val="none"/>
                      <w:vertAlign w:val="baseline"/>
                    </w:rPr>
                  </w:pPr>
                </w:p>
              </w:tc>
              <w:tc>
                <w:tcPr>
                  <w:tcW w:w="867" w:type="dxa"/>
                  <w:tcBorders>
                    <w:tl2br w:val="nil"/>
                    <w:tr2bl w:val="nil"/>
                  </w:tcBorders>
                  <w:vAlign w:val="center"/>
                </w:tcPr>
                <w:p w14:paraId="06ADC82B">
                  <w:pPr>
                    <w:keepNext w:val="0"/>
                    <w:keepLines w:val="0"/>
                    <w:pageBreakBefore w:val="0"/>
                    <w:shd w:val="clear"/>
                    <w:kinsoku/>
                    <w:wordWrap/>
                    <w:overflowPunct/>
                    <w:topLinePunct w:val="0"/>
                    <w:autoSpaceDE/>
                    <w:autoSpaceDN/>
                    <w:bidi w:val="0"/>
                    <w:adjustRightInd w:val="0"/>
                    <w:snapToGrid/>
                    <w:spacing w:line="240" w:lineRule="auto"/>
                    <w:jc w:val="center"/>
                    <w:rPr>
                      <w:rFonts w:ascii="Times New Roman" w:hAnsi="Times New Roman" w:eastAsia="宋体" w:cs="Times New Roman"/>
                      <w:color w:val="auto"/>
                      <w:kern w:val="2"/>
                      <w:sz w:val="21"/>
                      <w:szCs w:val="24"/>
                      <w:highlight w:val="none"/>
                      <w:vertAlign w:val="baseline"/>
                      <w:lang w:val="en-US" w:eastAsia="zh-CN" w:bidi="ar-SA"/>
                    </w:rPr>
                  </w:pPr>
                  <w:r>
                    <w:rPr>
                      <w:rFonts w:hint="eastAsia"/>
                      <w:color w:val="auto"/>
                      <w:sz w:val="21"/>
                      <w:szCs w:val="21"/>
                      <w:highlight w:val="none"/>
                      <w:lang w:val="en-US" w:eastAsia="zh-CN"/>
                    </w:rPr>
                    <w:t>现状值</w:t>
                  </w:r>
                </w:p>
              </w:tc>
              <w:tc>
                <w:tcPr>
                  <w:tcW w:w="867" w:type="dxa"/>
                  <w:tcBorders>
                    <w:tl2br w:val="nil"/>
                    <w:tr2bl w:val="nil"/>
                  </w:tcBorders>
                  <w:vAlign w:val="center"/>
                </w:tcPr>
                <w:p w14:paraId="1F44DD0C">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olor w:val="auto"/>
                      <w:sz w:val="21"/>
                      <w:szCs w:val="21"/>
                      <w:highlight w:val="none"/>
                      <w:lang w:val="en-US" w:eastAsia="zh-CN"/>
                    </w:rPr>
                    <w:t>贡献值</w:t>
                  </w:r>
                </w:p>
              </w:tc>
              <w:tc>
                <w:tcPr>
                  <w:tcW w:w="867" w:type="dxa"/>
                  <w:tcBorders>
                    <w:tl2br w:val="nil"/>
                    <w:tr2bl w:val="nil"/>
                  </w:tcBorders>
                  <w:vAlign w:val="center"/>
                </w:tcPr>
                <w:p w14:paraId="71D1A35C">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olor w:val="auto"/>
                      <w:sz w:val="21"/>
                      <w:szCs w:val="21"/>
                      <w:highlight w:val="none"/>
                      <w:lang w:val="en-US" w:eastAsia="zh-CN"/>
                    </w:rPr>
                    <w:t>预测值</w:t>
                  </w:r>
                </w:p>
              </w:tc>
              <w:tc>
                <w:tcPr>
                  <w:tcW w:w="1099" w:type="dxa"/>
                  <w:tcBorders>
                    <w:tl2br w:val="nil"/>
                    <w:tr2bl w:val="nil"/>
                  </w:tcBorders>
                  <w:vAlign w:val="center"/>
                </w:tcPr>
                <w:p w14:paraId="3078190D">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olor w:val="auto"/>
                      <w:sz w:val="21"/>
                      <w:szCs w:val="21"/>
                      <w:highlight w:val="none"/>
                      <w:lang w:val="en-US" w:eastAsia="zh-CN"/>
                    </w:rPr>
                    <w:t>评价结果</w:t>
                  </w:r>
                </w:p>
              </w:tc>
            </w:tr>
            <w:tr w14:paraId="39B2E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dxa"/>
                  <w:tcBorders>
                    <w:tl2br w:val="nil"/>
                    <w:tr2bl w:val="nil"/>
                  </w:tcBorders>
                  <w:vAlign w:val="center"/>
                </w:tcPr>
                <w:p w14:paraId="189F084A">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olor w:val="auto"/>
                      <w:sz w:val="21"/>
                      <w:szCs w:val="21"/>
                      <w:highlight w:val="none"/>
                      <w:lang w:val="en-US" w:eastAsia="zh-CN"/>
                    </w:rPr>
                    <w:t>东厂界</w:t>
                  </w:r>
                </w:p>
              </w:tc>
              <w:tc>
                <w:tcPr>
                  <w:tcW w:w="867" w:type="dxa"/>
                  <w:tcBorders>
                    <w:tl2br w:val="nil"/>
                    <w:tr2bl w:val="nil"/>
                  </w:tcBorders>
                  <w:vAlign w:val="center"/>
                </w:tcPr>
                <w:p w14:paraId="5DE4B846">
                  <w:pPr>
                    <w:keepNext w:val="0"/>
                    <w:keepLines w:val="0"/>
                    <w:pageBreakBefore w:val="0"/>
                    <w:widowControl/>
                    <w:shd w:val="clear"/>
                    <w:kinsoku/>
                    <w:wordWrap/>
                    <w:overflowPunct/>
                    <w:topLinePunct w:val="0"/>
                    <w:autoSpaceDE/>
                    <w:autoSpaceDN/>
                    <w:bidi w:val="0"/>
                    <w:snapToGrid/>
                    <w:spacing w:line="240" w:lineRule="auto"/>
                    <w:jc w:val="center"/>
                    <w:textAlignment w:val="center"/>
                    <w:rPr>
                      <w:rFonts w:hint="default" w:eastAsia="宋体"/>
                      <w:color w:val="auto"/>
                      <w:highlight w:val="none"/>
                      <w:vertAlign w:val="baseline"/>
                      <w:lang w:val="en-US" w:eastAsia="zh-CN"/>
                    </w:rPr>
                  </w:pPr>
                  <w:r>
                    <w:rPr>
                      <w:rFonts w:hint="eastAsia"/>
                      <w:color w:val="auto"/>
                      <w:highlight w:val="none"/>
                      <w:vertAlign w:val="baseline"/>
                      <w:lang w:val="en-US" w:eastAsia="zh-CN"/>
                    </w:rPr>
                    <w:t>58.1</w:t>
                  </w:r>
                </w:p>
              </w:tc>
              <w:tc>
                <w:tcPr>
                  <w:tcW w:w="867" w:type="dxa"/>
                  <w:tcBorders>
                    <w:tl2br w:val="nil"/>
                    <w:tr2bl w:val="nil"/>
                  </w:tcBorders>
                  <w:vAlign w:val="center"/>
                </w:tcPr>
                <w:p w14:paraId="43118917">
                  <w:pPr>
                    <w:keepNext w:val="0"/>
                    <w:keepLines w:val="0"/>
                    <w:pageBreakBefore w:val="0"/>
                    <w:shd w:val="clear"/>
                    <w:kinsoku/>
                    <w:wordWrap/>
                    <w:overflowPunct/>
                    <w:topLinePunct w:val="0"/>
                    <w:autoSpaceDE/>
                    <w:autoSpaceDN/>
                    <w:bidi w:val="0"/>
                    <w:adjustRightInd w:val="0"/>
                    <w:snapToGrid/>
                    <w:spacing w:line="240"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22.8</w:t>
                  </w:r>
                </w:p>
              </w:tc>
              <w:tc>
                <w:tcPr>
                  <w:tcW w:w="867" w:type="dxa"/>
                  <w:tcBorders>
                    <w:tl2br w:val="nil"/>
                    <w:tr2bl w:val="nil"/>
                  </w:tcBorders>
                  <w:vAlign w:val="center"/>
                </w:tcPr>
                <w:p w14:paraId="796E5612">
                  <w:pPr>
                    <w:keepNext w:val="0"/>
                    <w:keepLines w:val="0"/>
                    <w:pageBreakBefore w:val="0"/>
                    <w:shd w:val="clear"/>
                    <w:kinsoku/>
                    <w:wordWrap/>
                    <w:overflowPunct/>
                    <w:topLinePunct w:val="0"/>
                    <w:autoSpaceDE/>
                    <w:autoSpaceDN/>
                    <w:bidi w:val="0"/>
                    <w:snapToGrid/>
                    <w:spacing w:line="240"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58.10</w:t>
                  </w:r>
                </w:p>
              </w:tc>
              <w:tc>
                <w:tcPr>
                  <w:tcW w:w="1099" w:type="dxa"/>
                  <w:tcBorders>
                    <w:tl2br w:val="nil"/>
                    <w:tr2bl w:val="nil"/>
                  </w:tcBorders>
                  <w:vAlign w:val="center"/>
                </w:tcPr>
                <w:p w14:paraId="2A00E6E6">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s="Times New Roman"/>
                      <w:color w:val="auto"/>
                      <w:sz w:val="21"/>
                      <w:szCs w:val="21"/>
                      <w:highlight w:val="none"/>
                      <w:lang w:val="en-US" w:eastAsia="zh-CN"/>
                    </w:rPr>
                    <w:t>达标</w:t>
                  </w:r>
                </w:p>
              </w:tc>
            </w:tr>
            <w:tr w14:paraId="5D3D2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dxa"/>
                  <w:tcBorders>
                    <w:tl2br w:val="nil"/>
                    <w:tr2bl w:val="nil"/>
                  </w:tcBorders>
                  <w:vAlign w:val="center"/>
                </w:tcPr>
                <w:p w14:paraId="6090B11F">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olor w:val="auto"/>
                      <w:sz w:val="21"/>
                      <w:szCs w:val="21"/>
                      <w:highlight w:val="none"/>
                      <w:lang w:val="en-US" w:eastAsia="zh-CN"/>
                    </w:rPr>
                    <w:t>南厂界</w:t>
                  </w:r>
                </w:p>
              </w:tc>
              <w:tc>
                <w:tcPr>
                  <w:tcW w:w="867" w:type="dxa"/>
                  <w:tcBorders>
                    <w:tl2br w:val="nil"/>
                    <w:tr2bl w:val="nil"/>
                  </w:tcBorders>
                  <w:vAlign w:val="center"/>
                </w:tcPr>
                <w:p w14:paraId="4CCFA0E9">
                  <w:pPr>
                    <w:keepNext w:val="0"/>
                    <w:keepLines w:val="0"/>
                    <w:pageBreakBefore w:val="0"/>
                    <w:widowControl/>
                    <w:shd w:val="clear"/>
                    <w:kinsoku/>
                    <w:wordWrap/>
                    <w:overflowPunct/>
                    <w:topLinePunct w:val="0"/>
                    <w:autoSpaceDE/>
                    <w:autoSpaceDN/>
                    <w:bidi w:val="0"/>
                    <w:snapToGrid/>
                    <w:spacing w:line="240" w:lineRule="auto"/>
                    <w:jc w:val="center"/>
                    <w:textAlignment w:val="center"/>
                    <w:rPr>
                      <w:rFonts w:hint="default" w:eastAsia="宋体"/>
                      <w:color w:val="auto"/>
                      <w:highlight w:val="none"/>
                      <w:vertAlign w:val="baseline"/>
                      <w:lang w:val="en-US" w:eastAsia="zh-CN"/>
                    </w:rPr>
                  </w:pPr>
                  <w:r>
                    <w:rPr>
                      <w:rFonts w:hint="eastAsia"/>
                      <w:color w:val="auto"/>
                      <w:highlight w:val="none"/>
                      <w:vertAlign w:val="baseline"/>
                      <w:lang w:val="en-US" w:eastAsia="zh-CN"/>
                    </w:rPr>
                    <w:t>57.9</w:t>
                  </w:r>
                </w:p>
              </w:tc>
              <w:tc>
                <w:tcPr>
                  <w:tcW w:w="867" w:type="dxa"/>
                  <w:tcBorders>
                    <w:tl2br w:val="nil"/>
                    <w:tr2bl w:val="nil"/>
                  </w:tcBorders>
                  <w:vAlign w:val="center"/>
                </w:tcPr>
                <w:p w14:paraId="2B780464">
                  <w:pPr>
                    <w:keepNext w:val="0"/>
                    <w:keepLines w:val="0"/>
                    <w:pageBreakBefore w:val="0"/>
                    <w:shd w:val="clear"/>
                    <w:kinsoku/>
                    <w:wordWrap/>
                    <w:overflowPunct/>
                    <w:topLinePunct w:val="0"/>
                    <w:autoSpaceDE/>
                    <w:autoSpaceDN/>
                    <w:bidi w:val="0"/>
                    <w:adjustRightInd w:val="0"/>
                    <w:snapToGrid/>
                    <w:spacing w:line="240"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41.5</w:t>
                  </w:r>
                </w:p>
              </w:tc>
              <w:tc>
                <w:tcPr>
                  <w:tcW w:w="867" w:type="dxa"/>
                  <w:tcBorders>
                    <w:tl2br w:val="nil"/>
                    <w:tr2bl w:val="nil"/>
                  </w:tcBorders>
                  <w:vAlign w:val="center"/>
                </w:tcPr>
                <w:p w14:paraId="0704AF3C">
                  <w:pPr>
                    <w:keepNext w:val="0"/>
                    <w:keepLines w:val="0"/>
                    <w:pageBreakBefore w:val="0"/>
                    <w:shd w:val="clear"/>
                    <w:kinsoku/>
                    <w:wordWrap/>
                    <w:overflowPunct/>
                    <w:topLinePunct w:val="0"/>
                    <w:autoSpaceDE/>
                    <w:autoSpaceDN/>
                    <w:bidi w:val="0"/>
                    <w:snapToGrid/>
                    <w:spacing w:line="240"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58.00</w:t>
                  </w:r>
                </w:p>
              </w:tc>
              <w:tc>
                <w:tcPr>
                  <w:tcW w:w="1099" w:type="dxa"/>
                  <w:tcBorders>
                    <w:tl2br w:val="nil"/>
                    <w:tr2bl w:val="nil"/>
                  </w:tcBorders>
                  <w:vAlign w:val="center"/>
                </w:tcPr>
                <w:p w14:paraId="47304450">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s="Times New Roman"/>
                      <w:color w:val="auto"/>
                      <w:sz w:val="21"/>
                      <w:szCs w:val="21"/>
                      <w:highlight w:val="none"/>
                      <w:lang w:val="en-US" w:eastAsia="zh-CN"/>
                    </w:rPr>
                    <w:t>达标</w:t>
                  </w:r>
                </w:p>
              </w:tc>
            </w:tr>
            <w:tr w14:paraId="23978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dxa"/>
                  <w:tcBorders>
                    <w:tl2br w:val="nil"/>
                    <w:tr2bl w:val="nil"/>
                  </w:tcBorders>
                  <w:vAlign w:val="center"/>
                </w:tcPr>
                <w:p w14:paraId="41DE70F7">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olor w:val="auto"/>
                      <w:sz w:val="21"/>
                      <w:szCs w:val="21"/>
                      <w:highlight w:val="none"/>
                      <w:lang w:val="en-US" w:eastAsia="zh-CN"/>
                    </w:rPr>
                    <w:t>西厂界</w:t>
                  </w:r>
                </w:p>
              </w:tc>
              <w:tc>
                <w:tcPr>
                  <w:tcW w:w="867" w:type="dxa"/>
                  <w:tcBorders>
                    <w:tl2br w:val="nil"/>
                    <w:tr2bl w:val="nil"/>
                  </w:tcBorders>
                  <w:vAlign w:val="center"/>
                </w:tcPr>
                <w:p w14:paraId="357D847F">
                  <w:pPr>
                    <w:keepNext w:val="0"/>
                    <w:keepLines w:val="0"/>
                    <w:pageBreakBefore w:val="0"/>
                    <w:widowControl/>
                    <w:shd w:val="clear"/>
                    <w:kinsoku/>
                    <w:wordWrap/>
                    <w:overflowPunct/>
                    <w:topLinePunct w:val="0"/>
                    <w:autoSpaceDE/>
                    <w:autoSpaceDN/>
                    <w:bidi w:val="0"/>
                    <w:snapToGrid/>
                    <w:spacing w:line="240" w:lineRule="auto"/>
                    <w:jc w:val="center"/>
                    <w:textAlignment w:val="center"/>
                    <w:rPr>
                      <w:rFonts w:hint="default" w:eastAsia="宋体"/>
                      <w:color w:val="auto"/>
                      <w:highlight w:val="none"/>
                      <w:vertAlign w:val="baseline"/>
                      <w:lang w:val="en-US" w:eastAsia="zh-CN"/>
                    </w:rPr>
                  </w:pPr>
                  <w:r>
                    <w:rPr>
                      <w:rFonts w:hint="eastAsia"/>
                      <w:color w:val="auto"/>
                      <w:highlight w:val="none"/>
                      <w:vertAlign w:val="baseline"/>
                      <w:lang w:val="en-US" w:eastAsia="zh-CN"/>
                    </w:rPr>
                    <w:t>57.8</w:t>
                  </w:r>
                </w:p>
              </w:tc>
              <w:tc>
                <w:tcPr>
                  <w:tcW w:w="867" w:type="dxa"/>
                  <w:tcBorders>
                    <w:tl2br w:val="nil"/>
                    <w:tr2bl w:val="nil"/>
                  </w:tcBorders>
                  <w:vAlign w:val="center"/>
                </w:tcPr>
                <w:p w14:paraId="36008286">
                  <w:pPr>
                    <w:keepNext w:val="0"/>
                    <w:keepLines w:val="0"/>
                    <w:pageBreakBefore w:val="0"/>
                    <w:shd w:val="clear"/>
                    <w:kinsoku/>
                    <w:wordWrap/>
                    <w:overflowPunct/>
                    <w:topLinePunct w:val="0"/>
                    <w:autoSpaceDE/>
                    <w:autoSpaceDN/>
                    <w:bidi w:val="0"/>
                    <w:adjustRightInd w:val="0"/>
                    <w:snapToGrid/>
                    <w:spacing w:line="240"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34</w:t>
                  </w:r>
                </w:p>
              </w:tc>
              <w:tc>
                <w:tcPr>
                  <w:tcW w:w="867" w:type="dxa"/>
                  <w:tcBorders>
                    <w:tl2br w:val="nil"/>
                    <w:tr2bl w:val="nil"/>
                  </w:tcBorders>
                  <w:vAlign w:val="center"/>
                </w:tcPr>
                <w:p w14:paraId="2D103384">
                  <w:pPr>
                    <w:keepNext w:val="0"/>
                    <w:keepLines w:val="0"/>
                    <w:pageBreakBefore w:val="0"/>
                    <w:widowControl/>
                    <w:shd w:val="clear"/>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57.82</w:t>
                  </w:r>
                </w:p>
              </w:tc>
              <w:tc>
                <w:tcPr>
                  <w:tcW w:w="1099" w:type="dxa"/>
                  <w:tcBorders>
                    <w:tl2br w:val="nil"/>
                    <w:tr2bl w:val="nil"/>
                  </w:tcBorders>
                  <w:vAlign w:val="center"/>
                </w:tcPr>
                <w:p w14:paraId="2262A08B">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s="Times New Roman"/>
                      <w:color w:val="auto"/>
                      <w:sz w:val="21"/>
                      <w:szCs w:val="21"/>
                      <w:highlight w:val="none"/>
                      <w:lang w:val="en-US" w:eastAsia="zh-CN"/>
                    </w:rPr>
                    <w:t>达标</w:t>
                  </w:r>
                </w:p>
              </w:tc>
            </w:tr>
            <w:tr w14:paraId="289FD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dxa"/>
                  <w:tcBorders>
                    <w:tl2br w:val="nil"/>
                    <w:tr2bl w:val="nil"/>
                  </w:tcBorders>
                  <w:vAlign w:val="center"/>
                </w:tcPr>
                <w:p w14:paraId="4D5D6C96">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olor w:val="auto"/>
                      <w:sz w:val="21"/>
                      <w:szCs w:val="21"/>
                      <w:highlight w:val="none"/>
                      <w:lang w:val="en-US" w:eastAsia="zh-CN"/>
                    </w:rPr>
                    <w:t>北厂界</w:t>
                  </w:r>
                </w:p>
              </w:tc>
              <w:tc>
                <w:tcPr>
                  <w:tcW w:w="867" w:type="dxa"/>
                  <w:tcBorders>
                    <w:tl2br w:val="nil"/>
                    <w:tr2bl w:val="nil"/>
                  </w:tcBorders>
                  <w:vAlign w:val="center"/>
                </w:tcPr>
                <w:p w14:paraId="1B5929B7">
                  <w:pPr>
                    <w:keepNext w:val="0"/>
                    <w:keepLines w:val="0"/>
                    <w:pageBreakBefore w:val="0"/>
                    <w:widowControl/>
                    <w:shd w:val="clear"/>
                    <w:kinsoku/>
                    <w:wordWrap/>
                    <w:overflowPunct/>
                    <w:topLinePunct w:val="0"/>
                    <w:autoSpaceDE/>
                    <w:autoSpaceDN/>
                    <w:bidi w:val="0"/>
                    <w:snapToGrid/>
                    <w:spacing w:line="240" w:lineRule="auto"/>
                    <w:jc w:val="center"/>
                    <w:textAlignment w:val="center"/>
                    <w:rPr>
                      <w:rFonts w:hint="default" w:eastAsia="宋体"/>
                      <w:color w:val="auto"/>
                      <w:highlight w:val="none"/>
                      <w:vertAlign w:val="baseline"/>
                      <w:lang w:val="en-US" w:eastAsia="zh-CN"/>
                    </w:rPr>
                  </w:pPr>
                  <w:r>
                    <w:rPr>
                      <w:rFonts w:hint="eastAsia"/>
                      <w:color w:val="auto"/>
                      <w:highlight w:val="none"/>
                      <w:vertAlign w:val="baseline"/>
                      <w:lang w:val="en-US" w:eastAsia="zh-CN"/>
                    </w:rPr>
                    <w:t>57.7</w:t>
                  </w:r>
                </w:p>
              </w:tc>
              <w:tc>
                <w:tcPr>
                  <w:tcW w:w="867" w:type="dxa"/>
                  <w:tcBorders>
                    <w:tl2br w:val="nil"/>
                    <w:tr2bl w:val="nil"/>
                  </w:tcBorders>
                  <w:vAlign w:val="center"/>
                </w:tcPr>
                <w:p w14:paraId="27449625">
                  <w:pPr>
                    <w:keepNext w:val="0"/>
                    <w:keepLines w:val="0"/>
                    <w:pageBreakBefore w:val="0"/>
                    <w:shd w:val="clear"/>
                    <w:kinsoku/>
                    <w:wordWrap/>
                    <w:overflowPunct/>
                    <w:topLinePunct w:val="0"/>
                    <w:autoSpaceDE/>
                    <w:autoSpaceDN/>
                    <w:bidi w:val="0"/>
                    <w:adjustRightInd w:val="0"/>
                    <w:snapToGrid/>
                    <w:spacing w:line="240"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25.2</w:t>
                  </w:r>
                </w:p>
              </w:tc>
              <w:tc>
                <w:tcPr>
                  <w:tcW w:w="867" w:type="dxa"/>
                  <w:tcBorders>
                    <w:tl2br w:val="nil"/>
                    <w:tr2bl w:val="nil"/>
                  </w:tcBorders>
                  <w:vAlign w:val="center"/>
                </w:tcPr>
                <w:p w14:paraId="1610E662">
                  <w:pPr>
                    <w:keepNext w:val="0"/>
                    <w:keepLines w:val="0"/>
                    <w:pageBreakBefore w:val="0"/>
                    <w:shd w:val="clear"/>
                    <w:kinsoku/>
                    <w:wordWrap/>
                    <w:overflowPunct/>
                    <w:topLinePunct w:val="0"/>
                    <w:autoSpaceDE/>
                    <w:autoSpaceDN/>
                    <w:bidi w:val="0"/>
                    <w:snapToGrid/>
                    <w:spacing w:line="240"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57.70</w:t>
                  </w:r>
                </w:p>
              </w:tc>
              <w:tc>
                <w:tcPr>
                  <w:tcW w:w="1099" w:type="dxa"/>
                  <w:tcBorders>
                    <w:tl2br w:val="nil"/>
                    <w:tr2bl w:val="nil"/>
                  </w:tcBorders>
                  <w:vAlign w:val="center"/>
                </w:tcPr>
                <w:p w14:paraId="2B016E16">
                  <w:pPr>
                    <w:keepNext w:val="0"/>
                    <w:keepLines w:val="0"/>
                    <w:pageBreakBefore w:val="0"/>
                    <w:shd w:val="clear"/>
                    <w:kinsoku/>
                    <w:wordWrap/>
                    <w:overflowPunct/>
                    <w:topLinePunct w:val="0"/>
                    <w:autoSpaceDE/>
                    <w:autoSpaceDN/>
                    <w:bidi w:val="0"/>
                    <w:adjustRightInd w:val="0"/>
                    <w:snapToGrid/>
                    <w:spacing w:line="240" w:lineRule="auto"/>
                    <w:jc w:val="center"/>
                    <w:rPr>
                      <w:color w:val="auto"/>
                      <w:highlight w:val="none"/>
                      <w:vertAlign w:val="baseline"/>
                    </w:rPr>
                  </w:pPr>
                  <w:r>
                    <w:rPr>
                      <w:rFonts w:hint="eastAsia" w:cs="Times New Roman"/>
                      <w:color w:val="auto"/>
                      <w:sz w:val="21"/>
                      <w:szCs w:val="21"/>
                      <w:highlight w:val="none"/>
                      <w:lang w:val="en-US" w:eastAsia="zh-CN"/>
                    </w:rPr>
                    <w:t>达标</w:t>
                  </w:r>
                </w:p>
              </w:tc>
            </w:tr>
          </w:tbl>
          <w:p w14:paraId="034C89B4">
            <w:pPr>
              <w:shd w:val="clear"/>
              <w:spacing w:line="360" w:lineRule="auto"/>
              <w:jc w:val="center"/>
              <w:rPr>
                <w:b/>
                <w:bCs/>
                <w:color w:val="auto"/>
                <w:sz w:val="21"/>
                <w:szCs w:val="21"/>
                <w:highlight w:val="none"/>
              </w:rPr>
            </w:pPr>
            <w:r>
              <w:rPr>
                <w:b/>
                <w:bCs/>
                <w:color w:val="auto"/>
                <w:sz w:val="21"/>
                <w:szCs w:val="21"/>
                <w:highlight w:val="none"/>
              </w:rPr>
              <w:t>表</w:t>
            </w:r>
            <w:r>
              <w:rPr>
                <w:rFonts w:hint="eastAsia"/>
                <w:b/>
                <w:bCs/>
                <w:color w:val="auto"/>
                <w:sz w:val="21"/>
                <w:szCs w:val="21"/>
                <w:highlight w:val="none"/>
                <w:lang w:val="en-US" w:eastAsia="zh-CN"/>
              </w:rPr>
              <w:t>4-29</w:t>
            </w:r>
            <w:r>
              <w:rPr>
                <w:b/>
                <w:bCs/>
                <w:color w:val="auto"/>
                <w:sz w:val="21"/>
                <w:szCs w:val="21"/>
                <w:highlight w:val="none"/>
              </w:rPr>
              <w:t xml:space="preserve"> 噪声影响预测结果  单位：dB(A)</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28" w:type="dxa"/>
                <w:bottom w:w="0" w:type="dxa"/>
                <w:right w:w="28" w:type="dxa"/>
              </w:tblCellMar>
            </w:tblPr>
            <w:tblGrid>
              <w:gridCol w:w="1702"/>
              <w:gridCol w:w="750"/>
              <w:gridCol w:w="833"/>
              <w:gridCol w:w="848"/>
              <w:gridCol w:w="1026"/>
              <w:gridCol w:w="1026"/>
              <w:gridCol w:w="1026"/>
              <w:gridCol w:w="1027"/>
            </w:tblGrid>
            <w:tr w14:paraId="0A3294F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PrEx>
              <w:trPr>
                <w:trHeight w:val="525" w:hRule="atLeast"/>
                <w:jc w:val="center"/>
              </w:trPr>
              <w:tc>
                <w:tcPr>
                  <w:tcW w:w="1702" w:type="dxa"/>
                  <w:vMerge w:val="restart"/>
                  <w:tcBorders>
                    <w:tl2br w:val="nil"/>
                    <w:tr2bl w:val="nil"/>
                  </w:tcBorders>
                  <w:shd w:val="clear" w:color="auto" w:fill="auto"/>
                  <w:vAlign w:val="center"/>
                </w:tcPr>
                <w:p w14:paraId="356230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声环境保护目标名称</w:t>
                  </w:r>
                </w:p>
              </w:tc>
              <w:tc>
                <w:tcPr>
                  <w:tcW w:w="750" w:type="dxa"/>
                  <w:tcBorders>
                    <w:tl2br w:val="nil"/>
                    <w:tr2bl w:val="nil"/>
                  </w:tcBorders>
                  <w:shd w:val="clear" w:color="auto" w:fill="auto"/>
                  <w:vAlign w:val="center"/>
                </w:tcPr>
                <w:p w14:paraId="2E2597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噪声背景值</w:t>
                  </w:r>
                </w:p>
              </w:tc>
              <w:tc>
                <w:tcPr>
                  <w:tcW w:w="833" w:type="dxa"/>
                  <w:tcBorders>
                    <w:tl2br w:val="nil"/>
                    <w:tr2bl w:val="nil"/>
                  </w:tcBorders>
                  <w:shd w:val="clear" w:color="auto" w:fill="auto"/>
                  <w:vAlign w:val="center"/>
                </w:tcPr>
                <w:p w14:paraId="4EA56F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噪声现状值</w:t>
                  </w:r>
                </w:p>
              </w:tc>
              <w:tc>
                <w:tcPr>
                  <w:tcW w:w="848" w:type="dxa"/>
                  <w:tcBorders>
                    <w:tl2br w:val="nil"/>
                    <w:tr2bl w:val="nil"/>
                  </w:tcBorders>
                  <w:shd w:val="clear" w:color="auto" w:fill="auto"/>
                  <w:vAlign w:val="center"/>
                </w:tcPr>
                <w:p w14:paraId="7AAE8D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噪声标准</w:t>
                  </w:r>
                </w:p>
              </w:tc>
              <w:tc>
                <w:tcPr>
                  <w:tcW w:w="1026" w:type="dxa"/>
                  <w:tcBorders>
                    <w:tl2br w:val="nil"/>
                    <w:tr2bl w:val="nil"/>
                  </w:tcBorders>
                  <w:shd w:val="clear" w:color="auto" w:fill="auto"/>
                  <w:vAlign w:val="center"/>
                </w:tcPr>
                <w:p w14:paraId="1E3887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噪声贡献值</w:t>
                  </w:r>
                </w:p>
              </w:tc>
              <w:tc>
                <w:tcPr>
                  <w:tcW w:w="1026" w:type="dxa"/>
                  <w:tcBorders>
                    <w:tl2br w:val="nil"/>
                    <w:tr2bl w:val="nil"/>
                  </w:tcBorders>
                  <w:shd w:val="clear" w:color="auto" w:fill="auto"/>
                  <w:vAlign w:val="center"/>
                </w:tcPr>
                <w:p w14:paraId="17BB18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噪声预测值</w:t>
                  </w:r>
                </w:p>
              </w:tc>
              <w:tc>
                <w:tcPr>
                  <w:tcW w:w="1026" w:type="dxa"/>
                  <w:tcBorders>
                    <w:tl2br w:val="nil"/>
                    <w:tr2bl w:val="nil"/>
                  </w:tcBorders>
                  <w:shd w:val="clear" w:color="auto" w:fill="auto"/>
                  <w:vAlign w:val="center"/>
                </w:tcPr>
                <w:p w14:paraId="3E7D3B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较现状增量</w:t>
                  </w:r>
                </w:p>
              </w:tc>
              <w:tc>
                <w:tcPr>
                  <w:tcW w:w="1027" w:type="dxa"/>
                  <w:tcBorders>
                    <w:tl2br w:val="nil"/>
                    <w:tr2bl w:val="nil"/>
                  </w:tcBorders>
                  <w:shd w:val="clear" w:color="auto" w:fill="auto"/>
                  <w:vAlign w:val="center"/>
                </w:tcPr>
                <w:p w14:paraId="2E7319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超标和达标情况</w:t>
                  </w:r>
                </w:p>
              </w:tc>
            </w:tr>
            <w:tr w14:paraId="1592DB8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28" w:type="dxa"/>
                  <w:bottom w:w="0" w:type="dxa"/>
                  <w:right w:w="28" w:type="dxa"/>
                </w:tblCellMar>
              </w:tblPrEx>
              <w:trPr>
                <w:trHeight w:val="285" w:hRule="atLeast"/>
                <w:jc w:val="center"/>
              </w:trPr>
              <w:tc>
                <w:tcPr>
                  <w:tcW w:w="1702" w:type="dxa"/>
                  <w:vMerge w:val="continue"/>
                  <w:tcBorders>
                    <w:tl2br w:val="nil"/>
                    <w:tr2bl w:val="nil"/>
                  </w:tcBorders>
                  <w:shd w:val="clear" w:color="auto" w:fill="auto"/>
                  <w:vAlign w:val="center"/>
                </w:tcPr>
                <w:p w14:paraId="33B88A4F">
                  <w:pPr>
                    <w:jc w:val="center"/>
                    <w:rPr>
                      <w:rFonts w:hint="eastAsia" w:ascii="宋体" w:hAnsi="宋体" w:eastAsia="宋体" w:cs="宋体"/>
                      <w:i w:val="0"/>
                      <w:iCs w:val="0"/>
                      <w:color w:val="000000"/>
                      <w:sz w:val="21"/>
                      <w:szCs w:val="21"/>
                      <w:u w:val="none"/>
                    </w:rPr>
                  </w:pPr>
                </w:p>
              </w:tc>
              <w:tc>
                <w:tcPr>
                  <w:tcW w:w="750" w:type="dxa"/>
                  <w:tcBorders>
                    <w:tl2br w:val="nil"/>
                    <w:tr2bl w:val="nil"/>
                  </w:tcBorders>
                  <w:shd w:val="clear" w:color="auto" w:fill="auto"/>
                  <w:vAlign w:val="center"/>
                </w:tcPr>
                <w:p w14:paraId="06FC8F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昼间</w:t>
                  </w:r>
                </w:p>
              </w:tc>
              <w:tc>
                <w:tcPr>
                  <w:tcW w:w="833" w:type="dxa"/>
                  <w:tcBorders>
                    <w:tl2br w:val="nil"/>
                    <w:tr2bl w:val="nil"/>
                  </w:tcBorders>
                  <w:shd w:val="clear" w:color="auto" w:fill="auto"/>
                  <w:vAlign w:val="center"/>
                </w:tcPr>
                <w:p w14:paraId="72994D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昼间</w:t>
                  </w:r>
                </w:p>
              </w:tc>
              <w:tc>
                <w:tcPr>
                  <w:tcW w:w="848" w:type="dxa"/>
                  <w:tcBorders>
                    <w:tl2br w:val="nil"/>
                    <w:tr2bl w:val="nil"/>
                  </w:tcBorders>
                  <w:shd w:val="clear" w:color="auto" w:fill="auto"/>
                  <w:vAlign w:val="center"/>
                </w:tcPr>
                <w:p w14:paraId="0EA302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昼间</w:t>
                  </w:r>
                </w:p>
              </w:tc>
              <w:tc>
                <w:tcPr>
                  <w:tcW w:w="1026" w:type="dxa"/>
                  <w:tcBorders>
                    <w:tl2br w:val="nil"/>
                    <w:tr2bl w:val="nil"/>
                  </w:tcBorders>
                  <w:shd w:val="clear" w:color="auto" w:fill="auto"/>
                  <w:vAlign w:val="center"/>
                </w:tcPr>
                <w:p w14:paraId="281C01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昼间</w:t>
                  </w:r>
                </w:p>
              </w:tc>
              <w:tc>
                <w:tcPr>
                  <w:tcW w:w="1026" w:type="dxa"/>
                  <w:tcBorders>
                    <w:tl2br w:val="nil"/>
                    <w:tr2bl w:val="nil"/>
                  </w:tcBorders>
                  <w:shd w:val="clear" w:color="auto" w:fill="auto"/>
                  <w:vAlign w:val="center"/>
                </w:tcPr>
                <w:p w14:paraId="2D814E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昼间</w:t>
                  </w:r>
                </w:p>
              </w:tc>
              <w:tc>
                <w:tcPr>
                  <w:tcW w:w="1026" w:type="dxa"/>
                  <w:tcBorders>
                    <w:tl2br w:val="nil"/>
                    <w:tr2bl w:val="nil"/>
                  </w:tcBorders>
                  <w:shd w:val="clear" w:color="auto" w:fill="auto"/>
                  <w:vAlign w:val="center"/>
                </w:tcPr>
                <w:p w14:paraId="741102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昼间</w:t>
                  </w:r>
                </w:p>
              </w:tc>
              <w:tc>
                <w:tcPr>
                  <w:tcW w:w="1027" w:type="dxa"/>
                  <w:tcBorders>
                    <w:tl2br w:val="nil"/>
                    <w:tr2bl w:val="nil"/>
                  </w:tcBorders>
                  <w:shd w:val="clear" w:color="auto" w:fill="auto"/>
                  <w:vAlign w:val="center"/>
                </w:tcPr>
                <w:p w14:paraId="581D51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昼间</w:t>
                  </w:r>
                </w:p>
              </w:tc>
            </w:tr>
            <w:tr w14:paraId="6D3908D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28" w:type="dxa"/>
                  <w:bottom w:w="0" w:type="dxa"/>
                  <w:right w:w="28" w:type="dxa"/>
                </w:tblCellMar>
              </w:tblPrEx>
              <w:trPr>
                <w:trHeight w:val="285" w:hRule="atLeast"/>
                <w:jc w:val="center"/>
              </w:trPr>
              <w:tc>
                <w:tcPr>
                  <w:tcW w:w="1702" w:type="dxa"/>
                  <w:tcBorders>
                    <w:tl2br w:val="nil"/>
                    <w:tr2bl w:val="nil"/>
                  </w:tcBorders>
                  <w:shd w:val="clear" w:color="auto" w:fill="auto"/>
                  <w:vAlign w:val="center"/>
                </w:tcPr>
                <w:p w14:paraId="63C302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曹葛村</w:t>
                  </w:r>
                </w:p>
              </w:tc>
              <w:tc>
                <w:tcPr>
                  <w:tcW w:w="750" w:type="dxa"/>
                  <w:tcBorders>
                    <w:tl2br w:val="nil"/>
                    <w:tr2bl w:val="nil"/>
                  </w:tcBorders>
                  <w:shd w:val="clear" w:color="auto" w:fill="auto"/>
                  <w:vAlign w:val="center"/>
                </w:tcPr>
                <w:p w14:paraId="43ACC1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51.9</w:t>
                  </w:r>
                </w:p>
              </w:tc>
              <w:tc>
                <w:tcPr>
                  <w:tcW w:w="833" w:type="dxa"/>
                  <w:tcBorders>
                    <w:tl2br w:val="nil"/>
                    <w:tr2bl w:val="nil"/>
                  </w:tcBorders>
                  <w:shd w:val="clear" w:color="auto" w:fill="auto"/>
                  <w:vAlign w:val="center"/>
                </w:tcPr>
                <w:p w14:paraId="62C377B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51.9</w:t>
                  </w:r>
                </w:p>
              </w:tc>
              <w:tc>
                <w:tcPr>
                  <w:tcW w:w="848" w:type="dxa"/>
                  <w:tcBorders>
                    <w:tl2br w:val="nil"/>
                    <w:tr2bl w:val="nil"/>
                  </w:tcBorders>
                  <w:shd w:val="clear" w:color="auto" w:fill="auto"/>
                  <w:vAlign w:val="center"/>
                </w:tcPr>
                <w:p w14:paraId="63A19C9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026" w:type="dxa"/>
                  <w:tcBorders>
                    <w:tl2br w:val="nil"/>
                    <w:tr2bl w:val="nil"/>
                  </w:tcBorders>
                  <w:shd w:val="clear" w:color="auto" w:fill="auto"/>
                  <w:vAlign w:val="center"/>
                </w:tcPr>
                <w:p w14:paraId="7472F2B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22.8</w:t>
                  </w:r>
                </w:p>
              </w:tc>
              <w:tc>
                <w:tcPr>
                  <w:tcW w:w="1026" w:type="dxa"/>
                  <w:tcBorders>
                    <w:tl2br w:val="nil"/>
                    <w:tr2bl w:val="nil"/>
                  </w:tcBorders>
                  <w:shd w:val="clear" w:color="auto" w:fill="auto"/>
                  <w:vAlign w:val="center"/>
                </w:tcPr>
                <w:p w14:paraId="166934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51.91</w:t>
                  </w:r>
                </w:p>
              </w:tc>
              <w:tc>
                <w:tcPr>
                  <w:tcW w:w="1026" w:type="dxa"/>
                  <w:tcBorders>
                    <w:tl2br w:val="nil"/>
                    <w:tr2bl w:val="nil"/>
                  </w:tcBorders>
                  <w:shd w:val="clear" w:color="auto" w:fill="auto"/>
                  <w:vAlign w:val="center"/>
                </w:tcPr>
                <w:p w14:paraId="2840121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0.01</w:t>
                  </w:r>
                </w:p>
              </w:tc>
              <w:tc>
                <w:tcPr>
                  <w:tcW w:w="1027" w:type="dxa"/>
                  <w:tcBorders>
                    <w:tl2br w:val="nil"/>
                    <w:tr2bl w:val="nil"/>
                  </w:tcBorders>
                  <w:shd w:val="clear" w:color="auto" w:fill="auto"/>
                  <w:vAlign w:val="center"/>
                </w:tcPr>
                <w:p w14:paraId="614A5F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r w14:paraId="6BBE4D2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28" w:type="dxa"/>
                  <w:bottom w:w="0" w:type="dxa"/>
                  <w:right w:w="28" w:type="dxa"/>
                </w:tblCellMar>
              </w:tblPrEx>
              <w:trPr>
                <w:trHeight w:val="285" w:hRule="atLeast"/>
                <w:jc w:val="center"/>
              </w:trPr>
              <w:tc>
                <w:tcPr>
                  <w:tcW w:w="1702" w:type="dxa"/>
                  <w:tcBorders>
                    <w:tl2br w:val="nil"/>
                    <w:tr2bl w:val="nil"/>
                  </w:tcBorders>
                  <w:shd w:val="clear" w:color="auto" w:fill="auto"/>
                  <w:vAlign w:val="center"/>
                </w:tcPr>
                <w:p w14:paraId="3C8EB70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丽舍名都幼儿园、散户</w:t>
                  </w:r>
                </w:p>
              </w:tc>
              <w:tc>
                <w:tcPr>
                  <w:tcW w:w="750" w:type="dxa"/>
                  <w:tcBorders>
                    <w:tl2br w:val="nil"/>
                    <w:tr2bl w:val="nil"/>
                  </w:tcBorders>
                  <w:shd w:val="clear" w:color="auto" w:fill="auto"/>
                  <w:vAlign w:val="center"/>
                </w:tcPr>
                <w:p w14:paraId="53AEF8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50.2</w:t>
                  </w:r>
                </w:p>
              </w:tc>
              <w:tc>
                <w:tcPr>
                  <w:tcW w:w="833" w:type="dxa"/>
                  <w:tcBorders>
                    <w:tl2br w:val="nil"/>
                    <w:tr2bl w:val="nil"/>
                  </w:tcBorders>
                  <w:shd w:val="clear" w:color="auto" w:fill="auto"/>
                  <w:vAlign w:val="center"/>
                </w:tcPr>
                <w:p w14:paraId="4883F3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50.2</w:t>
                  </w:r>
                </w:p>
              </w:tc>
              <w:tc>
                <w:tcPr>
                  <w:tcW w:w="848" w:type="dxa"/>
                  <w:tcBorders>
                    <w:tl2br w:val="nil"/>
                    <w:tr2bl w:val="nil"/>
                  </w:tcBorders>
                  <w:shd w:val="clear" w:color="auto" w:fill="auto"/>
                  <w:vAlign w:val="center"/>
                </w:tcPr>
                <w:p w14:paraId="280746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w:t>
                  </w:r>
                </w:p>
              </w:tc>
              <w:tc>
                <w:tcPr>
                  <w:tcW w:w="1026" w:type="dxa"/>
                  <w:tcBorders>
                    <w:tl2br w:val="nil"/>
                    <w:tr2bl w:val="nil"/>
                  </w:tcBorders>
                  <w:shd w:val="clear" w:color="auto" w:fill="auto"/>
                  <w:vAlign w:val="center"/>
                </w:tcPr>
                <w:p w14:paraId="2FB726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34</w:t>
                  </w:r>
                </w:p>
              </w:tc>
              <w:tc>
                <w:tcPr>
                  <w:tcW w:w="1026" w:type="dxa"/>
                  <w:tcBorders>
                    <w:tl2br w:val="nil"/>
                    <w:tr2bl w:val="nil"/>
                  </w:tcBorders>
                  <w:shd w:val="clear" w:color="auto" w:fill="auto"/>
                  <w:vAlign w:val="center"/>
                </w:tcPr>
                <w:p w14:paraId="746FA2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50.30</w:t>
                  </w:r>
                </w:p>
              </w:tc>
              <w:tc>
                <w:tcPr>
                  <w:tcW w:w="1026" w:type="dxa"/>
                  <w:tcBorders>
                    <w:tl2br w:val="nil"/>
                    <w:tr2bl w:val="nil"/>
                  </w:tcBorders>
                  <w:shd w:val="clear" w:color="auto" w:fill="auto"/>
                  <w:vAlign w:val="center"/>
                </w:tcPr>
                <w:p w14:paraId="111004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w:t>
                  </w:r>
                </w:p>
              </w:tc>
              <w:tc>
                <w:tcPr>
                  <w:tcW w:w="1027" w:type="dxa"/>
                  <w:tcBorders>
                    <w:tl2br w:val="nil"/>
                    <w:tr2bl w:val="nil"/>
                  </w:tcBorders>
                  <w:shd w:val="clear" w:color="auto" w:fill="auto"/>
                  <w:vAlign w:val="center"/>
                </w:tcPr>
                <w:p w14:paraId="301619F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达标</w:t>
                  </w:r>
                </w:p>
              </w:tc>
            </w:tr>
          </w:tbl>
          <w:p w14:paraId="689D696D">
            <w:pPr>
              <w:spacing w:line="360" w:lineRule="auto"/>
              <w:ind w:firstLine="420" w:firstLineChars="200"/>
              <w:rPr>
                <w:rFonts w:hint="eastAsia"/>
                <w:b/>
                <w:bCs/>
                <w:color w:val="auto"/>
                <w:szCs w:val="21"/>
                <w:highlight w:val="none"/>
              </w:rPr>
            </w:pPr>
            <w:r>
              <w:rPr>
                <w:rFonts w:hint="eastAsia"/>
                <w:b w:val="0"/>
                <w:bCs w:val="0"/>
                <w:color w:val="auto"/>
                <w:szCs w:val="21"/>
                <w:highlight w:val="none"/>
                <w:lang w:val="en-US" w:eastAsia="zh-CN"/>
              </w:rPr>
              <w:t>根据预测结果，建设项目各厂界噪声贡献值叠加现状值后可达到《工业企业厂界环境噪声排放标准》（GB12348-2008）中的3类（昼间65dB(A)，夜间55dB(A)）标准，敏感目标曹葛村、丽舍名都幼儿园处噪声贡献值可达到《工业企业厂界环境噪声排放标准》（GB12348-2008）中的2类（昼间60dB(A)，夜间50dB(A)）标准要求；预测值满足《声环境质量标准》（GB3096-2008）2类区（昼间60dB(A)，夜间50dB(A)）标准要求</w:t>
            </w:r>
            <w:r>
              <w:rPr>
                <w:rFonts w:hint="eastAsia"/>
                <w:b w:val="0"/>
                <w:bCs w:val="0"/>
                <w:color w:val="auto"/>
                <w:szCs w:val="21"/>
                <w:highlight w:val="none"/>
              </w:rPr>
              <w:t>因此，项目建成后，在采取必要的降噪措施后，对区域声环境影响较小，不会出现噪声扰民现象。</w:t>
            </w:r>
          </w:p>
          <w:p w14:paraId="76EFDF45">
            <w:pPr>
              <w:spacing w:line="360" w:lineRule="auto"/>
              <w:ind w:firstLine="422" w:firstLineChars="200"/>
              <w:rPr>
                <w:color w:val="auto"/>
                <w:szCs w:val="21"/>
                <w:highlight w:val="none"/>
              </w:rPr>
            </w:pPr>
            <w:r>
              <w:rPr>
                <w:rFonts w:hint="eastAsia"/>
                <w:b/>
                <w:bCs/>
                <w:color w:val="auto"/>
                <w:szCs w:val="21"/>
                <w:highlight w:val="none"/>
              </w:rPr>
              <w:t>3.4监测计划</w:t>
            </w:r>
          </w:p>
          <w:p w14:paraId="3065901B">
            <w:pPr>
              <w:spacing w:line="360" w:lineRule="auto"/>
              <w:ind w:firstLine="420" w:firstLineChars="200"/>
              <w:rPr>
                <w:color w:val="auto"/>
                <w:szCs w:val="21"/>
                <w:highlight w:val="none"/>
              </w:rPr>
            </w:pPr>
            <w:r>
              <w:rPr>
                <w:color w:val="auto"/>
                <w:szCs w:val="21"/>
                <w:highlight w:val="none"/>
              </w:rPr>
              <w:t>项目运营期间的监测要求见表4-</w:t>
            </w:r>
            <w:r>
              <w:rPr>
                <w:rFonts w:hint="eastAsia"/>
                <w:color w:val="auto"/>
                <w:szCs w:val="21"/>
                <w:highlight w:val="none"/>
                <w:lang w:val="en-US" w:eastAsia="zh-CN"/>
              </w:rPr>
              <w:t>30</w:t>
            </w:r>
            <w:r>
              <w:rPr>
                <w:rFonts w:hint="eastAsia"/>
                <w:color w:val="auto"/>
                <w:szCs w:val="21"/>
                <w:highlight w:val="none"/>
              </w:rPr>
              <w:t>。</w:t>
            </w:r>
          </w:p>
          <w:p w14:paraId="38323B12">
            <w:pPr>
              <w:pStyle w:val="113"/>
              <w:spacing w:line="360" w:lineRule="auto"/>
              <w:ind w:firstLine="0"/>
              <w:rPr>
                <w:color w:val="auto"/>
                <w:szCs w:val="21"/>
                <w:highlight w:val="none"/>
                <w:lang w:val="en-US"/>
              </w:rPr>
            </w:pPr>
            <w:r>
              <w:rPr>
                <w:color w:val="auto"/>
                <w:szCs w:val="21"/>
                <w:highlight w:val="none"/>
                <w:lang w:val="en-US"/>
              </w:rPr>
              <w:t>表</w:t>
            </w:r>
            <w:r>
              <w:rPr>
                <w:rFonts w:ascii="Times New Roman" w:hAnsi="Times New Roman"/>
                <w:color w:val="auto"/>
                <w:szCs w:val="21"/>
                <w:highlight w:val="none"/>
                <w:lang w:val="en-US"/>
              </w:rPr>
              <w:t>4-</w:t>
            </w:r>
            <w:r>
              <w:rPr>
                <w:rFonts w:hint="eastAsia" w:ascii="Times New Roman" w:hAnsi="Times New Roman"/>
                <w:color w:val="auto"/>
                <w:szCs w:val="21"/>
                <w:highlight w:val="none"/>
                <w:lang w:val="en-US" w:eastAsia="zh-CN"/>
              </w:rPr>
              <w:t xml:space="preserve">30 </w:t>
            </w:r>
            <w:r>
              <w:rPr>
                <w:color w:val="auto"/>
                <w:szCs w:val="21"/>
                <w:highlight w:val="none"/>
                <w:lang w:val="en-US"/>
              </w:rPr>
              <w:t>噪声监测计划表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01"/>
              <w:gridCol w:w="1531"/>
              <w:gridCol w:w="1215"/>
              <w:gridCol w:w="3691"/>
            </w:tblGrid>
            <w:tr w14:paraId="38D332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01" w:type="dxa"/>
                  <w:vAlign w:val="center"/>
                </w:tcPr>
                <w:p w14:paraId="68B33342">
                  <w:pPr>
                    <w:widowControl/>
                    <w:adjustRightInd w:val="0"/>
                    <w:snapToGrid w:val="0"/>
                    <w:jc w:val="center"/>
                    <w:rPr>
                      <w:color w:val="auto"/>
                      <w:szCs w:val="21"/>
                      <w:highlight w:val="none"/>
                    </w:rPr>
                  </w:pPr>
                  <w:r>
                    <w:rPr>
                      <w:color w:val="auto"/>
                      <w:szCs w:val="21"/>
                      <w:highlight w:val="none"/>
                    </w:rPr>
                    <w:t>监测点位</w:t>
                  </w:r>
                </w:p>
              </w:tc>
              <w:tc>
                <w:tcPr>
                  <w:tcW w:w="1531" w:type="dxa"/>
                  <w:vAlign w:val="center"/>
                </w:tcPr>
                <w:p w14:paraId="192B2E72">
                  <w:pPr>
                    <w:widowControl/>
                    <w:adjustRightInd w:val="0"/>
                    <w:snapToGrid w:val="0"/>
                    <w:jc w:val="center"/>
                    <w:rPr>
                      <w:color w:val="auto"/>
                      <w:szCs w:val="21"/>
                      <w:highlight w:val="none"/>
                    </w:rPr>
                  </w:pPr>
                  <w:r>
                    <w:rPr>
                      <w:color w:val="auto"/>
                      <w:szCs w:val="21"/>
                      <w:highlight w:val="none"/>
                    </w:rPr>
                    <w:t>监测指标</w:t>
                  </w:r>
                </w:p>
              </w:tc>
              <w:tc>
                <w:tcPr>
                  <w:tcW w:w="1215" w:type="dxa"/>
                  <w:vAlign w:val="center"/>
                </w:tcPr>
                <w:p w14:paraId="2485A494">
                  <w:pPr>
                    <w:widowControl/>
                    <w:adjustRightInd w:val="0"/>
                    <w:snapToGrid w:val="0"/>
                    <w:jc w:val="center"/>
                    <w:rPr>
                      <w:color w:val="auto"/>
                      <w:szCs w:val="21"/>
                      <w:highlight w:val="none"/>
                    </w:rPr>
                  </w:pPr>
                  <w:r>
                    <w:rPr>
                      <w:color w:val="auto"/>
                      <w:szCs w:val="21"/>
                      <w:highlight w:val="none"/>
                    </w:rPr>
                    <w:t>监测频次</w:t>
                  </w:r>
                </w:p>
              </w:tc>
              <w:tc>
                <w:tcPr>
                  <w:tcW w:w="3691" w:type="dxa"/>
                  <w:vAlign w:val="center"/>
                </w:tcPr>
                <w:p w14:paraId="3DF371E1">
                  <w:pPr>
                    <w:widowControl/>
                    <w:adjustRightInd w:val="0"/>
                    <w:snapToGrid w:val="0"/>
                    <w:ind w:firstLine="525" w:firstLineChars="250"/>
                    <w:jc w:val="center"/>
                    <w:rPr>
                      <w:color w:val="auto"/>
                      <w:szCs w:val="21"/>
                      <w:highlight w:val="none"/>
                    </w:rPr>
                  </w:pPr>
                  <w:r>
                    <w:rPr>
                      <w:color w:val="auto"/>
                      <w:szCs w:val="21"/>
                      <w:highlight w:val="none"/>
                    </w:rPr>
                    <w:t>执行排放标准</w:t>
                  </w:r>
                </w:p>
              </w:tc>
            </w:tr>
            <w:tr w14:paraId="35610A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01" w:type="dxa"/>
                  <w:vAlign w:val="center"/>
                </w:tcPr>
                <w:p w14:paraId="73DD8B5A">
                  <w:pPr>
                    <w:widowControl/>
                    <w:adjustRightInd w:val="0"/>
                    <w:snapToGrid w:val="0"/>
                    <w:jc w:val="center"/>
                    <w:rPr>
                      <w:color w:val="auto"/>
                      <w:szCs w:val="21"/>
                      <w:highlight w:val="none"/>
                    </w:rPr>
                  </w:pPr>
                  <w:r>
                    <w:rPr>
                      <w:color w:val="auto"/>
                      <w:szCs w:val="21"/>
                      <w:highlight w:val="none"/>
                    </w:rPr>
                    <w:t>厂界</w:t>
                  </w:r>
                  <w:r>
                    <w:rPr>
                      <w:rFonts w:hint="eastAsia"/>
                      <w:color w:val="auto"/>
                      <w:szCs w:val="21"/>
                      <w:highlight w:val="none"/>
                    </w:rPr>
                    <w:t>四周</w:t>
                  </w:r>
                </w:p>
              </w:tc>
              <w:tc>
                <w:tcPr>
                  <w:tcW w:w="1531" w:type="dxa"/>
                  <w:vMerge w:val="restart"/>
                  <w:vAlign w:val="center"/>
                </w:tcPr>
                <w:p w14:paraId="67A29BF9">
                  <w:pPr>
                    <w:widowControl/>
                    <w:adjustRightInd w:val="0"/>
                    <w:snapToGrid w:val="0"/>
                    <w:jc w:val="center"/>
                    <w:rPr>
                      <w:color w:val="auto"/>
                      <w:szCs w:val="21"/>
                      <w:highlight w:val="none"/>
                    </w:rPr>
                  </w:pPr>
                  <w:r>
                    <w:rPr>
                      <w:color w:val="auto"/>
                      <w:szCs w:val="21"/>
                      <w:highlight w:val="none"/>
                    </w:rPr>
                    <w:t>昼间连续等效A声级</w:t>
                  </w:r>
                </w:p>
              </w:tc>
              <w:tc>
                <w:tcPr>
                  <w:tcW w:w="1215" w:type="dxa"/>
                  <w:vMerge w:val="restart"/>
                  <w:vAlign w:val="center"/>
                </w:tcPr>
                <w:p w14:paraId="0C1E0027">
                  <w:pPr>
                    <w:widowControl/>
                    <w:adjustRightInd w:val="0"/>
                    <w:snapToGrid w:val="0"/>
                    <w:jc w:val="center"/>
                    <w:rPr>
                      <w:color w:val="auto"/>
                      <w:szCs w:val="21"/>
                      <w:highlight w:val="none"/>
                    </w:rPr>
                  </w:pPr>
                  <w:r>
                    <w:rPr>
                      <w:rFonts w:hint="eastAsia"/>
                      <w:color w:val="auto"/>
                      <w:szCs w:val="21"/>
                      <w:highlight w:val="none"/>
                    </w:rPr>
                    <w:t>1次/</w:t>
                  </w:r>
                  <w:r>
                    <w:rPr>
                      <w:color w:val="auto"/>
                      <w:szCs w:val="21"/>
                      <w:highlight w:val="none"/>
                    </w:rPr>
                    <w:t>季度</w:t>
                  </w:r>
                </w:p>
              </w:tc>
              <w:tc>
                <w:tcPr>
                  <w:tcW w:w="3691" w:type="dxa"/>
                  <w:vAlign w:val="center"/>
                </w:tcPr>
                <w:p w14:paraId="5E1C3CDB">
                  <w:pPr>
                    <w:widowControl/>
                    <w:adjustRightInd w:val="0"/>
                    <w:snapToGrid w:val="0"/>
                    <w:jc w:val="center"/>
                    <w:rPr>
                      <w:color w:val="auto"/>
                      <w:szCs w:val="21"/>
                      <w:highlight w:val="none"/>
                    </w:rPr>
                  </w:pPr>
                  <w:r>
                    <w:rPr>
                      <w:color w:val="auto"/>
                      <w:szCs w:val="21"/>
                      <w:highlight w:val="none"/>
                    </w:rPr>
                    <w:t>《工业企业厂界环境噪声排放标准》（GB12348-2008）3类标准限值</w:t>
                  </w:r>
                </w:p>
              </w:tc>
            </w:tr>
            <w:tr w14:paraId="2CDB5E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01" w:type="dxa"/>
                  <w:vAlign w:val="center"/>
                </w:tcPr>
                <w:p w14:paraId="16927A46">
                  <w:pPr>
                    <w:keepNext w:val="0"/>
                    <w:keepLines w:val="0"/>
                    <w:widowControl/>
                    <w:suppressLineNumbers w:val="0"/>
                    <w:spacing w:before="0" w:beforeAutospacing="0" w:after="0" w:afterAutospacing="0"/>
                    <w:ind w:left="0" w:leftChars="0" w:right="0" w:rightChars="0"/>
                    <w:jc w:val="center"/>
                    <w:textAlignment w:val="center"/>
                    <w:rPr>
                      <w:color w:val="auto"/>
                      <w:szCs w:val="21"/>
                      <w:highlight w:val="none"/>
                    </w:rPr>
                  </w:pPr>
                  <w:r>
                    <w:rPr>
                      <w:rFonts w:hint="eastAsia" w:cs="Times New Roman"/>
                      <w:i w:val="0"/>
                      <w:iCs w:val="0"/>
                      <w:color w:val="auto"/>
                      <w:kern w:val="0"/>
                      <w:sz w:val="21"/>
                      <w:szCs w:val="21"/>
                      <w:highlight w:val="none"/>
                      <w:u w:val="none"/>
                      <w:lang w:val="en-US" w:eastAsia="zh-CN" w:bidi="ar"/>
                    </w:rPr>
                    <w:t>曹葛庄</w:t>
                  </w:r>
                </w:p>
              </w:tc>
              <w:tc>
                <w:tcPr>
                  <w:tcW w:w="1531" w:type="dxa"/>
                  <w:vMerge w:val="continue"/>
                  <w:vAlign w:val="center"/>
                </w:tcPr>
                <w:p w14:paraId="41E79BCE">
                  <w:pPr>
                    <w:widowControl/>
                    <w:adjustRightInd w:val="0"/>
                    <w:snapToGrid w:val="0"/>
                    <w:jc w:val="center"/>
                    <w:rPr>
                      <w:color w:val="auto"/>
                      <w:szCs w:val="21"/>
                      <w:highlight w:val="none"/>
                    </w:rPr>
                  </w:pPr>
                </w:p>
              </w:tc>
              <w:tc>
                <w:tcPr>
                  <w:tcW w:w="1215" w:type="dxa"/>
                  <w:vMerge w:val="continue"/>
                  <w:vAlign w:val="center"/>
                </w:tcPr>
                <w:p w14:paraId="35465D22">
                  <w:pPr>
                    <w:widowControl/>
                    <w:adjustRightInd w:val="0"/>
                    <w:snapToGrid w:val="0"/>
                    <w:jc w:val="center"/>
                    <w:rPr>
                      <w:rFonts w:hint="eastAsia"/>
                      <w:color w:val="auto"/>
                      <w:szCs w:val="21"/>
                      <w:highlight w:val="none"/>
                    </w:rPr>
                  </w:pPr>
                </w:p>
              </w:tc>
              <w:tc>
                <w:tcPr>
                  <w:tcW w:w="3691" w:type="dxa"/>
                  <w:vMerge w:val="restart"/>
                  <w:vAlign w:val="center"/>
                </w:tcPr>
                <w:p w14:paraId="700A7F5E">
                  <w:pPr>
                    <w:widowControl/>
                    <w:adjustRightInd w:val="0"/>
                    <w:snapToGrid w:val="0"/>
                    <w:jc w:val="center"/>
                    <w:rPr>
                      <w:color w:val="auto"/>
                      <w:szCs w:val="21"/>
                      <w:highlight w:val="none"/>
                    </w:rPr>
                  </w:pPr>
                  <w:r>
                    <w:rPr>
                      <w:sz w:val="21"/>
                      <w:szCs w:val="21"/>
                    </w:rPr>
                    <w:t>《声环境质量标准》（GB3096-2008）2类标准</w:t>
                  </w:r>
                </w:p>
              </w:tc>
            </w:tr>
            <w:tr w14:paraId="19AC5C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01" w:type="dxa"/>
                  <w:vAlign w:val="center"/>
                </w:tcPr>
                <w:p w14:paraId="1B9F2875">
                  <w:pPr>
                    <w:keepNext w:val="0"/>
                    <w:keepLines w:val="0"/>
                    <w:widowControl/>
                    <w:suppressLineNumbers w:val="0"/>
                    <w:spacing w:before="0" w:beforeAutospacing="0" w:after="0" w:afterAutospacing="0"/>
                    <w:ind w:left="0" w:leftChars="0" w:right="0" w:rightChars="0"/>
                    <w:jc w:val="center"/>
                    <w:textAlignment w:val="center"/>
                    <w:rPr>
                      <w:color w:val="auto"/>
                      <w:szCs w:val="21"/>
                      <w:highlight w:val="none"/>
                    </w:rPr>
                  </w:pPr>
                  <w:r>
                    <w:rPr>
                      <w:rFonts w:hint="eastAsia" w:cs="Times New Roman"/>
                      <w:i w:val="0"/>
                      <w:iCs w:val="0"/>
                      <w:color w:val="auto"/>
                      <w:kern w:val="0"/>
                      <w:sz w:val="21"/>
                      <w:szCs w:val="21"/>
                      <w:highlight w:val="none"/>
                      <w:u w:val="none"/>
                      <w:lang w:val="en-US" w:eastAsia="zh-CN" w:bidi="ar"/>
                    </w:rPr>
                    <w:t>丽舍名都幼儿园</w:t>
                  </w:r>
                </w:p>
              </w:tc>
              <w:tc>
                <w:tcPr>
                  <w:tcW w:w="1531" w:type="dxa"/>
                  <w:vMerge w:val="continue"/>
                  <w:vAlign w:val="center"/>
                </w:tcPr>
                <w:p w14:paraId="6FA3C230">
                  <w:pPr>
                    <w:widowControl/>
                    <w:adjustRightInd w:val="0"/>
                    <w:snapToGrid w:val="0"/>
                    <w:jc w:val="center"/>
                    <w:rPr>
                      <w:color w:val="auto"/>
                      <w:szCs w:val="21"/>
                      <w:highlight w:val="none"/>
                    </w:rPr>
                  </w:pPr>
                </w:p>
              </w:tc>
              <w:tc>
                <w:tcPr>
                  <w:tcW w:w="1215" w:type="dxa"/>
                  <w:vMerge w:val="continue"/>
                  <w:vAlign w:val="center"/>
                </w:tcPr>
                <w:p w14:paraId="58A0DCA1">
                  <w:pPr>
                    <w:widowControl/>
                    <w:adjustRightInd w:val="0"/>
                    <w:snapToGrid w:val="0"/>
                    <w:jc w:val="center"/>
                    <w:rPr>
                      <w:rFonts w:hint="eastAsia"/>
                      <w:color w:val="auto"/>
                      <w:szCs w:val="21"/>
                      <w:highlight w:val="none"/>
                    </w:rPr>
                  </w:pPr>
                </w:p>
              </w:tc>
              <w:tc>
                <w:tcPr>
                  <w:tcW w:w="3691" w:type="dxa"/>
                  <w:vMerge w:val="continue"/>
                  <w:vAlign w:val="center"/>
                </w:tcPr>
                <w:p w14:paraId="4489B7BA">
                  <w:pPr>
                    <w:widowControl/>
                    <w:adjustRightInd w:val="0"/>
                    <w:snapToGrid w:val="0"/>
                    <w:jc w:val="center"/>
                    <w:rPr>
                      <w:color w:val="auto"/>
                      <w:szCs w:val="21"/>
                      <w:highlight w:val="none"/>
                    </w:rPr>
                  </w:pPr>
                </w:p>
              </w:tc>
            </w:tr>
          </w:tbl>
          <w:p w14:paraId="4F101A84">
            <w:pPr>
              <w:spacing w:line="360" w:lineRule="auto"/>
              <w:ind w:firstLine="422" w:firstLineChars="200"/>
              <w:rPr>
                <w:b/>
                <w:bCs/>
                <w:color w:val="auto"/>
                <w:szCs w:val="21"/>
                <w:highlight w:val="none"/>
              </w:rPr>
            </w:pPr>
            <w:r>
              <w:rPr>
                <w:rFonts w:hint="eastAsia"/>
                <w:b/>
                <w:bCs/>
                <w:color w:val="auto"/>
                <w:szCs w:val="21"/>
                <w:highlight w:val="none"/>
              </w:rPr>
              <w:t>四、运营期固体废物环境影响及保护措施</w:t>
            </w:r>
          </w:p>
          <w:p w14:paraId="3FC61899">
            <w:pPr>
              <w:spacing w:line="360" w:lineRule="auto"/>
              <w:ind w:firstLine="422" w:firstLineChars="200"/>
              <w:rPr>
                <w:b/>
                <w:bCs/>
                <w:color w:val="auto"/>
                <w:szCs w:val="21"/>
                <w:highlight w:val="none"/>
              </w:rPr>
            </w:pPr>
            <w:r>
              <w:rPr>
                <w:rFonts w:hint="eastAsia"/>
                <w:b/>
                <w:bCs/>
                <w:color w:val="auto"/>
                <w:szCs w:val="21"/>
                <w:highlight w:val="none"/>
              </w:rPr>
              <w:t>4.1</w:t>
            </w:r>
            <w:r>
              <w:rPr>
                <w:b/>
                <w:bCs/>
                <w:color w:val="auto"/>
                <w:szCs w:val="21"/>
                <w:highlight w:val="none"/>
              </w:rPr>
              <w:t xml:space="preserve"> </w:t>
            </w:r>
            <w:r>
              <w:rPr>
                <w:rFonts w:hint="eastAsia"/>
                <w:b/>
                <w:bCs/>
                <w:color w:val="auto"/>
                <w:szCs w:val="21"/>
                <w:highlight w:val="none"/>
              </w:rPr>
              <w:t>固体废物产生及处置情况</w:t>
            </w:r>
          </w:p>
          <w:p w14:paraId="6EE0D980">
            <w:pPr>
              <w:spacing w:line="360" w:lineRule="auto"/>
              <w:ind w:firstLine="420" w:firstLineChars="200"/>
              <w:rPr>
                <w:color w:val="auto"/>
                <w:szCs w:val="21"/>
                <w:highlight w:val="none"/>
              </w:rPr>
            </w:pPr>
            <w:r>
              <w:rPr>
                <w:rFonts w:hint="eastAsia"/>
                <w:color w:val="auto"/>
                <w:szCs w:val="21"/>
                <w:highlight w:val="none"/>
              </w:rPr>
              <w:t>本项目营运期副产物产生情况如下：</w:t>
            </w:r>
          </w:p>
          <w:p w14:paraId="0FB4C56C">
            <w:pPr>
              <w:numPr>
                <w:ilvl w:val="0"/>
                <w:numId w:val="0"/>
              </w:numPr>
              <w:spacing w:line="360" w:lineRule="auto"/>
              <w:ind w:firstLine="420" w:firstLineChars="200"/>
              <w:rPr>
                <w:rFonts w:hint="eastAsia" w:eastAsia="宋体"/>
                <w:color w:val="auto"/>
                <w:szCs w:val="21"/>
                <w:highlight w:val="none"/>
                <w:lang w:eastAsia="zh-CN"/>
              </w:rPr>
            </w:pPr>
            <w:r>
              <w:rPr>
                <w:rFonts w:hint="eastAsia"/>
                <w:color w:val="auto"/>
                <w:szCs w:val="21"/>
                <w:highlight w:val="none"/>
                <w:lang w:val="en-US" w:eastAsia="zh-CN"/>
              </w:rPr>
              <w:t>（1）槽渣</w:t>
            </w:r>
            <w:r>
              <w:rPr>
                <w:rFonts w:hint="eastAsia"/>
                <w:color w:val="auto"/>
                <w:szCs w:val="21"/>
                <w:highlight w:val="none"/>
                <w:lang w:eastAsia="zh-CN"/>
              </w:rPr>
              <w:t>：</w:t>
            </w:r>
            <w:r>
              <w:rPr>
                <w:color w:val="auto"/>
                <w:highlight w:val="none"/>
              </w:rPr>
              <w:t>本项目</w:t>
            </w:r>
            <w:r>
              <w:rPr>
                <w:rFonts w:hint="eastAsia"/>
                <w:color w:val="auto"/>
                <w:highlight w:val="none"/>
                <w:lang w:val="en-US" w:eastAsia="zh-CN"/>
              </w:rPr>
              <w:t>预脱脂、脱脂、表调、皮膜工序需定期清理槽渣，槽渣</w:t>
            </w:r>
            <w:r>
              <w:rPr>
                <w:color w:val="auto"/>
                <w:highlight w:val="none"/>
              </w:rPr>
              <w:t>产生</w:t>
            </w:r>
            <w:r>
              <w:rPr>
                <w:rFonts w:hint="eastAsia"/>
                <w:color w:val="auto"/>
                <w:highlight w:val="none"/>
                <w:lang w:val="en-US" w:eastAsia="zh-CN"/>
              </w:rPr>
              <w:t>量约为0.5t/a，</w:t>
            </w:r>
            <w:r>
              <w:rPr>
                <w:rFonts w:hint="eastAsia"/>
                <w:color w:val="auto"/>
                <w:szCs w:val="21"/>
                <w:highlight w:val="none"/>
                <w:lang w:val="en-US" w:eastAsia="zh-CN"/>
              </w:rPr>
              <w:t>根据</w:t>
            </w:r>
            <w:r>
              <w:rPr>
                <w:rFonts w:hint="eastAsia"/>
                <w:color w:val="auto"/>
                <w:szCs w:val="21"/>
                <w:highlight w:val="none"/>
              </w:rPr>
              <w:t>《国家危险废物名录》（2021年版），</w:t>
            </w:r>
            <w:r>
              <w:rPr>
                <w:rFonts w:hint="eastAsia"/>
                <w:color w:val="auto"/>
                <w:szCs w:val="21"/>
                <w:highlight w:val="none"/>
                <w:lang w:val="en-US" w:eastAsia="zh-CN"/>
              </w:rPr>
              <w:t>槽渣</w:t>
            </w:r>
            <w:r>
              <w:rPr>
                <w:rFonts w:hint="eastAsia"/>
                <w:color w:val="auto"/>
                <w:szCs w:val="21"/>
                <w:highlight w:val="none"/>
              </w:rPr>
              <w:t>属于“HW</w:t>
            </w:r>
            <w:r>
              <w:rPr>
                <w:rFonts w:hint="eastAsia"/>
                <w:color w:val="auto"/>
                <w:szCs w:val="21"/>
                <w:highlight w:val="none"/>
                <w:lang w:val="en-US" w:eastAsia="zh-CN"/>
              </w:rPr>
              <w:t>17</w:t>
            </w:r>
            <w:r>
              <w:rPr>
                <w:rFonts w:hint="eastAsia"/>
                <w:color w:val="auto"/>
                <w:szCs w:val="21"/>
                <w:highlight w:val="none"/>
              </w:rPr>
              <w:t>”类危险废物</w:t>
            </w:r>
            <w:r>
              <w:rPr>
                <w:rFonts w:hint="eastAsia"/>
                <w:color w:val="auto"/>
                <w:szCs w:val="21"/>
                <w:highlight w:val="none"/>
                <w:lang w:eastAsia="zh-CN"/>
              </w:rPr>
              <w:t>，</w:t>
            </w:r>
            <w:r>
              <w:rPr>
                <w:rFonts w:hint="eastAsia"/>
                <w:color w:val="auto"/>
                <w:szCs w:val="21"/>
                <w:lang w:val="en-US" w:eastAsia="zh-CN"/>
              </w:rPr>
              <w:t>代码为336-064-17，</w:t>
            </w:r>
            <w:r>
              <w:rPr>
                <w:rFonts w:hint="eastAsia"/>
                <w:color w:val="auto"/>
                <w:szCs w:val="22"/>
                <w:highlight w:val="none"/>
              </w:rPr>
              <w:t>定期委托有资质单位处理</w:t>
            </w:r>
            <w:r>
              <w:rPr>
                <w:color w:val="auto"/>
                <w:highlight w:val="none"/>
              </w:rPr>
              <w:t>。</w:t>
            </w:r>
          </w:p>
          <w:p w14:paraId="7DC55729">
            <w:pPr>
              <w:numPr>
                <w:ilvl w:val="0"/>
                <w:numId w:val="0"/>
              </w:numPr>
              <w:spacing w:line="360" w:lineRule="auto"/>
              <w:ind w:firstLine="420" w:firstLineChars="200"/>
              <w:rPr>
                <w:rFonts w:hint="eastAsia"/>
                <w:color w:val="auto"/>
                <w:highlight w:val="none"/>
              </w:rPr>
            </w:pPr>
            <w:r>
              <w:rPr>
                <w:rFonts w:hint="eastAsia"/>
                <w:color w:val="auto"/>
                <w:szCs w:val="21"/>
                <w:highlight w:val="none"/>
                <w:lang w:val="en-US" w:eastAsia="zh-CN"/>
              </w:rPr>
              <w:t>（2）收集的粉尘</w:t>
            </w:r>
            <w:r>
              <w:rPr>
                <w:rFonts w:hint="eastAsia"/>
                <w:color w:val="auto"/>
                <w:szCs w:val="21"/>
                <w:highlight w:val="none"/>
                <w:lang w:eastAsia="zh-CN"/>
              </w:rPr>
              <w:t>：</w:t>
            </w:r>
            <w:r>
              <w:rPr>
                <w:rFonts w:hint="eastAsia"/>
                <w:color w:val="auto"/>
                <w:szCs w:val="21"/>
                <w:highlight w:val="none"/>
                <w:lang w:val="en-US" w:eastAsia="zh-CN"/>
              </w:rPr>
              <w:t>本项目收集粉尘主要包括粉末回收装置收集的塑粉、收集车间地面自然沉降的粉尘，根据工程分析粉末回收装置收集的塑粉约10.1574t/a</w:t>
            </w:r>
            <w:r>
              <w:rPr>
                <w:rFonts w:hint="eastAsia"/>
                <w:lang w:eastAsia="zh-CN"/>
              </w:rPr>
              <w:t>，</w:t>
            </w:r>
            <w:r>
              <w:rPr>
                <w:rFonts w:hint="eastAsia"/>
                <w:color w:val="auto"/>
                <w:szCs w:val="21"/>
                <w:highlight w:val="none"/>
                <w:lang w:val="en-US" w:eastAsia="zh-CN"/>
              </w:rPr>
              <w:t>回用于喷塑工序；收集车间地面自然沉降的粉尘量约为0.378t/a</w:t>
            </w:r>
            <w:r>
              <w:rPr>
                <w:rFonts w:hint="eastAsia"/>
                <w:color w:val="auto"/>
                <w:highlight w:val="none"/>
                <w:lang w:eastAsia="zh-CN"/>
              </w:rPr>
              <w:t>，</w:t>
            </w:r>
            <w:r>
              <w:rPr>
                <w:rFonts w:hint="eastAsia"/>
                <w:color w:val="auto"/>
                <w:sz w:val="21"/>
                <w:szCs w:val="21"/>
                <w:lang w:val="en-US" w:eastAsia="zh-CN"/>
              </w:rPr>
              <w:t>回用于喷塑工序</w:t>
            </w:r>
            <w:r>
              <w:rPr>
                <w:rFonts w:hint="eastAsia"/>
                <w:color w:val="auto"/>
                <w:highlight w:val="none"/>
              </w:rPr>
              <w:t>。</w:t>
            </w:r>
          </w:p>
          <w:p w14:paraId="238094D8">
            <w:pPr>
              <w:keepNext w:val="0"/>
              <w:keepLines w:val="0"/>
              <w:numPr>
                <w:ilvl w:val="0"/>
                <w:numId w:val="0"/>
              </w:numPr>
              <w:suppressLineNumbers w:val="0"/>
              <w:spacing w:before="0" w:beforeAutospacing="0" w:after="0" w:afterAutospacing="0" w:line="360" w:lineRule="auto"/>
              <w:ind w:left="0" w:right="0" w:firstLine="420" w:firstLineChars="200"/>
              <w:rPr>
                <w:rFonts w:hint="eastAsia"/>
                <w:color w:val="auto"/>
                <w:highlight w:val="none"/>
              </w:rPr>
            </w:pPr>
            <w:r>
              <w:rPr>
                <w:rFonts w:hint="eastAsia"/>
                <w:color w:val="auto"/>
                <w:szCs w:val="21"/>
                <w:highlight w:val="none"/>
                <w:lang w:val="en-US" w:eastAsia="zh-CN"/>
              </w:rPr>
              <w:t>（3）废布袋</w:t>
            </w:r>
            <w:r>
              <w:rPr>
                <w:rFonts w:hint="eastAsia"/>
                <w:color w:val="auto"/>
                <w:szCs w:val="21"/>
                <w:highlight w:val="none"/>
                <w:lang w:eastAsia="zh-CN"/>
              </w:rPr>
              <w:t>：</w:t>
            </w:r>
            <w:r>
              <w:rPr>
                <w:color w:val="auto"/>
                <w:highlight w:val="none"/>
              </w:rPr>
              <w:t>本项目布袋除尘器布袋每年更换一次，约0.</w:t>
            </w:r>
            <w:r>
              <w:rPr>
                <w:rFonts w:hint="eastAsia"/>
                <w:color w:val="auto"/>
                <w:highlight w:val="none"/>
                <w:lang w:val="en-US" w:eastAsia="zh-CN"/>
              </w:rPr>
              <w:t>05</w:t>
            </w:r>
            <w:r>
              <w:rPr>
                <w:color w:val="auto"/>
                <w:highlight w:val="none"/>
              </w:rPr>
              <w:t>t，</w:t>
            </w:r>
            <w:r>
              <w:rPr>
                <w:rFonts w:hint="eastAsia"/>
                <w:color w:val="auto"/>
                <w:sz w:val="21"/>
                <w:szCs w:val="21"/>
                <w:lang w:val="en-US" w:eastAsia="zh-CN"/>
              </w:rPr>
              <w:t>根据《国家危险废物名录》（2021版）判定</w:t>
            </w:r>
            <w:r>
              <w:rPr>
                <w:rFonts w:hint="eastAsia"/>
                <w:color w:val="auto"/>
                <w:sz w:val="21"/>
                <w:szCs w:val="21"/>
                <w:highlight w:val="none"/>
                <w:lang w:val="en-US" w:eastAsia="zh-CN"/>
              </w:rPr>
              <w:t>废布袋</w:t>
            </w:r>
            <w:r>
              <w:rPr>
                <w:rFonts w:hint="eastAsia"/>
                <w:color w:val="auto"/>
                <w:sz w:val="21"/>
                <w:szCs w:val="21"/>
                <w:lang w:val="en-US" w:eastAsia="zh-CN"/>
              </w:rPr>
              <w:t>属于</w:t>
            </w:r>
            <w:r>
              <w:rPr>
                <w:rFonts w:hint="eastAsia"/>
                <w:color w:val="auto"/>
                <w:sz w:val="21"/>
                <w:szCs w:val="21"/>
                <w:highlight w:val="none"/>
              </w:rPr>
              <w:t>“HW</w:t>
            </w:r>
            <w:r>
              <w:rPr>
                <w:rFonts w:hint="eastAsia"/>
                <w:color w:val="auto"/>
                <w:sz w:val="21"/>
                <w:szCs w:val="21"/>
                <w:highlight w:val="none"/>
                <w:lang w:val="en-US" w:eastAsia="zh-CN"/>
              </w:rPr>
              <w:t>49</w:t>
            </w:r>
            <w:r>
              <w:rPr>
                <w:rFonts w:hint="eastAsia"/>
                <w:color w:val="auto"/>
                <w:sz w:val="21"/>
                <w:szCs w:val="21"/>
                <w:highlight w:val="none"/>
              </w:rPr>
              <w:t>”类危险废物</w:t>
            </w:r>
            <w:r>
              <w:rPr>
                <w:rFonts w:hint="eastAsia"/>
                <w:color w:val="auto"/>
                <w:sz w:val="21"/>
                <w:szCs w:val="21"/>
                <w:lang w:val="en-US" w:eastAsia="zh-CN"/>
              </w:rPr>
              <w:t>，代码为900-041-49；集中收集后委托有资质单位处理</w:t>
            </w:r>
            <w:r>
              <w:rPr>
                <w:rFonts w:hint="eastAsia"/>
                <w:color w:val="auto"/>
                <w:highlight w:val="none"/>
              </w:rPr>
              <w:t>。</w:t>
            </w:r>
          </w:p>
          <w:p w14:paraId="44EA77EE">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lang w:val="en-US" w:eastAsia="zh-CN"/>
              </w:rPr>
              <w:t>（4）废活性炭：</w:t>
            </w:r>
            <w:r>
              <w:rPr>
                <w:rFonts w:hint="eastAsia"/>
                <w:color w:val="auto"/>
                <w:szCs w:val="21"/>
                <w:highlight w:val="none"/>
              </w:rPr>
              <w:t>本项目</w:t>
            </w:r>
            <w:r>
              <w:rPr>
                <w:rFonts w:hint="eastAsia"/>
                <w:color w:val="auto"/>
                <w:szCs w:val="21"/>
                <w:highlight w:val="none"/>
                <w:lang w:val="en-US" w:eastAsia="zh-CN"/>
              </w:rPr>
              <w:t>固化废气采用采用二级活性炭吸附装置进行处理</w:t>
            </w:r>
            <w:r>
              <w:rPr>
                <w:rFonts w:hint="eastAsia"/>
                <w:color w:val="auto"/>
                <w:szCs w:val="21"/>
                <w:highlight w:val="none"/>
              </w:rPr>
              <w:t>，装置使用</w:t>
            </w:r>
            <w:r>
              <w:rPr>
                <w:rFonts w:hint="eastAsia"/>
                <w:color w:val="auto"/>
                <w:szCs w:val="21"/>
                <w:highlight w:val="none"/>
                <w:lang w:val="en-US" w:eastAsia="zh-CN"/>
              </w:rPr>
              <w:t>蜂窝</w:t>
            </w:r>
            <w:r>
              <w:rPr>
                <w:rFonts w:hint="eastAsia"/>
                <w:color w:val="auto"/>
                <w:szCs w:val="21"/>
                <w:highlight w:val="none"/>
              </w:rPr>
              <w:t>活性炭（</w:t>
            </w:r>
            <w:r>
              <w:rPr>
                <w:rFonts w:hint="eastAsia"/>
                <w:color w:val="auto"/>
                <w:szCs w:val="21"/>
                <w:highlight w:val="none"/>
                <w:lang w:val="en-US" w:eastAsia="zh-CN"/>
              </w:rPr>
              <w:t>总</w:t>
            </w:r>
            <w:r>
              <w:rPr>
                <w:rFonts w:hint="eastAsia"/>
                <w:color w:val="auto"/>
                <w:szCs w:val="21"/>
                <w:highlight w:val="none"/>
              </w:rPr>
              <w:t>填充量为</w:t>
            </w:r>
            <w:r>
              <w:rPr>
                <w:rFonts w:hint="eastAsia"/>
                <w:color w:val="auto"/>
                <w:szCs w:val="21"/>
                <w:highlight w:val="none"/>
                <w:lang w:val="en-US" w:eastAsia="zh-CN"/>
              </w:rPr>
              <w:t>0.7t</w:t>
            </w:r>
            <w:r>
              <w:rPr>
                <w:rFonts w:hint="eastAsia"/>
                <w:color w:val="auto"/>
                <w:szCs w:val="21"/>
                <w:highlight w:val="none"/>
              </w:rPr>
              <w:t>），活性炭定期更换，更换周期计算公式如下：</w:t>
            </w:r>
          </w:p>
          <w:p w14:paraId="7803C2EE">
            <w:pPr>
              <w:keepNext w:val="0"/>
              <w:keepLines w:val="0"/>
              <w:suppressLineNumbers w:val="0"/>
              <w:spacing w:before="0" w:beforeAutospacing="0" w:after="0" w:afterAutospacing="0" w:line="360" w:lineRule="auto"/>
              <w:ind w:left="0" w:right="0" w:firstLine="420" w:firstLineChars="200"/>
              <w:jc w:val="center"/>
              <w:rPr>
                <w:color w:val="auto"/>
                <w:szCs w:val="21"/>
                <w:highlight w:val="none"/>
              </w:rPr>
            </w:pPr>
            <w:r>
              <w:rPr>
                <w:rFonts w:hint="eastAsia"/>
                <w:color w:val="auto"/>
                <w:szCs w:val="21"/>
                <w:highlight w:val="none"/>
              </w:rPr>
              <w:object>
                <v:shape id="_x0000_i1030" o:spt="75" type="#_x0000_t75" style="height:18pt;width:122.2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p>
          <w:p w14:paraId="5634FA6C">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式中：</w:t>
            </w:r>
          </w:p>
          <w:p w14:paraId="52340A9E">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T—更换周期，天；</w:t>
            </w:r>
          </w:p>
          <w:p w14:paraId="2AD984EC">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m—活性炭的用量，kg；（本项目活性炭的用量m为</w:t>
            </w:r>
            <w:r>
              <w:rPr>
                <w:rFonts w:hint="eastAsia"/>
                <w:color w:val="auto"/>
                <w:szCs w:val="21"/>
                <w:highlight w:val="none"/>
                <w:lang w:val="en-US" w:eastAsia="zh-CN"/>
              </w:rPr>
              <w:t>700</w:t>
            </w:r>
            <w:r>
              <w:rPr>
                <w:rFonts w:hint="eastAsia"/>
                <w:color w:val="auto"/>
                <w:szCs w:val="21"/>
                <w:highlight w:val="none"/>
              </w:rPr>
              <w:t>）</w:t>
            </w:r>
          </w:p>
          <w:p w14:paraId="083ACB73">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s—动态吸附量，%；（一般取值10%）</w:t>
            </w:r>
          </w:p>
          <w:p w14:paraId="58B43842">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c—活性炭削减的VOCs浓度，mg/m</w:t>
            </w:r>
            <w:r>
              <w:rPr>
                <w:rFonts w:hint="eastAsia"/>
                <w:color w:val="auto"/>
                <w:szCs w:val="21"/>
                <w:highlight w:val="none"/>
                <w:vertAlign w:val="superscript"/>
              </w:rPr>
              <w:t>3</w:t>
            </w:r>
            <w:r>
              <w:rPr>
                <w:rFonts w:hint="eastAsia"/>
                <w:color w:val="auto"/>
                <w:szCs w:val="21"/>
                <w:highlight w:val="none"/>
              </w:rPr>
              <w:t>；（本项目c为</w:t>
            </w:r>
            <w:r>
              <w:rPr>
                <w:rFonts w:hint="eastAsia"/>
                <w:color w:val="auto"/>
                <w:szCs w:val="21"/>
                <w:highlight w:val="none"/>
                <w:lang w:val="en-US" w:eastAsia="zh-CN"/>
              </w:rPr>
              <w:t>1.23</w:t>
            </w:r>
            <w:r>
              <w:rPr>
                <w:rFonts w:hint="eastAsia"/>
                <w:color w:val="auto"/>
                <w:szCs w:val="21"/>
                <w:highlight w:val="none"/>
              </w:rPr>
              <w:t>）</w:t>
            </w:r>
          </w:p>
          <w:p w14:paraId="678D576D">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Q—风量，单位m</w:t>
            </w:r>
            <w:r>
              <w:rPr>
                <w:rFonts w:hint="eastAsia"/>
                <w:color w:val="auto"/>
                <w:szCs w:val="21"/>
                <w:highlight w:val="none"/>
                <w:vertAlign w:val="superscript"/>
              </w:rPr>
              <w:t>3</w:t>
            </w:r>
            <w:r>
              <w:rPr>
                <w:rFonts w:hint="eastAsia"/>
                <w:color w:val="auto"/>
                <w:szCs w:val="21"/>
                <w:highlight w:val="none"/>
              </w:rPr>
              <w:t>/h；（本项目Q为</w:t>
            </w:r>
            <w:r>
              <w:rPr>
                <w:rFonts w:hint="eastAsia"/>
                <w:color w:val="auto"/>
                <w:szCs w:val="21"/>
                <w:highlight w:val="none"/>
                <w:lang w:val="en-US" w:eastAsia="zh-CN"/>
              </w:rPr>
              <w:t>10000</w:t>
            </w:r>
            <w:r>
              <w:rPr>
                <w:rFonts w:hint="eastAsia"/>
                <w:color w:val="auto"/>
                <w:szCs w:val="21"/>
                <w:highlight w:val="none"/>
              </w:rPr>
              <w:t>）</w:t>
            </w:r>
          </w:p>
          <w:p w14:paraId="36829D16">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rFonts w:hint="eastAsia"/>
                <w:color w:val="auto"/>
                <w:szCs w:val="21"/>
                <w:highlight w:val="none"/>
              </w:rPr>
              <w:t>t—运行时间，单位h/d。（本项目t为</w:t>
            </w:r>
            <w:r>
              <w:rPr>
                <w:rFonts w:hint="eastAsia"/>
                <w:color w:val="auto"/>
                <w:szCs w:val="21"/>
                <w:highlight w:val="none"/>
                <w:lang w:val="en-US" w:eastAsia="zh-CN"/>
              </w:rPr>
              <w:t>10</w:t>
            </w:r>
            <w:r>
              <w:rPr>
                <w:rFonts w:hint="eastAsia"/>
                <w:color w:val="auto"/>
                <w:szCs w:val="21"/>
                <w:highlight w:val="none"/>
              </w:rPr>
              <w:t>）</w:t>
            </w:r>
          </w:p>
          <w:p w14:paraId="6BB93F8A">
            <w:pPr>
              <w:keepNext w:val="0"/>
              <w:keepLines w:val="0"/>
              <w:suppressLineNumbers w:val="0"/>
              <w:spacing w:before="0" w:beforeAutospacing="0" w:after="0" w:afterAutospacing="0" w:line="360" w:lineRule="auto"/>
              <w:ind w:left="0" w:right="0" w:firstLine="420" w:firstLineChars="200"/>
              <w:rPr>
                <w:rFonts w:hint="eastAsia"/>
                <w:color w:val="auto"/>
                <w:szCs w:val="21"/>
                <w:highlight w:val="none"/>
              </w:rPr>
            </w:pPr>
            <w:r>
              <w:rPr>
                <w:rFonts w:hint="eastAsia"/>
                <w:color w:val="auto"/>
                <w:szCs w:val="21"/>
                <w:highlight w:val="none"/>
              </w:rPr>
              <w:t>计算得更换周期为</w:t>
            </w:r>
            <w:r>
              <w:rPr>
                <w:rFonts w:hint="eastAsia"/>
                <w:color w:val="auto"/>
                <w:szCs w:val="21"/>
                <w:highlight w:val="none"/>
                <w:lang w:val="en-US" w:eastAsia="zh-CN"/>
              </w:rPr>
              <w:t>569</w:t>
            </w:r>
            <w:r>
              <w:rPr>
                <w:rFonts w:hint="eastAsia"/>
                <w:color w:val="auto"/>
                <w:szCs w:val="21"/>
                <w:highlight w:val="none"/>
              </w:rPr>
              <w:t>天，</w:t>
            </w:r>
            <w:r>
              <w:rPr>
                <w:rFonts w:hint="eastAsia"/>
                <w:color w:val="auto"/>
                <w:szCs w:val="21"/>
                <w:highlight w:val="none"/>
                <w:lang w:val="en-US" w:eastAsia="zh-CN"/>
              </w:rPr>
              <w:t>根据《省生态环境厅关于深入开展涉VOCs治理工作核查的通知》（苏环办</w:t>
            </w:r>
            <w:r>
              <w:rPr>
                <w:rFonts w:hint="eastAsia"/>
                <w:color w:val="auto"/>
                <w:szCs w:val="21"/>
                <w:highlight w:val="none"/>
              </w:rPr>
              <w:t>〔202</w:t>
            </w:r>
            <w:r>
              <w:rPr>
                <w:rFonts w:hint="eastAsia"/>
                <w:color w:val="auto"/>
                <w:szCs w:val="21"/>
                <w:highlight w:val="none"/>
                <w:lang w:val="en-US" w:eastAsia="zh-CN"/>
              </w:rPr>
              <w:t>2</w:t>
            </w:r>
            <w:r>
              <w:rPr>
                <w:rFonts w:hint="eastAsia"/>
                <w:color w:val="auto"/>
                <w:szCs w:val="21"/>
                <w:highlight w:val="none"/>
              </w:rPr>
              <w:t>〕</w:t>
            </w:r>
            <w:r>
              <w:rPr>
                <w:rFonts w:hint="eastAsia"/>
                <w:color w:val="auto"/>
                <w:szCs w:val="21"/>
                <w:highlight w:val="none"/>
                <w:lang w:val="en-US" w:eastAsia="zh-CN"/>
              </w:rPr>
              <w:t>218号）要求活性炭更换周期一般不应超过累计运行500小时或3个月，本项目活性炭更换周期定为2个月。</w:t>
            </w:r>
            <w:r>
              <w:rPr>
                <w:rFonts w:hint="eastAsia"/>
                <w:color w:val="auto"/>
                <w:szCs w:val="21"/>
                <w:highlight w:val="none"/>
              </w:rPr>
              <w:t>则活性炭用量约为</w:t>
            </w:r>
            <w:r>
              <w:rPr>
                <w:rFonts w:hint="eastAsia"/>
                <w:color w:val="auto"/>
                <w:szCs w:val="21"/>
                <w:highlight w:val="none"/>
                <w:lang w:val="en-US" w:eastAsia="zh-CN"/>
              </w:rPr>
              <w:t>4.2</w:t>
            </w:r>
            <w:r>
              <w:rPr>
                <w:rFonts w:hint="eastAsia"/>
                <w:color w:val="auto"/>
                <w:szCs w:val="21"/>
                <w:highlight w:val="none"/>
              </w:rPr>
              <w:t>t/a，处理有机废气量约为</w:t>
            </w:r>
            <w:r>
              <w:rPr>
                <w:rFonts w:hint="eastAsia"/>
                <w:color w:val="auto"/>
                <w:szCs w:val="21"/>
                <w:highlight w:val="none"/>
                <w:lang w:val="en-US" w:eastAsia="zh-CN"/>
              </w:rPr>
              <w:t>0.0369</w:t>
            </w:r>
            <w:r>
              <w:rPr>
                <w:rFonts w:hint="eastAsia"/>
                <w:color w:val="auto"/>
                <w:szCs w:val="21"/>
                <w:highlight w:val="none"/>
              </w:rPr>
              <w:t>t/a。则废活性炭产生量</w:t>
            </w:r>
            <w:r>
              <w:rPr>
                <w:rFonts w:hint="eastAsia"/>
                <w:color w:val="auto"/>
                <w:szCs w:val="21"/>
                <w:highlight w:val="none"/>
                <w:lang w:val="en-US" w:eastAsia="zh-CN"/>
              </w:rPr>
              <w:t>约</w:t>
            </w:r>
            <w:r>
              <w:rPr>
                <w:rFonts w:hint="eastAsia"/>
                <w:color w:val="auto"/>
                <w:szCs w:val="21"/>
                <w:highlight w:val="none"/>
              </w:rPr>
              <w:t>为</w:t>
            </w:r>
            <w:r>
              <w:rPr>
                <w:rFonts w:hint="eastAsia"/>
                <w:color w:val="auto"/>
                <w:szCs w:val="21"/>
                <w:highlight w:val="none"/>
                <w:lang w:val="en-US" w:eastAsia="zh-CN"/>
              </w:rPr>
              <w:t>4.2369</w:t>
            </w:r>
            <w:r>
              <w:rPr>
                <w:rFonts w:hint="eastAsia"/>
                <w:color w:val="auto"/>
                <w:szCs w:val="21"/>
                <w:highlight w:val="none"/>
              </w:rPr>
              <w:t>t/a。根据《国家危险废物名录》（2021年版），废活性炭属于“HW49”类危险废物，废物代码900-039-49，建设单位收集在厂区危废暂存间暂存后定期委托有资质单位处理，企业需建立台账记录制度，台账录保存期限不少于5年。</w:t>
            </w:r>
          </w:p>
          <w:p w14:paraId="0257885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污泥</w:t>
            </w:r>
            <w:r>
              <w:rPr>
                <w:rFonts w:hint="eastAsia" w:ascii="Times New Roman" w:hAnsi="Times New Roman" w:cs="Times New Roman"/>
                <w:color w:val="auto"/>
                <w:szCs w:val="21"/>
                <w:highlight w:val="none"/>
                <w:lang w:eastAsia="zh-CN"/>
              </w:rPr>
              <w:t>：</w:t>
            </w:r>
            <w:r>
              <w:rPr>
                <w:rFonts w:hint="eastAsia" w:cs="Times New Roman"/>
                <w:color w:val="auto"/>
                <w:szCs w:val="21"/>
                <w:highlight w:val="none"/>
                <w:lang w:val="en-US" w:eastAsia="zh-CN"/>
              </w:rPr>
              <w:t>类比现有项目，污泥产生量约为15t/a，含水率约80%，</w:t>
            </w:r>
            <w:r>
              <w:rPr>
                <w:rFonts w:hint="eastAsia"/>
                <w:color w:val="auto"/>
                <w:szCs w:val="21"/>
                <w:highlight w:val="none"/>
              </w:rPr>
              <w:t>根据《国家危险废物名录》（2021年版），</w:t>
            </w:r>
            <w:r>
              <w:rPr>
                <w:rFonts w:hint="eastAsia"/>
                <w:color w:val="auto"/>
                <w:szCs w:val="21"/>
                <w:highlight w:val="none"/>
                <w:lang w:val="en-US" w:eastAsia="zh-CN"/>
              </w:rPr>
              <w:t>污泥</w:t>
            </w:r>
            <w:r>
              <w:rPr>
                <w:rFonts w:hint="eastAsia"/>
                <w:color w:val="auto"/>
                <w:szCs w:val="21"/>
                <w:highlight w:val="none"/>
              </w:rPr>
              <w:t>属于“HW</w:t>
            </w:r>
            <w:r>
              <w:rPr>
                <w:rFonts w:hint="eastAsia"/>
                <w:color w:val="auto"/>
                <w:szCs w:val="21"/>
                <w:highlight w:val="none"/>
                <w:lang w:val="en-US" w:eastAsia="zh-CN"/>
              </w:rPr>
              <w:t>17</w:t>
            </w:r>
            <w:r>
              <w:rPr>
                <w:rFonts w:hint="eastAsia"/>
                <w:color w:val="auto"/>
                <w:szCs w:val="21"/>
                <w:highlight w:val="none"/>
              </w:rPr>
              <w:t>”类危险废物，废物代码336-064-17</w:t>
            </w:r>
            <w:r>
              <w:rPr>
                <w:rFonts w:hint="default" w:ascii="Times New Roman" w:hAnsi="Times New Roman" w:cs="Times New Roman"/>
                <w:color w:val="auto"/>
                <w:szCs w:val="21"/>
                <w:highlight w:val="none"/>
              </w:rPr>
              <w:t>，收集后委托有资质单位处理。</w:t>
            </w:r>
          </w:p>
          <w:p w14:paraId="700C3368">
            <w:pPr>
              <w:spacing w:line="360" w:lineRule="auto"/>
              <w:ind w:firstLine="420" w:firstLineChars="200"/>
              <w:rPr>
                <w:color w:val="auto"/>
                <w:szCs w:val="22"/>
                <w:highlight w:val="none"/>
              </w:rPr>
            </w:pPr>
            <w:r>
              <w:rPr>
                <w:rFonts w:hint="eastAsia"/>
                <w:color w:val="auto"/>
                <w:szCs w:val="22"/>
                <w:highlight w:val="none"/>
              </w:rPr>
              <w:t>（</w:t>
            </w:r>
            <w:r>
              <w:rPr>
                <w:rFonts w:hint="eastAsia"/>
                <w:color w:val="auto"/>
                <w:szCs w:val="22"/>
                <w:highlight w:val="none"/>
                <w:lang w:val="en-US" w:eastAsia="zh-CN"/>
              </w:rPr>
              <w:t>6</w:t>
            </w:r>
            <w:r>
              <w:rPr>
                <w:rFonts w:hint="eastAsia"/>
                <w:color w:val="auto"/>
                <w:szCs w:val="22"/>
                <w:highlight w:val="none"/>
              </w:rPr>
              <w:t>）废油</w:t>
            </w:r>
            <w:r>
              <w:rPr>
                <w:rFonts w:hint="eastAsia"/>
                <w:color w:val="auto"/>
                <w:szCs w:val="22"/>
                <w:highlight w:val="none"/>
                <w:lang w:eastAsia="zh-CN"/>
              </w:rPr>
              <w:t>：</w:t>
            </w:r>
            <w:r>
              <w:rPr>
                <w:rFonts w:hint="eastAsia"/>
                <w:color w:val="auto"/>
                <w:szCs w:val="22"/>
                <w:highlight w:val="none"/>
                <w:lang w:val="en-US" w:eastAsia="zh-CN"/>
              </w:rPr>
              <w:t>项目废水经隔油池处理会油废油产生，类比现有项目，</w:t>
            </w:r>
            <w:r>
              <w:rPr>
                <w:rFonts w:hint="eastAsia" w:ascii="Times New Roman" w:hAnsi="Times New Roman" w:eastAsia="宋体" w:cs="Times New Roman"/>
                <w:color w:val="auto"/>
                <w:sz w:val="21"/>
                <w:szCs w:val="21"/>
                <w:highlight w:val="none"/>
                <w:lang w:val="en-US" w:eastAsia="zh-CN"/>
              </w:rPr>
              <w:t>废油产生量为</w:t>
            </w:r>
            <w:r>
              <w:rPr>
                <w:rFonts w:hint="eastAsia" w:cs="Times New Roman"/>
                <w:color w:val="auto"/>
                <w:sz w:val="21"/>
                <w:szCs w:val="21"/>
                <w:highlight w:val="none"/>
                <w:lang w:val="en-US" w:eastAsia="zh-CN"/>
              </w:rPr>
              <w:t>0.05</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w:t>
            </w:r>
            <w:r>
              <w:rPr>
                <w:rFonts w:hint="eastAsia"/>
                <w:color w:val="auto"/>
                <w:szCs w:val="21"/>
                <w:highlight w:val="none"/>
              </w:rPr>
              <w:t>根据《国家危险废物名录》（2021年版），</w:t>
            </w:r>
            <w:r>
              <w:rPr>
                <w:rFonts w:hint="eastAsia"/>
                <w:color w:val="auto"/>
                <w:szCs w:val="21"/>
                <w:highlight w:val="none"/>
                <w:lang w:val="en-US" w:eastAsia="zh-CN"/>
              </w:rPr>
              <w:t>废油</w:t>
            </w:r>
            <w:r>
              <w:rPr>
                <w:rFonts w:hint="eastAsia"/>
                <w:color w:val="auto"/>
                <w:szCs w:val="21"/>
                <w:highlight w:val="none"/>
              </w:rPr>
              <w:t>属于“HW</w:t>
            </w:r>
            <w:r>
              <w:rPr>
                <w:rFonts w:hint="eastAsia"/>
                <w:color w:val="auto"/>
                <w:szCs w:val="21"/>
                <w:highlight w:val="none"/>
                <w:lang w:val="en-US" w:eastAsia="zh-CN"/>
              </w:rPr>
              <w:t>08</w:t>
            </w:r>
            <w:r>
              <w:rPr>
                <w:rFonts w:hint="eastAsia"/>
                <w:color w:val="auto"/>
                <w:szCs w:val="21"/>
                <w:highlight w:val="none"/>
              </w:rPr>
              <w:t>”类危险废物，废物代码</w:t>
            </w:r>
            <w:r>
              <w:rPr>
                <w:rFonts w:hint="eastAsia"/>
                <w:color w:val="auto"/>
                <w:szCs w:val="21"/>
                <w:highlight w:val="none"/>
                <w:lang w:val="en-US" w:eastAsia="zh-CN"/>
              </w:rPr>
              <w:t>900-210-08</w:t>
            </w:r>
            <w:r>
              <w:rPr>
                <w:rFonts w:hint="default" w:ascii="Times New Roman" w:hAnsi="Times New Roman" w:cs="Times New Roman"/>
                <w:color w:val="auto"/>
                <w:szCs w:val="21"/>
                <w:highlight w:val="none"/>
              </w:rPr>
              <w:t>，收集后委托有资质单位处理。</w:t>
            </w:r>
          </w:p>
          <w:p w14:paraId="6FD33195">
            <w:pPr>
              <w:spacing w:line="360" w:lineRule="auto"/>
              <w:ind w:firstLine="411" w:firstLineChars="196"/>
              <w:rPr>
                <w:color w:val="auto"/>
                <w:highlight w:val="none"/>
              </w:rPr>
            </w:pPr>
            <w:r>
              <w:rPr>
                <w:rFonts w:hint="eastAsia"/>
                <w:color w:val="auto"/>
                <w:highlight w:val="none"/>
              </w:rPr>
              <w:t>（</w:t>
            </w:r>
            <w:r>
              <w:rPr>
                <w:rFonts w:hint="eastAsia"/>
                <w:color w:val="auto"/>
                <w:highlight w:val="none"/>
                <w:lang w:val="en-US" w:eastAsia="zh-CN"/>
              </w:rPr>
              <w:t>7</w:t>
            </w:r>
            <w:r>
              <w:rPr>
                <w:rFonts w:hint="eastAsia"/>
                <w:color w:val="auto"/>
                <w:highlight w:val="none"/>
              </w:rPr>
              <w:t>）</w:t>
            </w:r>
            <w:r>
              <w:rPr>
                <w:rFonts w:hint="eastAsia"/>
                <w:color w:val="auto"/>
                <w:highlight w:val="none"/>
                <w:lang w:val="en-US" w:eastAsia="zh-CN"/>
              </w:rPr>
              <w:t>包装材料</w:t>
            </w:r>
            <w:r>
              <w:rPr>
                <w:rFonts w:hint="eastAsia"/>
                <w:color w:val="auto"/>
                <w:highlight w:val="none"/>
                <w:lang w:eastAsia="zh-CN"/>
              </w:rPr>
              <w:t>：</w:t>
            </w:r>
            <w:r>
              <w:rPr>
                <w:color w:val="auto"/>
                <w:highlight w:val="none"/>
              </w:rPr>
              <w:t>项目</w:t>
            </w:r>
            <w:r>
              <w:rPr>
                <w:rFonts w:hint="eastAsia"/>
                <w:color w:val="auto"/>
                <w:highlight w:val="none"/>
                <w:lang w:val="en-US" w:eastAsia="zh-CN"/>
              </w:rPr>
              <w:t>脱脂粉、表调剂和皮膜液使用过程中会产生包装材料，产生量约为1.3t/a，</w:t>
            </w:r>
            <w:r>
              <w:rPr>
                <w:rFonts w:hint="eastAsia"/>
                <w:color w:val="auto"/>
                <w:szCs w:val="21"/>
                <w:highlight w:val="none"/>
                <w:lang w:val="en-US" w:eastAsia="zh-CN"/>
              </w:rPr>
              <w:t>由厂家回收用于原料包装使用，不作为固废</w:t>
            </w:r>
            <w:r>
              <w:rPr>
                <w:color w:val="auto"/>
                <w:highlight w:val="none"/>
              </w:rPr>
              <w:t>。</w:t>
            </w:r>
          </w:p>
          <w:p w14:paraId="4FB7D7F6">
            <w:pPr>
              <w:keepNext w:val="0"/>
              <w:keepLines w:val="0"/>
              <w:suppressLineNumbers w:val="0"/>
              <w:spacing w:before="0" w:beforeAutospacing="0" w:after="0" w:afterAutospacing="0" w:line="360" w:lineRule="auto"/>
              <w:ind w:left="0" w:right="0" w:firstLine="411" w:firstLineChars="196"/>
              <w:rPr>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color w:val="auto"/>
              </w:rPr>
              <w:t>生活垃圾：项目劳动定员</w:t>
            </w:r>
            <w:r>
              <w:rPr>
                <w:rFonts w:hint="eastAsia"/>
                <w:color w:val="auto"/>
                <w:lang w:val="en-US" w:eastAsia="zh-CN"/>
              </w:rPr>
              <w:t>新增2</w:t>
            </w:r>
            <w:r>
              <w:rPr>
                <w:rFonts w:hint="eastAsia"/>
                <w:color w:val="auto"/>
              </w:rPr>
              <w:t>0</w:t>
            </w:r>
            <w:r>
              <w:rPr>
                <w:color w:val="auto"/>
              </w:rPr>
              <w:t>人，</w:t>
            </w:r>
            <w:r>
              <w:rPr>
                <w:rFonts w:hint="eastAsia"/>
                <w:color w:val="auto"/>
              </w:rPr>
              <w:t>生活垃圾产生量</w:t>
            </w:r>
            <w:r>
              <w:rPr>
                <w:color w:val="auto"/>
              </w:rPr>
              <w:t>以每人每天0.5kg计，则生活垃圾产生量约</w:t>
            </w:r>
            <w:r>
              <w:rPr>
                <w:rFonts w:hint="eastAsia"/>
                <w:color w:val="auto"/>
                <w:lang w:val="en-US" w:eastAsia="zh-CN"/>
              </w:rPr>
              <w:t>3</w:t>
            </w:r>
            <w:r>
              <w:rPr>
                <w:color w:val="auto"/>
              </w:rPr>
              <w:t>t/a</w:t>
            </w:r>
            <w:r>
              <w:rPr>
                <w:rFonts w:hint="eastAsia"/>
                <w:color w:val="auto"/>
              </w:rPr>
              <w:t>，由环卫部门统一清运</w:t>
            </w:r>
            <w:r>
              <w:rPr>
                <w:color w:val="auto"/>
              </w:rPr>
              <w:t>。</w:t>
            </w:r>
          </w:p>
          <w:p w14:paraId="36BF6C4E">
            <w:pPr>
              <w:spacing w:line="360" w:lineRule="auto"/>
              <w:ind w:firstLine="420" w:firstLineChars="200"/>
              <w:rPr>
                <w:color w:val="auto"/>
                <w:szCs w:val="21"/>
                <w:highlight w:val="none"/>
              </w:rPr>
            </w:pPr>
            <w:r>
              <w:rPr>
                <w:rFonts w:hint="eastAsia"/>
                <w:color w:val="auto"/>
                <w:szCs w:val="21"/>
                <w:highlight w:val="none"/>
              </w:rPr>
              <w:t>根据《中华人民共和国固体废物污染环境防治法》的规定，判断本项目生产过程中产生的副产物是否属于固体废物，判定依据为《固体废物鉴别标准 通则》（GB34330-2017），判定结果详见表4-</w:t>
            </w:r>
            <w:r>
              <w:rPr>
                <w:rFonts w:hint="eastAsia"/>
                <w:color w:val="auto"/>
                <w:szCs w:val="21"/>
                <w:highlight w:val="none"/>
                <w:lang w:val="en-US" w:eastAsia="zh-CN"/>
              </w:rPr>
              <w:t>31</w:t>
            </w:r>
            <w:r>
              <w:rPr>
                <w:rFonts w:hint="eastAsia"/>
                <w:color w:val="auto"/>
                <w:szCs w:val="21"/>
                <w:highlight w:val="none"/>
              </w:rPr>
              <w:t>。</w:t>
            </w:r>
          </w:p>
          <w:p w14:paraId="188F709F">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lang w:val="en-US" w:eastAsia="zh-CN"/>
              </w:rPr>
              <w:t>31</w:t>
            </w:r>
            <w:r>
              <w:rPr>
                <w:rFonts w:hint="eastAsia"/>
                <w:b/>
                <w:bCs/>
                <w:color w:val="auto"/>
                <w:szCs w:val="21"/>
                <w:highlight w:val="none"/>
              </w:rPr>
              <w:t xml:space="preserve"> 项目副产物产生情况及属性判定判定一览表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13"/>
              <w:gridCol w:w="1171"/>
              <w:gridCol w:w="1173"/>
              <w:gridCol w:w="765"/>
              <w:gridCol w:w="1317"/>
              <w:gridCol w:w="994"/>
              <w:gridCol w:w="707"/>
              <w:gridCol w:w="707"/>
              <w:gridCol w:w="891"/>
            </w:tblGrid>
            <w:tr w14:paraId="029E5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311" w:type="pct"/>
                  <w:vMerge w:val="restart"/>
                  <w:vAlign w:val="center"/>
                </w:tcPr>
                <w:p w14:paraId="60E8AB75">
                  <w:pPr>
                    <w:jc w:val="center"/>
                    <w:rPr>
                      <w:b/>
                      <w:bCs/>
                      <w:color w:val="auto"/>
                      <w:szCs w:val="22"/>
                      <w:highlight w:val="none"/>
                    </w:rPr>
                  </w:pPr>
                  <w:r>
                    <w:rPr>
                      <w:rFonts w:hint="eastAsia"/>
                      <w:b/>
                      <w:bCs/>
                      <w:color w:val="auto"/>
                      <w:szCs w:val="22"/>
                      <w:highlight w:val="none"/>
                    </w:rPr>
                    <w:t>序号</w:t>
                  </w:r>
                </w:p>
              </w:tc>
              <w:tc>
                <w:tcPr>
                  <w:tcW w:w="710" w:type="pct"/>
                  <w:vMerge w:val="restart"/>
                  <w:vAlign w:val="center"/>
                </w:tcPr>
                <w:p w14:paraId="382187EA">
                  <w:pPr>
                    <w:jc w:val="center"/>
                    <w:rPr>
                      <w:b/>
                      <w:bCs/>
                      <w:color w:val="auto"/>
                      <w:szCs w:val="22"/>
                      <w:highlight w:val="none"/>
                    </w:rPr>
                  </w:pPr>
                  <w:r>
                    <w:rPr>
                      <w:rFonts w:hint="eastAsia"/>
                      <w:b/>
                      <w:bCs/>
                      <w:color w:val="auto"/>
                      <w:szCs w:val="22"/>
                      <w:highlight w:val="none"/>
                    </w:rPr>
                    <w:t>副产物名称</w:t>
                  </w:r>
                </w:p>
              </w:tc>
              <w:tc>
                <w:tcPr>
                  <w:tcW w:w="711" w:type="pct"/>
                  <w:vMerge w:val="restart"/>
                  <w:vAlign w:val="center"/>
                </w:tcPr>
                <w:p w14:paraId="603D40BE">
                  <w:pPr>
                    <w:jc w:val="center"/>
                    <w:rPr>
                      <w:b/>
                      <w:bCs/>
                      <w:color w:val="auto"/>
                      <w:szCs w:val="22"/>
                      <w:highlight w:val="none"/>
                    </w:rPr>
                  </w:pPr>
                  <w:r>
                    <w:rPr>
                      <w:rFonts w:hint="eastAsia"/>
                      <w:b/>
                      <w:bCs/>
                      <w:color w:val="auto"/>
                      <w:szCs w:val="22"/>
                      <w:highlight w:val="none"/>
                    </w:rPr>
                    <w:t>产生工序</w:t>
                  </w:r>
                </w:p>
              </w:tc>
              <w:tc>
                <w:tcPr>
                  <w:tcW w:w="464" w:type="pct"/>
                  <w:vMerge w:val="restart"/>
                  <w:vAlign w:val="center"/>
                </w:tcPr>
                <w:p w14:paraId="7DB07F35">
                  <w:pPr>
                    <w:jc w:val="center"/>
                    <w:rPr>
                      <w:b/>
                      <w:bCs/>
                      <w:color w:val="auto"/>
                      <w:szCs w:val="22"/>
                      <w:highlight w:val="none"/>
                    </w:rPr>
                  </w:pPr>
                  <w:r>
                    <w:rPr>
                      <w:rFonts w:hint="eastAsia"/>
                      <w:b/>
                      <w:bCs/>
                      <w:color w:val="auto"/>
                      <w:szCs w:val="22"/>
                      <w:highlight w:val="none"/>
                    </w:rPr>
                    <w:t>形态</w:t>
                  </w:r>
                </w:p>
              </w:tc>
              <w:tc>
                <w:tcPr>
                  <w:tcW w:w="799" w:type="pct"/>
                  <w:vMerge w:val="restart"/>
                  <w:vAlign w:val="center"/>
                </w:tcPr>
                <w:p w14:paraId="5C7B82D3">
                  <w:pPr>
                    <w:jc w:val="center"/>
                    <w:rPr>
                      <w:b/>
                      <w:bCs/>
                      <w:color w:val="auto"/>
                      <w:szCs w:val="22"/>
                      <w:highlight w:val="none"/>
                    </w:rPr>
                  </w:pPr>
                  <w:r>
                    <w:rPr>
                      <w:rFonts w:hint="eastAsia"/>
                      <w:b/>
                      <w:bCs/>
                      <w:color w:val="auto"/>
                      <w:szCs w:val="22"/>
                      <w:highlight w:val="none"/>
                    </w:rPr>
                    <w:t>主要成分</w:t>
                  </w:r>
                </w:p>
              </w:tc>
              <w:tc>
                <w:tcPr>
                  <w:tcW w:w="603" w:type="pct"/>
                  <w:vMerge w:val="restart"/>
                  <w:vAlign w:val="center"/>
                </w:tcPr>
                <w:p w14:paraId="0E4BF1A9">
                  <w:pPr>
                    <w:jc w:val="center"/>
                    <w:rPr>
                      <w:b/>
                      <w:bCs/>
                      <w:color w:val="auto"/>
                      <w:szCs w:val="22"/>
                      <w:highlight w:val="none"/>
                    </w:rPr>
                  </w:pPr>
                  <w:r>
                    <w:rPr>
                      <w:rFonts w:hint="eastAsia"/>
                      <w:b/>
                      <w:bCs/>
                      <w:color w:val="auto"/>
                      <w:szCs w:val="22"/>
                      <w:highlight w:val="none"/>
                    </w:rPr>
                    <w:t>预测产生量（t/a）</w:t>
                  </w:r>
                </w:p>
              </w:tc>
              <w:tc>
                <w:tcPr>
                  <w:tcW w:w="1399" w:type="pct"/>
                  <w:gridSpan w:val="3"/>
                  <w:vAlign w:val="center"/>
                </w:tcPr>
                <w:p w14:paraId="72BF23FC">
                  <w:pPr>
                    <w:jc w:val="center"/>
                    <w:rPr>
                      <w:b/>
                      <w:bCs/>
                      <w:color w:val="auto"/>
                      <w:szCs w:val="22"/>
                      <w:highlight w:val="none"/>
                    </w:rPr>
                  </w:pPr>
                  <w:r>
                    <w:rPr>
                      <w:rFonts w:hint="eastAsia"/>
                      <w:b/>
                      <w:bCs/>
                      <w:color w:val="auto"/>
                      <w:szCs w:val="22"/>
                      <w:highlight w:val="none"/>
                    </w:rPr>
                    <w:t>种类判断</w:t>
                  </w:r>
                </w:p>
              </w:tc>
            </w:tr>
            <w:tr w14:paraId="79530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7" w:hRule="atLeast"/>
                <w:jc w:val="center"/>
              </w:trPr>
              <w:tc>
                <w:tcPr>
                  <w:tcW w:w="311" w:type="pct"/>
                  <w:vMerge w:val="continue"/>
                  <w:vAlign w:val="center"/>
                </w:tcPr>
                <w:p w14:paraId="28B78082">
                  <w:pPr>
                    <w:jc w:val="center"/>
                    <w:rPr>
                      <w:b/>
                      <w:bCs/>
                      <w:color w:val="auto"/>
                      <w:szCs w:val="22"/>
                      <w:highlight w:val="none"/>
                    </w:rPr>
                  </w:pPr>
                </w:p>
              </w:tc>
              <w:tc>
                <w:tcPr>
                  <w:tcW w:w="710" w:type="pct"/>
                  <w:vMerge w:val="continue"/>
                  <w:vAlign w:val="center"/>
                </w:tcPr>
                <w:p w14:paraId="6AF1675B">
                  <w:pPr>
                    <w:jc w:val="center"/>
                    <w:rPr>
                      <w:b/>
                      <w:bCs/>
                      <w:color w:val="auto"/>
                      <w:szCs w:val="22"/>
                      <w:highlight w:val="none"/>
                    </w:rPr>
                  </w:pPr>
                </w:p>
              </w:tc>
              <w:tc>
                <w:tcPr>
                  <w:tcW w:w="711" w:type="pct"/>
                  <w:vMerge w:val="continue"/>
                  <w:vAlign w:val="center"/>
                </w:tcPr>
                <w:p w14:paraId="25C5281A">
                  <w:pPr>
                    <w:jc w:val="center"/>
                    <w:rPr>
                      <w:b/>
                      <w:bCs/>
                      <w:color w:val="auto"/>
                      <w:szCs w:val="22"/>
                      <w:highlight w:val="none"/>
                    </w:rPr>
                  </w:pPr>
                </w:p>
              </w:tc>
              <w:tc>
                <w:tcPr>
                  <w:tcW w:w="464" w:type="pct"/>
                  <w:vMerge w:val="continue"/>
                  <w:vAlign w:val="center"/>
                </w:tcPr>
                <w:p w14:paraId="47BBF5FF">
                  <w:pPr>
                    <w:jc w:val="center"/>
                    <w:rPr>
                      <w:b/>
                      <w:bCs/>
                      <w:color w:val="auto"/>
                      <w:szCs w:val="22"/>
                      <w:highlight w:val="none"/>
                    </w:rPr>
                  </w:pPr>
                </w:p>
              </w:tc>
              <w:tc>
                <w:tcPr>
                  <w:tcW w:w="799" w:type="pct"/>
                  <w:vMerge w:val="continue"/>
                  <w:vAlign w:val="center"/>
                </w:tcPr>
                <w:p w14:paraId="62AFBFA9">
                  <w:pPr>
                    <w:jc w:val="center"/>
                    <w:rPr>
                      <w:b/>
                      <w:bCs/>
                      <w:color w:val="auto"/>
                      <w:szCs w:val="22"/>
                      <w:highlight w:val="none"/>
                    </w:rPr>
                  </w:pPr>
                </w:p>
              </w:tc>
              <w:tc>
                <w:tcPr>
                  <w:tcW w:w="603" w:type="pct"/>
                  <w:vMerge w:val="continue"/>
                  <w:vAlign w:val="center"/>
                </w:tcPr>
                <w:p w14:paraId="6BB141BA">
                  <w:pPr>
                    <w:jc w:val="center"/>
                    <w:rPr>
                      <w:b/>
                      <w:bCs/>
                      <w:color w:val="auto"/>
                      <w:szCs w:val="22"/>
                      <w:highlight w:val="none"/>
                    </w:rPr>
                  </w:pPr>
                </w:p>
              </w:tc>
              <w:tc>
                <w:tcPr>
                  <w:tcW w:w="429" w:type="pct"/>
                  <w:vAlign w:val="center"/>
                </w:tcPr>
                <w:p w14:paraId="1D8DD87D">
                  <w:pPr>
                    <w:jc w:val="center"/>
                    <w:rPr>
                      <w:b/>
                      <w:bCs/>
                      <w:color w:val="auto"/>
                      <w:szCs w:val="22"/>
                      <w:highlight w:val="none"/>
                    </w:rPr>
                  </w:pPr>
                  <w:r>
                    <w:rPr>
                      <w:rFonts w:hint="eastAsia"/>
                      <w:b/>
                      <w:bCs/>
                      <w:color w:val="auto"/>
                      <w:szCs w:val="22"/>
                      <w:highlight w:val="none"/>
                    </w:rPr>
                    <w:t>固体废物</w:t>
                  </w:r>
                </w:p>
              </w:tc>
              <w:tc>
                <w:tcPr>
                  <w:tcW w:w="429" w:type="pct"/>
                  <w:vAlign w:val="center"/>
                </w:tcPr>
                <w:p w14:paraId="0FAE4CF6">
                  <w:pPr>
                    <w:jc w:val="center"/>
                    <w:rPr>
                      <w:b/>
                      <w:bCs/>
                      <w:color w:val="auto"/>
                      <w:szCs w:val="22"/>
                      <w:highlight w:val="none"/>
                    </w:rPr>
                  </w:pPr>
                  <w:r>
                    <w:rPr>
                      <w:rFonts w:hint="eastAsia"/>
                      <w:b/>
                      <w:bCs/>
                      <w:color w:val="auto"/>
                      <w:szCs w:val="22"/>
                      <w:highlight w:val="none"/>
                    </w:rPr>
                    <w:t>副产品</w:t>
                  </w:r>
                </w:p>
              </w:tc>
              <w:tc>
                <w:tcPr>
                  <w:tcW w:w="540" w:type="pct"/>
                  <w:vAlign w:val="center"/>
                </w:tcPr>
                <w:p w14:paraId="7AFA74ED">
                  <w:pPr>
                    <w:jc w:val="center"/>
                    <w:rPr>
                      <w:b/>
                      <w:bCs/>
                      <w:color w:val="auto"/>
                      <w:szCs w:val="22"/>
                      <w:highlight w:val="none"/>
                    </w:rPr>
                  </w:pPr>
                  <w:r>
                    <w:rPr>
                      <w:rFonts w:hint="eastAsia"/>
                      <w:b/>
                      <w:bCs/>
                      <w:color w:val="auto"/>
                      <w:szCs w:val="22"/>
                      <w:highlight w:val="none"/>
                    </w:rPr>
                    <w:t>判断依据</w:t>
                  </w:r>
                </w:p>
              </w:tc>
            </w:tr>
            <w:tr w14:paraId="67000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1" w:type="pct"/>
                  <w:vAlign w:val="center"/>
                </w:tcPr>
                <w:p w14:paraId="12DD4CA8">
                  <w:pPr>
                    <w:jc w:val="center"/>
                    <w:rPr>
                      <w:color w:val="auto"/>
                      <w:szCs w:val="22"/>
                      <w:highlight w:val="none"/>
                    </w:rPr>
                  </w:pPr>
                  <w:r>
                    <w:rPr>
                      <w:rFonts w:hint="eastAsia"/>
                      <w:color w:val="auto"/>
                      <w:szCs w:val="22"/>
                      <w:highlight w:val="none"/>
                    </w:rPr>
                    <w:t>1</w:t>
                  </w:r>
                </w:p>
              </w:tc>
              <w:tc>
                <w:tcPr>
                  <w:tcW w:w="710" w:type="pct"/>
                  <w:vAlign w:val="center"/>
                </w:tcPr>
                <w:p w14:paraId="0122766E">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槽渣</w:t>
                  </w:r>
                </w:p>
              </w:tc>
              <w:tc>
                <w:tcPr>
                  <w:tcW w:w="711" w:type="pct"/>
                  <w:vAlign w:val="center"/>
                </w:tcPr>
                <w:p w14:paraId="2D48D87E">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表面处理</w:t>
                  </w:r>
                </w:p>
              </w:tc>
              <w:tc>
                <w:tcPr>
                  <w:tcW w:w="464" w:type="pct"/>
                  <w:vAlign w:val="center"/>
                </w:tcPr>
                <w:p w14:paraId="027194D6">
                  <w:pPr>
                    <w:jc w:val="center"/>
                    <w:rPr>
                      <w:color w:val="auto"/>
                      <w:szCs w:val="22"/>
                      <w:highlight w:val="none"/>
                    </w:rPr>
                  </w:pPr>
                  <w:r>
                    <w:rPr>
                      <w:rFonts w:hint="eastAsia"/>
                      <w:color w:val="auto"/>
                      <w:szCs w:val="22"/>
                      <w:highlight w:val="none"/>
                      <w:lang w:val="en-US" w:eastAsia="zh-CN"/>
                    </w:rPr>
                    <w:t>固态</w:t>
                  </w:r>
                </w:p>
              </w:tc>
              <w:tc>
                <w:tcPr>
                  <w:tcW w:w="799" w:type="pct"/>
                  <w:vAlign w:val="center"/>
                </w:tcPr>
                <w:p w14:paraId="6EF1BC7E">
                  <w:pPr>
                    <w:jc w:val="center"/>
                    <w:rPr>
                      <w:color w:val="auto"/>
                      <w:szCs w:val="22"/>
                      <w:highlight w:val="none"/>
                    </w:rPr>
                  </w:pPr>
                  <w:r>
                    <w:rPr>
                      <w:rFonts w:hint="eastAsia"/>
                      <w:color w:val="auto"/>
                      <w:szCs w:val="22"/>
                      <w:highlight w:val="none"/>
                      <w:lang w:val="en-US" w:eastAsia="zh-CN"/>
                    </w:rPr>
                    <w:t>槽渣</w:t>
                  </w:r>
                </w:p>
              </w:tc>
              <w:tc>
                <w:tcPr>
                  <w:tcW w:w="603" w:type="pct"/>
                  <w:vAlign w:val="center"/>
                </w:tcPr>
                <w:p w14:paraId="31B9A65A">
                  <w:pPr>
                    <w:jc w:val="center"/>
                    <w:rPr>
                      <w:rFonts w:hint="default" w:eastAsia="宋体"/>
                      <w:color w:val="auto"/>
                      <w:szCs w:val="22"/>
                      <w:highlight w:val="none"/>
                      <w:lang w:val="en-US" w:eastAsia="zh-CN"/>
                    </w:rPr>
                  </w:pPr>
                  <w:r>
                    <w:rPr>
                      <w:rFonts w:hint="eastAsia"/>
                      <w:color w:val="auto"/>
                      <w:szCs w:val="22"/>
                      <w:highlight w:val="none"/>
                    </w:rPr>
                    <w:t>0.</w:t>
                  </w:r>
                  <w:r>
                    <w:rPr>
                      <w:rFonts w:hint="eastAsia"/>
                      <w:color w:val="auto"/>
                      <w:szCs w:val="22"/>
                      <w:highlight w:val="none"/>
                      <w:lang w:val="en-US" w:eastAsia="zh-CN"/>
                    </w:rPr>
                    <w:t>5</w:t>
                  </w:r>
                </w:p>
              </w:tc>
              <w:tc>
                <w:tcPr>
                  <w:tcW w:w="429" w:type="pct"/>
                  <w:vAlign w:val="center"/>
                </w:tcPr>
                <w:p w14:paraId="607A7CBA">
                  <w:pPr>
                    <w:jc w:val="center"/>
                    <w:rPr>
                      <w:color w:val="auto"/>
                      <w:szCs w:val="22"/>
                      <w:highlight w:val="none"/>
                    </w:rPr>
                  </w:pPr>
                  <w:r>
                    <w:rPr>
                      <w:rFonts w:hint="eastAsia"/>
                      <w:color w:val="auto"/>
                      <w:szCs w:val="22"/>
                      <w:highlight w:val="none"/>
                    </w:rPr>
                    <w:t>√</w:t>
                  </w:r>
                </w:p>
              </w:tc>
              <w:tc>
                <w:tcPr>
                  <w:tcW w:w="429" w:type="pct"/>
                  <w:vAlign w:val="center"/>
                </w:tcPr>
                <w:p w14:paraId="735AB9B6">
                  <w:pPr>
                    <w:jc w:val="center"/>
                    <w:rPr>
                      <w:color w:val="auto"/>
                      <w:szCs w:val="22"/>
                      <w:highlight w:val="none"/>
                    </w:rPr>
                  </w:pPr>
                  <w:r>
                    <w:rPr>
                      <w:rFonts w:hint="eastAsia"/>
                      <w:color w:val="auto"/>
                      <w:szCs w:val="22"/>
                      <w:highlight w:val="none"/>
                    </w:rPr>
                    <w:t>-</w:t>
                  </w:r>
                </w:p>
              </w:tc>
              <w:tc>
                <w:tcPr>
                  <w:tcW w:w="540" w:type="pct"/>
                  <w:vMerge w:val="restart"/>
                  <w:vAlign w:val="center"/>
                </w:tcPr>
                <w:p w14:paraId="7B713D81">
                  <w:pPr>
                    <w:jc w:val="center"/>
                    <w:rPr>
                      <w:color w:val="auto"/>
                      <w:szCs w:val="22"/>
                      <w:highlight w:val="none"/>
                    </w:rPr>
                  </w:pPr>
                  <w:r>
                    <w:rPr>
                      <w:rFonts w:hint="eastAsia"/>
                      <w:color w:val="auto"/>
                      <w:szCs w:val="22"/>
                      <w:highlight w:val="none"/>
                    </w:rPr>
                    <w:t>《固体废物鉴别标准通则》（GB34330-2017）</w:t>
                  </w:r>
                </w:p>
              </w:tc>
            </w:tr>
            <w:tr w14:paraId="7CD31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1" w:type="pct"/>
                  <w:vAlign w:val="center"/>
                </w:tcPr>
                <w:p w14:paraId="4D69CABD">
                  <w:pPr>
                    <w:jc w:val="center"/>
                    <w:rPr>
                      <w:color w:val="auto"/>
                      <w:szCs w:val="22"/>
                      <w:highlight w:val="none"/>
                    </w:rPr>
                  </w:pPr>
                  <w:r>
                    <w:rPr>
                      <w:rFonts w:hint="eastAsia"/>
                      <w:color w:val="auto"/>
                      <w:szCs w:val="22"/>
                      <w:highlight w:val="none"/>
                    </w:rPr>
                    <w:t>2</w:t>
                  </w:r>
                </w:p>
              </w:tc>
              <w:tc>
                <w:tcPr>
                  <w:tcW w:w="710" w:type="pct"/>
                  <w:vAlign w:val="center"/>
                </w:tcPr>
                <w:p w14:paraId="21431559">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收集的粉尘</w:t>
                  </w:r>
                </w:p>
              </w:tc>
              <w:tc>
                <w:tcPr>
                  <w:tcW w:w="711" w:type="pct"/>
                  <w:vAlign w:val="center"/>
                </w:tcPr>
                <w:p w14:paraId="3B854A85">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废气处理</w:t>
                  </w:r>
                </w:p>
              </w:tc>
              <w:tc>
                <w:tcPr>
                  <w:tcW w:w="464" w:type="pct"/>
                  <w:vAlign w:val="center"/>
                </w:tcPr>
                <w:p w14:paraId="68F4459F">
                  <w:pPr>
                    <w:jc w:val="center"/>
                    <w:rPr>
                      <w:rFonts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固态</w:t>
                  </w:r>
                </w:p>
              </w:tc>
              <w:tc>
                <w:tcPr>
                  <w:tcW w:w="799" w:type="pct"/>
                  <w:vAlign w:val="center"/>
                </w:tcPr>
                <w:p w14:paraId="7737A14B">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s="Times New Roman"/>
                      <w:color w:val="auto"/>
                      <w:szCs w:val="22"/>
                      <w:highlight w:val="none"/>
                      <w:lang w:val="en-US" w:eastAsia="zh-CN"/>
                    </w:rPr>
                    <w:t>金属粉，塑粉</w:t>
                  </w:r>
                </w:p>
              </w:tc>
              <w:tc>
                <w:tcPr>
                  <w:tcW w:w="603" w:type="pct"/>
                  <w:vAlign w:val="center"/>
                </w:tcPr>
                <w:p w14:paraId="7A308C28">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10.5354</w:t>
                  </w:r>
                </w:p>
              </w:tc>
              <w:tc>
                <w:tcPr>
                  <w:tcW w:w="429" w:type="pct"/>
                  <w:vAlign w:val="center"/>
                </w:tcPr>
                <w:p w14:paraId="20274958">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w:t>
                  </w:r>
                </w:p>
              </w:tc>
              <w:tc>
                <w:tcPr>
                  <w:tcW w:w="429" w:type="pct"/>
                  <w:vAlign w:val="center"/>
                </w:tcPr>
                <w:p w14:paraId="0900F49D">
                  <w:pPr>
                    <w:jc w:val="center"/>
                    <w:rPr>
                      <w:rFonts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540" w:type="pct"/>
                  <w:vMerge w:val="continue"/>
                  <w:vAlign w:val="center"/>
                </w:tcPr>
                <w:p w14:paraId="2F067814">
                  <w:pPr>
                    <w:jc w:val="center"/>
                    <w:rPr>
                      <w:color w:val="auto"/>
                      <w:szCs w:val="22"/>
                      <w:highlight w:val="none"/>
                    </w:rPr>
                  </w:pPr>
                </w:p>
              </w:tc>
            </w:tr>
            <w:tr w14:paraId="25261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1" w:type="pct"/>
                  <w:vAlign w:val="center"/>
                </w:tcPr>
                <w:p w14:paraId="7C409A58">
                  <w:pPr>
                    <w:jc w:val="center"/>
                    <w:rPr>
                      <w:color w:val="auto"/>
                      <w:szCs w:val="22"/>
                      <w:highlight w:val="none"/>
                    </w:rPr>
                  </w:pPr>
                  <w:r>
                    <w:rPr>
                      <w:rFonts w:hint="eastAsia"/>
                      <w:color w:val="auto"/>
                      <w:szCs w:val="22"/>
                      <w:highlight w:val="none"/>
                    </w:rPr>
                    <w:t>3</w:t>
                  </w:r>
                </w:p>
              </w:tc>
              <w:tc>
                <w:tcPr>
                  <w:tcW w:w="710" w:type="pct"/>
                  <w:vAlign w:val="center"/>
                </w:tcPr>
                <w:p w14:paraId="11C08207">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废布袋</w:t>
                  </w:r>
                </w:p>
              </w:tc>
              <w:tc>
                <w:tcPr>
                  <w:tcW w:w="711" w:type="pct"/>
                  <w:vAlign w:val="center"/>
                </w:tcPr>
                <w:p w14:paraId="56074209">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废气处理</w:t>
                  </w:r>
                </w:p>
              </w:tc>
              <w:tc>
                <w:tcPr>
                  <w:tcW w:w="464" w:type="pct"/>
                  <w:vAlign w:val="center"/>
                </w:tcPr>
                <w:p w14:paraId="102BC4BD">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固态</w:t>
                  </w:r>
                </w:p>
              </w:tc>
              <w:tc>
                <w:tcPr>
                  <w:tcW w:w="799" w:type="pct"/>
                  <w:vAlign w:val="center"/>
                </w:tcPr>
                <w:p w14:paraId="4EA9EDBE">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布袋</w:t>
                  </w:r>
                </w:p>
              </w:tc>
              <w:tc>
                <w:tcPr>
                  <w:tcW w:w="603" w:type="pct"/>
                  <w:vAlign w:val="center"/>
                </w:tcPr>
                <w:p w14:paraId="70534952">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0.05</w:t>
                  </w:r>
                </w:p>
              </w:tc>
              <w:tc>
                <w:tcPr>
                  <w:tcW w:w="429" w:type="pct"/>
                  <w:vAlign w:val="center"/>
                </w:tcPr>
                <w:p w14:paraId="1D59E7EF">
                  <w:pPr>
                    <w:jc w:val="center"/>
                    <w:rPr>
                      <w:rFonts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429" w:type="pct"/>
                  <w:vAlign w:val="center"/>
                </w:tcPr>
                <w:p w14:paraId="189EC92B">
                  <w:pPr>
                    <w:jc w:val="center"/>
                    <w:rPr>
                      <w:rFonts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540" w:type="pct"/>
                  <w:vMerge w:val="continue"/>
                  <w:vAlign w:val="center"/>
                </w:tcPr>
                <w:p w14:paraId="7F77F28F">
                  <w:pPr>
                    <w:jc w:val="center"/>
                    <w:rPr>
                      <w:color w:val="auto"/>
                      <w:szCs w:val="22"/>
                      <w:highlight w:val="none"/>
                    </w:rPr>
                  </w:pPr>
                </w:p>
              </w:tc>
            </w:tr>
            <w:tr w14:paraId="1CE64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1" w:type="pct"/>
                  <w:vAlign w:val="center"/>
                </w:tcPr>
                <w:p w14:paraId="581D1306">
                  <w:pPr>
                    <w:jc w:val="center"/>
                    <w:rPr>
                      <w:color w:val="auto"/>
                      <w:szCs w:val="22"/>
                      <w:highlight w:val="none"/>
                    </w:rPr>
                  </w:pPr>
                  <w:r>
                    <w:rPr>
                      <w:rFonts w:hint="eastAsia"/>
                      <w:color w:val="auto"/>
                      <w:szCs w:val="22"/>
                      <w:highlight w:val="none"/>
                    </w:rPr>
                    <w:t>4</w:t>
                  </w:r>
                </w:p>
              </w:tc>
              <w:tc>
                <w:tcPr>
                  <w:tcW w:w="710" w:type="pct"/>
                  <w:vAlign w:val="center"/>
                </w:tcPr>
                <w:p w14:paraId="4F3E3C31">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废活性炭</w:t>
                  </w:r>
                </w:p>
              </w:tc>
              <w:tc>
                <w:tcPr>
                  <w:tcW w:w="711" w:type="pct"/>
                  <w:vAlign w:val="center"/>
                </w:tcPr>
                <w:p w14:paraId="1605DA4F">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废气处理</w:t>
                  </w:r>
                </w:p>
              </w:tc>
              <w:tc>
                <w:tcPr>
                  <w:tcW w:w="464" w:type="pct"/>
                  <w:vAlign w:val="center"/>
                </w:tcPr>
                <w:p w14:paraId="3E154483">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固态</w:t>
                  </w:r>
                </w:p>
              </w:tc>
              <w:tc>
                <w:tcPr>
                  <w:tcW w:w="799" w:type="pct"/>
                  <w:vAlign w:val="center"/>
                </w:tcPr>
                <w:p w14:paraId="40B65893">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活性炭、有机物</w:t>
                  </w:r>
                </w:p>
              </w:tc>
              <w:tc>
                <w:tcPr>
                  <w:tcW w:w="603" w:type="pct"/>
                  <w:vAlign w:val="center"/>
                </w:tcPr>
                <w:p w14:paraId="6EA74B1E">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4.2369</w:t>
                  </w:r>
                </w:p>
              </w:tc>
              <w:tc>
                <w:tcPr>
                  <w:tcW w:w="429" w:type="pct"/>
                  <w:vAlign w:val="center"/>
                </w:tcPr>
                <w:p w14:paraId="63927640">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429" w:type="pct"/>
                  <w:vAlign w:val="center"/>
                </w:tcPr>
                <w:p w14:paraId="491DF919">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540" w:type="pct"/>
                  <w:vMerge w:val="continue"/>
                  <w:vAlign w:val="center"/>
                </w:tcPr>
                <w:p w14:paraId="01D1EE51">
                  <w:pPr>
                    <w:jc w:val="center"/>
                    <w:rPr>
                      <w:color w:val="auto"/>
                      <w:szCs w:val="22"/>
                      <w:highlight w:val="none"/>
                    </w:rPr>
                  </w:pPr>
                </w:p>
              </w:tc>
            </w:tr>
            <w:tr w14:paraId="7D902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1" w:type="pct"/>
                  <w:vAlign w:val="center"/>
                </w:tcPr>
                <w:p w14:paraId="0D5176D0">
                  <w:pPr>
                    <w:jc w:val="center"/>
                    <w:rPr>
                      <w:color w:val="auto"/>
                      <w:szCs w:val="22"/>
                      <w:highlight w:val="none"/>
                    </w:rPr>
                  </w:pPr>
                  <w:r>
                    <w:rPr>
                      <w:rFonts w:hint="eastAsia"/>
                      <w:color w:val="auto"/>
                      <w:szCs w:val="22"/>
                      <w:highlight w:val="none"/>
                    </w:rPr>
                    <w:t>5</w:t>
                  </w:r>
                </w:p>
              </w:tc>
              <w:tc>
                <w:tcPr>
                  <w:tcW w:w="710" w:type="pct"/>
                  <w:vAlign w:val="center"/>
                </w:tcPr>
                <w:p w14:paraId="07F11DC6">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污泥</w:t>
                  </w:r>
                </w:p>
              </w:tc>
              <w:tc>
                <w:tcPr>
                  <w:tcW w:w="711" w:type="pct"/>
                  <w:vAlign w:val="center"/>
                </w:tcPr>
                <w:p w14:paraId="70D50162">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废水处理</w:t>
                  </w:r>
                </w:p>
              </w:tc>
              <w:tc>
                <w:tcPr>
                  <w:tcW w:w="464" w:type="pct"/>
                  <w:vAlign w:val="center"/>
                </w:tcPr>
                <w:p w14:paraId="2E3C8C49">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半固态</w:t>
                  </w:r>
                </w:p>
              </w:tc>
              <w:tc>
                <w:tcPr>
                  <w:tcW w:w="799" w:type="pct"/>
                  <w:vAlign w:val="center"/>
                </w:tcPr>
                <w:p w14:paraId="48BF50A6">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污泥</w:t>
                  </w:r>
                </w:p>
              </w:tc>
              <w:tc>
                <w:tcPr>
                  <w:tcW w:w="603" w:type="pct"/>
                  <w:vAlign w:val="center"/>
                </w:tcPr>
                <w:p w14:paraId="3AB0B3C1">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15</w:t>
                  </w:r>
                </w:p>
              </w:tc>
              <w:tc>
                <w:tcPr>
                  <w:tcW w:w="429" w:type="pct"/>
                  <w:vAlign w:val="center"/>
                </w:tcPr>
                <w:p w14:paraId="2F9C07DF">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429" w:type="pct"/>
                  <w:vAlign w:val="center"/>
                </w:tcPr>
                <w:p w14:paraId="111A65D3">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540" w:type="pct"/>
                  <w:vMerge w:val="continue"/>
                  <w:vAlign w:val="center"/>
                </w:tcPr>
                <w:p w14:paraId="2DDBC741">
                  <w:pPr>
                    <w:jc w:val="center"/>
                    <w:rPr>
                      <w:color w:val="auto"/>
                      <w:szCs w:val="22"/>
                      <w:highlight w:val="none"/>
                    </w:rPr>
                  </w:pPr>
                </w:p>
              </w:tc>
            </w:tr>
            <w:tr w14:paraId="61608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1" w:type="pct"/>
                  <w:vAlign w:val="center"/>
                </w:tcPr>
                <w:p w14:paraId="1A61049E">
                  <w:pPr>
                    <w:jc w:val="center"/>
                    <w:rPr>
                      <w:rFonts w:hint="eastAsia"/>
                      <w:color w:val="auto"/>
                      <w:szCs w:val="22"/>
                      <w:highlight w:val="none"/>
                    </w:rPr>
                  </w:pPr>
                  <w:r>
                    <w:rPr>
                      <w:rFonts w:hint="eastAsia"/>
                      <w:color w:val="auto"/>
                      <w:szCs w:val="22"/>
                      <w:highlight w:val="none"/>
                    </w:rPr>
                    <w:t>6</w:t>
                  </w:r>
                </w:p>
              </w:tc>
              <w:tc>
                <w:tcPr>
                  <w:tcW w:w="710" w:type="pct"/>
                  <w:vAlign w:val="center"/>
                </w:tcPr>
                <w:p w14:paraId="7E31AA5A">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废油</w:t>
                  </w:r>
                </w:p>
              </w:tc>
              <w:tc>
                <w:tcPr>
                  <w:tcW w:w="711" w:type="pct"/>
                  <w:vAlign w:val="center"/>
                </w:tcPr>
                <w:p w14:paraId="0A980D4C">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废水处理</w:t>
                  </w:r>
                </w:p>
              </w:tc>
              <w:tc>
                <w:tcPr>
                  <w:tcW w:w="464" w:type="pct"/>
                  <w:vAlign w:val="center"/>
                </w:tcPr>
                <w:p w14:paraId="3D5D5104">
                  <w:pPr>
                    <w:jc w:val="center"/>
                    <w:rPr>
                      <w:rFonts w:hint="eastAsia" w:ascii="Times New Roman" w:hAnsi="Times New Roman"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液态</w:t>
                  </w:r>
                </w:p>
              </w:tc>
              <w:tc>
                <w:tcPr>
                  <w:tcW w:w="799" w:type="pct"/>
                  <w:vAlign w:val="center"/>
                </w:tcPr>
                <w:p w14:paraId="66BABB02">
                  <w:pPr>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矿物油</w:t>
                  </w:r>
                </w:p>
              </w:tc>
              <w:tc>
                <w:tcPr>
                  <w:tcW w:w="603" w:type="pct"/>
                  <w:vAlign w:val="center"/>
                </w:tcPr>
                <w:p w14:paraId="36B4B5B0">
                  <w:pPr>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0.05</w:t>
                  </w:r>
                </w:p>
              </w:tc>
              <w:tc>
                <w:tcPr>
                  <w:tcW w:w="429" w:type="pct"/>
                  <w:vAlign w:val="center"/>
                </w:tcPr>
                <w:p w14:paraId="5CA414E9">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429" w:type="pct"/>
                  <w:vAlign w:val="center"/>
                </w:tcPr>
                <w:p w14:paraId="41E5D2FC">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540" w:type="pct"/>
                  <w:vMerge w:val="continue"/>
                  <w:vAlign w:val="center"/>
                </w:tcPr>
                <w:p w14:paraId="052BCFDB">
                  <w:pPr>
                    <w:jc w:val="center"/>
                    <w:rPr>
                      <w:color w:val="auto"/>
                      <w:szCs w:val="22"/>
                      <w:highlight w:val="none"/>
                    </w:rPr>
                  </w:pPr>
                </w:p>
              </w:tc>
            </w:tr>
            <w:tr w14:paraId="4A020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1" w:type="pct"/>
                  <w:vAlign w:val="center"/>
                </w:tcPr>
                <w:p w14:paraId="76187759">
                  <w:pPr>
                    <w:jc w:val="center"/>
                    <w:rPr>
                      <w:rFonts w:hint="eastAsia" w:eastAsia="宋体"/>
                      <w:color w:val="auto"/>
                      <w:szCs w:val="22"/>
                      <w:highlight w:val="none"/>
                      <w:lang w:val="en-US" w:eastAsia="zh-CN"/>
                    </w:rPr>
                  </w:pPr>
                  <w:r>
                    <w:rPr>
                      <w:rFonts w:hint="eastAsia"/>
                      <w:color w:val="auto"/>
                      <w:szCs w:val="22"/>
                      <w:highlight w:val="none"/>
                      <w:lang w:val="en-US" w:eastAsia="zh-CN"/>
                    </w:rPr>
                    <w:t>7</w:t>
                  </w:r>
                </w:p>
              </w:tc>
              <w:tc>
                <w:tcPr>
                  <w:tcW w:w="710" w:type="pct"/>
                  <w:vAlign w:val="center"/>
                </w:tcPr>
                <w:p w14:paraId="6A1380E6">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废包装材料</w:t>
                  </w:r>
                </w:p>
              </w:tc>
              <w:tc>
                <w:tcPr>
                  <w:tcW w:w="711" w:type="pct"/>
                  <w:vAlign w:val="center"/>
                </w:tcPr>
                <w:p w14:paraId="52F6ED54">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原料包装</w:t>
                  </w:r>
                </w:p>
              </w:tc>
              <w:tc>
                <w:tcPr>
                  <w:tcW w:w="464" w:type="pct"/>
                  <w:vAlign w:val="center"/>
                </w:tcPr>
                <w:p w14:paraId="3BC06A65">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固态</w:t>
                  </w:r>
                </w:p>
              </w:tc>
              <w:tc>
                <w:tcPr>
                  <w:tcW w:w="799" w:type="pct"/>
                  <w:vAlign w:val="center"/>
                </w:tcPr>
                <w:p w14:paraId="68958283">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塑料桶、铁桶</w:t>
                  </w:r>
                </w:p>
              </w:tc>
              <w:tc>
                <w:tcPr>
                  <w:tcW w:w="603" w:type="pct"/>
                  <w:vAlign w:val="center"/>
                </w:tcPr>
                <w:p w14:paraId="793BE2CD">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1.3</w:t>
                  </w:r>
                </w:p>
              </w:tc>
              <w:tc>
                <w:tcPr>
                  <w:tcW w:w="429" w:type="pct"/>
                  <w:vAlign w:val="center"/>
                </w:tcPr>
                <w:p w14:paraId="189712D3">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w:t>
                  </w:r>
                </w:p>
              </w:tc>
              <w:tc>
                <w:tcPr>
                  <w:tcW w:w="429" w:type="pct"/>
                  <w:vAlign w:val="center"/>
                </w:tcPr>
                <w:p w14:paraId="2697D954">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540" w:type="pct"/>
                  <w:vMerge w:val="continue"/>
                  <w:vAlign w:val="center"/>
                </w:tcPr>
                <w:p w14:paraId="2307A11E">
                  <w:pPr>
                    <w:jc w:val="center"/>
                    <w:rPr>
                      <w:color w:val="auto"/>
                      <w:szCs w:val="22"/>
                      <w:highlight w:val="none"/>
                    </w:rPr>
                  </w:pPr>
                </w:p>
              </w:tc>
            </w:tr>
            <w:tr w14:paraId="33CE3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Align w:val="center"/>
                </w:tcPr>
                <w:p w14:paraId="2C90E485">
                  <w:pPr>
                    <w:jc w:val="center"/>
                    <w:rPr>
                      <w:rFonts w:hint="default" w:eastAsia="宋体"/>
                      <w:color w:val="auto"/>
                      <w:szCs w:val="22"/>
                      <w:highlight w:val="none"/>
                      <w:lang w:val="en-US" w:eastAsia="zh-CN"/>
                    </w:rPr>
                  </w:pPr>
                  <w:r>
                    <w:rPr>
                      <w:rFonts w:hint="eastAsia"/>
                      <w:color w:val="auto"/>
                      <w:szCs w:val="22"/>
                      <w:highlight w:val="none"/>
                      <w:lang w:val="en-US" w:eastAsia="zh-CN"/>
                    </w:rPr>
                    <w:t>8</w:t>
                  </w:r>
                </w:p>
              </w:tc>
              <w:tc>
                <w:tcPr>
                  <w:tcW w:w="0" w:type="auto"/>
                  <w:vAlign w:val="center"/>
                </w:tcPr>
                <w:p w14:paraId="3160961E">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生活垃圾</w:t>
                  </w:r>
                </w:p>
              </w:tc>
              <w:tc>
                <w:tcPr>
                  <w:tcW w:w="711" w:type="pct"/>
                  <w:vAlign w:val="center"/>
                </w:tcPr>
                <w:p w14:paraId="5BA7E9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职工生活</w:t>
                  </w:r>
                </w:p>
              </w:tc>
              <w:tc>
                <w:tcPr>
                  <w:tcW w:w="464" w:type="pct"/>
                  <w:vAlign w:val="center"/>
                </w:tcPr>
                <w:p w14:paraId="3323AB4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固态</w:t>
                  </w:r>
                </w:p>
              </w:tc>
              <w:tc>
                <w:tcPr>
                  <w:tcW w:w="799" w:type="pct"/>
                  <w:vAlign w:val="center"/>
                </w:tcPr>
                <w:p w14:paraId="0BDFB0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cs="Times New Roman"/>
                      <w:color w:val="auto"/>
                      <w:szCs w:val="22"/>
                      <w:highlight w:val="none"/>
                      <w:lang w:val="en-US" w:eastAsia="zh-CN"/>
                    </w:rPr>
                    <w:t>果皮纸屑</w:t>
                  </w:r>
                </w:p>
              </w:tc>
              <w:tc>
                <w:tcPr>
                  <w:tcW w:w="0" w:type="auto"/>
                  <w:vAlign w:val="center"/>
                </w:tcPr>
                <w:p w14:paraId="1D924E35">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3</w:t>
                  </w:r>
                </w:p>
              </w:tc>
              <w:tc>
                <w:tcPr>
                  <w:tcW w:w="429" w:type="pct"/>
                  <w:vAlign w:val="center"/>
                </w:tcPr>
                <w:p w14:paraId="0645A8B0">
                  <w:pPr>
                    <w:jc w:val="center"/>
                    <w:rPr>
                      <w:rFonts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0" w:type="auto"/>
                  <w:vAlign w:val="center"/>
                </w:tcPr>
                <w:p w14:paraId="116B92A9">
                  <w:pPr>
                    <w:jc w:val="center"/>
                    <w:rPr>
                      <w:rFonts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w:t>
                  </w:r>
                </w:p>
              </w:tc>
              <w:tc>
                <w:tcPr>
                  <w:tcW w:w="540" w:type="pct"/>
                  <w:vMerge w:val="continue"/>
                  <w:vAlign w:val="center"/>
                </w:tcPr>
                <w:p w14:paraId="075D68F8">
                  <w:pPr>
                    <w:jc w:val="center"/>
                    <w:rPr>
                      <w:color w:val="auto"/>
                      <w:szCs w:val="22"/>
                      <w:highlight w:val="none"/>
                    </w:rPr>
                  </w:pPr>
                </w:p>
              </w:tc>
            </w:tr>
          </w:tbl>
          <w:p w14:paraId="59DA7A57">
            <w:pPr>
              <w:spacing w:line="360" w:lineRule="auto"/>
              <w:ind w:firstLine="420" w:firstLineChars="200"/>
              <w:rPr>
                <w:color w:val="FF0000"/>
                <w:szCs w:val="21"/>
                <w:highlight w:val="none"/>
              </w:rPr>
            </w:pPr>
          </w:p>
          <w:p w14:paraId="7404788B">
            <w:pPr>
              <w:spacing w:line="360" w:lineRule="auto"/>
              <w:ind w:firstLine="420" w:firstLineChars="200"/>
              <w:rPr>
                <w:color w:val="FF0000"/>
                <w:szCs w:val="21"/>
                <w:highlight w:val="none"/>
              </w:rPr>
            </w:pPr>
          </w:p>
        </w:tc>
      </w:tr>
    </w:tbl>
    <w:p w14:paraId="1C2D319C">
      <w:pPr>
        <w:jc w:val="center"/>
        <w:rPr>
          <w:rFonts w:ascii="Times New Roman" w:hAnsi="Times New Roman" w:eastAsia="宋体" w:cs="Times New Roman"/>
          <w:color w:val="FF0000"/>
          <w:sz w:val="24"/>
          <w:szCs w:val="22"/>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1"/>
        <w:tblW w:w="13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3089"/>
      </w:tblGrid>
      <w:tr w14:paraId="1B89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5" w:type="dxa"/>
            <w:vAlign w:val="center"/>
          </w:tcPr>
          <w:p w14:paraId="60937798">
            <w:pPr>
              <w:jc w:val="center"/>
              <w:rPr>
                <w:color w:val="FF0000"/>
                <w:sz w:val="24"/>
                <w:szCs w:val="22"/>
                <w:highlight w:val="none"/>
              </w:rPr>
            </w:pPr>
          </w:p>
        </w:tc>
        <w:tc>
          <w:tcPr>
            <w:tcW w:w="8454" w:type="dxa"/>
            <w:vAlign w:val="center"/>
          </w:tcPr>
          <w:p w14:paraId="70298BB0">
            <w:pPr>
              <w:spacing w:line="300" w:lineRule="auto"/>
              <w:ind w:firstLine="420" w:firstLineChars="200"/>
              <w:jc w:val="both"/>
              <w:rPr>
                <w:rFonts w:hint="eastAsia"/>
                <w:color w:val="auto"/>
                <w:szCs w:val="20"/>
                <w:highlight w:val="none"/>
              </w:rPr>
            </w:pPr>
            <w:r>
              <w:rPr>
                <w:rFonts w:hint="eastAsia"/>
                <w:color w:val="auto"/>
                <w:szCs w:val="20"/>
                <w:highlight w:val="none"/>
              </w:rPr>
              <w:t>本项目固体废弃物分析结果汇总见表4-</w:t>
            </w:r>
            <w:r>
              <w:rPr>
                <w:rFonts w:hint="eastAsia"/>
                <w:color w:val="auto"/>
                <w:szCs w:val="20"/>
                <w:highlight w:val="none"/>
                <w:lang w:val="en-US" w:eastAsia="zh-CN"/>
              </w:rPr>
              <w:t>32</w:t>
            </w:r>
            <w:r>
              <w:rPr>
                <w:rFonts w:hint="eastAsia"/>
                <w:color w:val="auto"/>
                <w:szCs w:val="20"/>
                <w:highlight w:val="none"/>
              </w:rPr>
              <w:t>，固体废物污染源源强核算结果及相关参数见表4-</w:t>
            </w:r>
            <w:r>
              <w:rPr>
                <w:rFonts w:hint="eastAsia"/>
                <w:color w:val="auto"/>
                <w:szCs w:val="20"/>
                <w:highlight w:val="none"/>
                <w:lang w:val="en-US" w:eastAsia="zh-CN"/>
              </w:rPr>
              <w:t>33</w:t>
            </w:r>
            <w:r>
              <w:rPr>
                <w:rFonts w:hint="eastAsia"/>
                <w:color w:val="auto"/>
                <w:szCs w:val="20"/>
                <w:highlight w:val="none"/>
              </w:rPr>
              <w:t>。</w:t>
            </w:r>
          </w:p>
          <w:p w14:paraId="402F6F57">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lang w:val="en-US" w:eastAsia="zh-CN"/>
              </w:rPr>
              <w:t>32</w:t>
            </w:r>
            <w:r>
              <w:rPr>
                <w:rFonts w:hint="eastAsia"/>
                <w:b/>
                <w:bCs/>
                <w:color w:val="auto"/>
                <w:szCs w:val="21"/>
                <w:highlight w:val="none"/>
              </w:rPr>
              <w:t xml:space="preserve"> 项目营运期固体废物分析结果汇总表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2"/>
              <w:gridCol w:w="1260"/>
              <w:gridCol w:w="1021"/>
              <w:gridCol w:w="1352"/>
              <w:gridCol w:w="705"/>
              <w:gridCol w:w="1498"/>
              <w:gridCol w:w="1802"/>
              <w:gridCol w:w="989"/>
              <w:gridCol w:w="955"/>
              <w:gridCol w:w="1272"/>
              <w:gridCol w:w="1457"/>
            </w:tblGrid>
            <w:tr w14:paraId="2676E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218" w:type="pct"/>
                  <w:vAlign w:val="center"/>
                </w:tcPr>
                <w:p w14:paraId="209B23BC">
                  <w:pPr>
                    <w:jc w:val="center"/>
                    <w:rPr>
                      <w:b/>
                      <w:bCs/>
                      <w:color w:val="auto"/>
                      <w:szCs w:val="21"/>
                      <w:highlight w:val="none"/>
                    </w:rPr>
                  </w:pPr>
                  <w:r>
                    <w:rPr>
                      <w:rFonts w:hint="eastAsia"/>
                      <w:b/>
                      <w:bCs/>
                      <w:color w:val="auto"/>
                      <w:szCs w:val="21"/>
                      <w:highlight w:val="none"/>
                    </w:rPr>
                    <w:t>序号</w:t>
                  </w:r>
                </w:p>
              </w:tc>
              <w:tc>
                <w:tcPr>
                  <w:tcW w:w="489" w:type="pct"/>
                  <w:vAlign w:val="center"/>
                </w:tcPr>
                <w:p w14:paraId="07B3F9AC">
                  <w:pPr>
                    <w:jc w:val="center"/>
                    <w:rPr>
                      <w:b/>
                      <w:bCs/>
                      <w:color w:val="auto"/>
                      <w:szCs w:val="21"/>
                      <w:highlight w:val="none"/>
                    </w:rPr>
                  </w:pPr>
                  <w:r>
                    <w:rPr>
                      <w:rFonts w:hint="eastAsia"/>
                      <w:b/>
                      <w:bCs/>
                      <w:color w:val="auto"/>
                      <w:szCs w:val="21"/>
                      <w:highlight w:val="none"/>
                    </w:rPr>
                    <w:t>固废名称</w:t>
                  </w:r>
                </w:p>
              </w:tc>
              <w:tc>
                <w:tcPr>
                  <w:tcW w:w="396" w:type="pct"/>
                  <w:vAlign w:val="center"/>
                </w:tcPr>
                <w:p w14:paraId="1CFFDEC9">
                  <w:pPr>
                    <w:jc w:val="center"/>
                    <w:rPr>
                      <w:b/>
                      <w:bCs/>
                      <w:color w:val="auto"/>
                      <w:szCs w:val="21"/>
                      <w:highlight w:val="none"/>
                    </w:rPr>
                  </w:pPr>
                  <w:r>
                    <w:rPr>
                      <w:rFonts w:hint="eastAsia"/>
                      <w:b/>
                      <w:bCs/>
                      <w:color w:val="auto"/>
                      <w:szCs w:val="21"/>
                      <w:highlight w:val="none"/>
                    </w:rPr>
                    <w:t>属性</w:t>
                  </w:r>
                </w:p>
              </w:tc>
              <w:tc>
                <w:tcPr>
                  <w:tcW w:w="525" w:type="pct"/>
                  <w:vAlign w:val="center"/>
                </w:tcPr>
                <w:p w14:paraId="61484481">
                  <w:pPr>
                    <w:jc w:val="center"/>
                    <w:rPr>
                      <w:b/>
                      <w:bCs/>
                      <w:color w:val="auto"/>
                      <w:szCs w:val="21"/>
                      <w:highlight w:val="none"/>
                    </w:rPr>
                  </w:pPr>
                  <w:r>
                    <w:rPr>
                      <w:rFonts w:hint="eastAsia"/>
                      <w:b/>
                      <w:bCs/>
                      <w:color w:val="auto"/>
                      <w:szCs w:val="21"/>
                      <w:highlight w:val="none"/>
                    </w:rPr>
                    <w:t>产生工序</w:t>
                  </w:r>
                </w:p>
              </w:tc>
              <w:tc>
                <w:tcPr>
                  <w:tcW w:w="273" w:type="pct"/>
                  <w:vAlign w:val="center"/>
                </w:tcPr>
                <w:p w14:paraId="4E5612A7">
                  <w:pPr>
                    <w:jc w:val="center"/>
                    <w:rPr>
                      <w:b/>
                      <w:bCs/>
                      <w:color w:val="auto"/>
                      <w:szCs w:val="21"/>
                      <w:highlight w:val="none"/>
                    </w:rPr>
                  </w:pPr>
                  <w:r>
                    <w:rPr>
                      <w:rFonts w:hint="eastAsia"/>
                      <w:b/>
                      <w:bCs/>
                      <w:color w:val="auto"/>
                      <w:szCs w:val="21"/>
                      <w:highlight w:val="none"/>
                    </w:rPr>
                    <w:t>形态</w:t>
                  </w:r>
                </w:p>
              </w:tc>
              <w:tc>
                <w:tcPr>
                  <w:tcW w:w="581" w:type="pct"/>
                  <w:vAlign w:val="center"/>
                </w:tcPr>
                <w:p w14:paraId="2D62D3F9">
                  <w:pPr>
                    <w:jc w:val="center"/>
                    <w:rPr>
                      <w:b/>
                      <w:bCs/>
                      <w:color w:val="auto"/>
                      <w:szCs w:val="21"/>
                      <w:highlight w:val="none"/>
                    </w:rPr>
                  </w:pPr>
                  <w:r>
                    <w:rPr>
                      <w:rFonts w:hint="eastAsia"/>
                      <w:b/>
                      <w:bCs/>
                      <w:color w:val="auto"/>
                      <w:szCs w:val="21"/>
                      <w:highlight w:val="none"/>
                    </w:rPr>
                    <w:t>主要成分</w:t>
                  </w:r>
                </w:p>
              </w:tc>
              <w:tc>
                <w:tcPr>
                  <w:tcW w:w="699" w:type="pct"/>
                  <w:vAlign w:val="center"/>
                </w:tcPr>
                <w:p w14:paraId="2F8E85AA">
                  <w:pPr>
                    <w:jc w:val="center"/>
                    <w:rPr>
                      <w:b/>
                      <w:bCs/>
                      <w:color w:val="auto"/>
                      <w:szCs w:val="21"/>
                      <w:highlight w:val="none"/>
                    </w:rPr>
                  </w:pPr>
                  <w:r>
                    <w:rPr>
                      <w:rFonts w:hint="eastAsia"/>
                      <w:b/>
                      <w:bCs/>
                      <w:color w:val="auto"/>
                      <w:szCs w:val="21"/>
                      <w:highlight w:val="none"/>
                    </w:rPr>
                    <w:t>危险特性鉴别方法</w:t>
                  </w:r>
                </w:p>
              </w:tc>
              <w:tc>
                <w:tcPr>
                  <w:tcW w:w="384" w:type="pct"/>
                  <w:vAlign w:val="center"/>
                </w:tcPr>
                <w:p w14:paraId="456EA245">
                  <w:pPr>
                    <w:jc w:val="center"/>
                    <w:rPr>
                      <w:b/>
                      <w:bCs/>
                      <w:color w:val="auto"/>
                      <w:szCs w:val="21"/>
                      <w:highlight w:val="none"/>
                    </w:rPr>
                  </w:pPr>
                  <w:r>
                    <w:rPr>
                      <w:rFonts w:hint="eastAsia"/>
                      <w:b/>
                      <w:bCs/>
                      <w:color w:val="auto"/>
                      <w:szCs w:val="21"/>
                      <w:highlight w:val="none"/>
                    </w:rPr>
                    <w:t>危险特性</w:t>
                  </w:r>
                </w:p>
              </w:tc>
              <w:tc>
                <w:tcPr>
                  <w:tcW w:w="370" w:type="pct"/>
                  <w:vAlign w:val="center"/>
                </w:tcPr>
                <w:p w14:paraId="32DAE413">
                  <w:pPr>
                    <w:jc w:val="center"/>
                    <w:rPr>
                      <w:b/>
                      <w:bCs/>
                      <w:color w:val="auto"/>
                      <w:szCs w:val="21"/>
                      <w:highlight w:val="none"/>
                    </w:rPr>
                  </w:pPr>
                  <w:r>
                    <w:rPr>
                      <w:rFonts w:hint="eastAsia"/>
                      <w:b/>
                      <w:bCs/>
                      <w:color w:val="auto"/>
                      <w:szCs w:val="21"/>
                      <w:highlight w:val="none"/>
                    </w:rPr>
                    <w:t>废物类别</w:t>
                  </w:r>
                </w:p>
              </w:tc>
              <w:tc>
                <w:tcPr>
                  <w:tcW w:w="494" w:type="pct"/>
                  <w:vAlign w:val="center"/>
                </w:tcPr>
                <w:p w14:paraId="0CCA0E83">
                  <w:pPr>
                    <w:jc w:val="center"/>
                    <w:rPr>
                      <w:b/>
                      <w:bCs/>
                      <w:color w:val="auto"/>
                      <w:szCs w:val="21"/>
                      <w:highlight w:val="none"/>
                    </w:rPr>
                  </w:pPr>
                  <w:r>
                    <w:rPr>
                      <w:rFonts w:hint="eastAsia"/>
                      <w:b/>
                      <w:bCs/>
                      <w:color w:val="auto"/>
                      <w:szCs w:val="21"/>
                      <w:highlight w:val="none"/>
                    </w:rPr>
                    <w:t>废物代码</w:t>
                  </w:r>
                </w:p>
              </w:tc>
              <w:tc>
                <w:tcPr>
                  <w:tcW w:w="565" w:type="pct"/>
                  <w:vAlign w:val="center"/>
                </w:tcPr>
                <w:p w14:paraId="2A5E8AD3">
                  <w:pPr>
                    <w:jc w:val="center"/>
                    <w:rPr>
                      <w:b/>
                      <w:bCs/>
                      <w:color w:val="auto"/>
                      <w:szCs w:val="21"/>
                      <w:highlight w:val="none"/>
                    </w:rPr>
                  </w:pPr>
                  <w:r>
                    <w:rPr>
                      <w:rFonts w:hint="eastAsia"/>
                      <w:b/>
                      <w:bCs/>
                      <w:color w:val="auto"/>
                      <w:szCs w:val="21"/>
                      <w:highlight w:val="none"/>
                    </w:rPr>
                    <w:t>预测产生量（t/a）</w:t>
                  </w:r>
                </w:p>
              </w:tc>
            </w:tr>
            <w:tr w14:paraId="51B84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 w:type="pct"/>
                  <w:vAlign w:val="center"/>
                </w:tcPr>
                <w:p w14:paraId="12A4C1C0">
                  <w:pPr>
                    <w:jc w:val="center"/>
                    <w:rPr>
                      <w:color w:val="auto"/>
                      <w:szCs w:val="21"/>
                      <w:highlight w:val="none"/>
                    </w:rPr>
                  </w:pPr>
                  <w:r>
                    <w:rPr>
                      <w:rFonts w:hint="eastAsia"/>
                      <w:color w:val="auto"/>
                      <w:szCs w:val="21"/>
                      <w:highlight w:val="none"/>
                    </w:rPr>
                    <w:t>1</w:t>
                  </w:r>
                </w:p>
              </w:tc>
              <w:tc>
                <w:tcPr>
                  <w:tcW w:w="489" w:type="pct"/>
                  <w:vAlign w:val="center"/>
                </w:tcPr>
                <w:p w14:paraId="42619519">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槽渣</w:t>
                  </w:r>
                </w:p>
              </w:tc>
              <w:tc>
                <w:tcPr>
                  <w:tcW w:w="396" w:type="pct"/>
                  <w:vAlign w:val="center"/>
                </w:tcPr>
                <w:p w14:paraId="67497D5D">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1"/>
                      <w:highlight w:val="none"/>
                    </w:rPr>
                    <w:t>危险废物</w:t>
                  </w:r>
                </w:p>
              </w:tc>
              <w:tc>
                <w:tcPr>
                  <w:tcW w:w="525" w:type="pct"/>
                  <w:vAlign w:val="center"/>
                </w:tcPr>
                <w:p w14:paraId="1A32918F">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表面处理</w:t>
                  </w:r>
                </w:p>
              </w:tc>
              <w:tc>
                <w:tcPr>
                  <w:tcW w:w="273" w:type="pct"/>
                  <w:vAlign w:val="center"/>
                </w:tcPr>
                <w:p w14:paraId="67AF6C43">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固态</w:t>
                  </w:r>
                </w:p>
              </w:tc>
              <w:tc>
                <w:tcPr>
                  <w:tcW w:w="581" w:type="pct"/>
                  <w:vAlign w:val="center"/>
                </w:tcPr>
                <w:p w14:paraId="5D71B10A">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槽渣</w:t>
                  </w:r>
                </w:p>
              </w:tc>
              <w:tc>
                <w:tcPr>
                  <w:tcW w:w="699" w:type="pct"/>
                  <w:vMerge w:val="restart"/>
                  <w:vAlign w:val="center"/>
                </w:tcPr>
                <w:p w14:paraId="54449F40">
                  <w:pPr>
                    <w:jc w:val="center"/>
                    <w:rPr>
                      <w:color w:val="auto"/>
                      <w:szCs w:val="21"/>
                      <w:highlight w:val="none"/>
                    </w:rPr>
                  </w:pPr>
                  <w:r>
                    <w:rPr>
                      <w:color w:val="auto"/>
                      <w:szCs w:val="21"/>
                      <w:highlight w:val="none"/>
                    </w:rPr>
                    <w:t>《国家危险废物名录》（202</w:t>
                  </w:r>
                  <w:r>
                    <w:rPr>
                      <w:rFonts w:hint="eastAsia"/>
                      <w:color w:val="auto"/>
                      <w:szCs w:val="21"/>
                      <w:highlight w:val="none"/>
                      <w:lang w:val="en-US" w:eastAsia="zh-CN"/>
                    </w:rPr>
                    <w:t>5</w:t>
                  </w:r>
                  <w:r>
                    <w:rPr>
                      <w:color w:val="auto"/>
                      <w:szCs w:val="21"/>
                      <w:highlight w:val="none"/>
                    </w:rPr>
                    <w:t>年）以及《危险废物鉴别标准》</w:t>
                  </w:r>
                </w:p>
              </w:tc>
              <w:tc>
                <w:tcPr>
                  <w:tcW w:w="384" w:type="pct"/>
                  <w:vAlign w:val="center"/>
                </w:tcPr>
                <w:p w14:paraId="61868A5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T</w:t>
                  </w:r>
                  <w:r>
                    <w:rPr>
                      <w:rFonts w:hint="eastAsia"/>
                      <w:color w:val="auto"/>
                      <w:szCs w:val="21"/>
                      <w:highlight w:val="none"/>
                      <w:lang w:val="en-US" w:eastAsia="zh-CN"/>
                    </w:rPr>
                    <w:t>/C</w:t>
                  </w:r>
                </w:p>
              </w:tc>
              <w:tc>
                <w:tcPr>
                  <w:tcW w:w="370" w:type="pct"/>
                  <w:vAlign w:val="center"/>
                </w:tcPr>
                <w:p w14:paraId="761D981C">
                  <w:pPr>
                    <w:widowControl/>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HW</w:t>
                  </w:r>
                  <w:r>
                    <w:rPr>
                      <w:rFonts w:hint="eastAsia"/>
                      <w:color w:val="auto"/>
                      <w:szCs w:val="21"/>
                      <w:highlight w:val="none"/>
                      <w:lang w:val="en-US" w:eastAsia="zh-CN"/>
                    </w:rPr>
                    <w:t>17</w:t>
                  </w:r>
                </w:p>
              </w:tc>
              <w:tc>
                <w:tcPr>
                  <w:tcW w:w="494" w:type="pct"/>
                  <w:vAlign w:val="center"/>
                </w:tcPr>
                <w:p w14:paraId="628CC6CC">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lang w:val="en-US" w:eastAsia="zh-CN"/>
                    </w:rPr>
                    <w:t>336-064-17</w:t>
                  </w:r>
                </w:p>
              </w:tc>
              <w:tc>
                <w:tcPr>
                  <w:tcW w:w="565" w:type="pct"/>
                  <w:vAlign w:val="center"/>
                </w:tcPr>
                <w:p w14:paraId="09533CD5">
                  <w:pPr>
                    <w:jc w:val="center"/>
                    <w:rPr>
                      <w:rFonts w:hint="default" w:ascii="Times New Roman" w:hAnsi="Times New Roman" w:eastAsia="宋体" w:cs="Times New Roman"/>
                      <w:color w:val="FF0000"/>
                      <w:kern w:val="2"/>
                      <w:sz w:val="21"/>
                      <w:szCs w:val="22"/>
                      <w:highlight w:val="none"/>
                      <w:lang w:val="en-US" w:eastAsia="zh-CN" w:bidi="ar-SA"/>
                    </w:rPr>
                  </w:pPr>
                  <w:r>
                    <w:rPr>
                      <w:rFonts w:hint="eastAsia"/>
                      <w:color w:val="auto"/>
                      <w:szCs w:val="22"/>
                      <w:highlight w:val="none"/>
                    </w:rPr>
                    <w:t>0.</w:t>
                  </w:r>
                  <w:r>
                    <w:rPr>
                      <w:rFonts w:hint="eastAsia"/>
                      <w:color w:val="auto"/>
                      <w:szCs w:val="22"/>
                      <w:highlight w:val="none"/>
                      <w:lang w:val="en-US" w:eastAsia="zh-CN"/>
                    </w:rPr>
                    <w:t>5</w:t>
                  </w:r>
                </w:p>
              </w:tc>
            </w:tr>
            <w:tr w14:paraId="724BD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 w:type="pct"/>
                  <w:shd w:val="clear" w:color="auto" w:fill="auto"/>
                  <w:vAlign w:val="center"/>
                </w:tcPr>
                <w:p w14:paraId="1D173AB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w:t>
                  </w:r>
                </w:p>
              </w:tc>
              <w:tc>
                <w:tcPr>
                  <w:tcW w:w="489" w:type="pct"/>
                  <w:vAlign w:val="center"/>
                </w:tcPr>
                <w:p w14:paraId="4C03DD7D">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废布袋</w:t>
                  </w:r>
                </w:p>
              </w:tc>
              <w:tc>
                <w:tcPr>
                  <w:tcW w:w="396" w:type="pct"/>
                  <w:vAlign w:val="center"/>
                </w:tcPr>
                <w:p w14:paraId="5E2D39C2">
                  <w:pPr>
                    <w:jc w:val="center"/>
                    <w:rPr>
                      <w:color w:val="auto"/>
                      <w:szCs w:val="21"/>
                      <w:highlight w:val="none"/>
                    </w:rPr>
                  </w:pPr>
                  <w:r>
                    <w:rPr>
                      <w:rFonts w:hint="eastAsia"/>
                      <w:color w:val="auto"/>
                      <w:szCs w:val="21"/>
                      <w:highlight w:val="none"/>
                    </w:rPr>
                    <w:t>危险废物</w:t>
                  </w:r>
                </w:p>
              </w:tc>
              <w:tc>
                <w:tcPr>
                  <w:tcW w:w="525" w:type="pct"/>
                  <w:vAlign w:val="center"/>
                </w:tcPr>
                <w:p w14:paraId="4091B879">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废气处理</w:t>
                  </w:r>
                </w:p>
              </w:tc>
              <w:tc>
                <w:tcPr>
                  <w:tcW w:w="273" w:type="pct"/>
                  <w:vAlign w:val="center"/>
                </w:tcPr>
                <w:p w14:paraId="35C97BBF">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固态</w:t>
                  </w:r>
                </w:p>
              </w:tc>
              <w:tc>
                <w:tcPr>
                  <w:tcW w:w="581" w:type="pct"/>
                  <w:vAlign w:val="center"/>
                </w:tcPr>
                <w:p w14:paraId="4F18D789">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布袋</w:t>
                  </w:r>
                </w:p>
              </w:tc>
              <w:tc>
                <w:tcPr>
                  <w:tcW w:w="699" w:type="pct"/>
                  <w:vMerge w:val="continue"/>
                  <w:vAlign w:val="center"/>
                </w:tcPr>
                <w:p w14:paraId="79AE9BF2">
                  <w:pPr>
                    <w:jc w:val="center"/>
                    <w:rPr>
                      <w:color w:val="auto"/>
                      <w:szCs w:val="21"/>
                      <w:highlight w:val="none"/>
                    </w:rPr>
                  </w:pPr>
                </w:p>
              </w:tc>
              <w:tc>
                <w:tcPr>
                  <w:tcW w:w="384" w:type="pct"/>
                  <w:vAlign w:val="center"/>
                </w:tcPr>
                <w:p w14:paraId="6689D79D">
                  <w:pPr>
                    <w:widowControl/>
                    <w:jc w:val="center"/>
                    <w:rPr>
                      <w:color w:val="auto"/>
                      <w:szCs w:val="21"/>
                      <w:highlight w:val="none"/>
                    </w:rPr>
                  </w:pPr>
                  <w:r>
                    <w:rPr>
                      <w:rFonts w:hint="eastAsia"/>
                      <w:color w:val="auto"/>
                      <w:sz w:val="21"/>
                      <w:szCs w:val="21"/>
                      <w:highlight w:val="none"/>
                      <w:lang w:val="en-US" w:eastAsia="zh-CN"/>
                    </w:rPr>
                    <w:t>T/In</w:t>
                  </w:r>
                </w:p>
              </w:tc>
              <w:tc>
                <w:tcPr>
                  <w:tcW w:w="370" w:type="pct"/>
                  <w:vAlign w:val="center"/>
                </w:tcPr>
                <w:p w14:paraId="7BAE6642">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HW49</w:t>
                  </w:r>
                </w:p>
              </w:tc>
              <w:tc>
                <w:tcPr>
                  <w:tcW w:w="494" w:type="pct"/>
                  <w:vAlign w:val="center"/>
                </w:tcPr>
                <w:p w14:paraId="3B8FE4FD">
                  <w:pPr>
                    <w:widowControl/>
                    <w:jc w:val="center"/>
                    <w:rPr>
                      <w:color w:val="auto"/>
                      <w:szCs w:val="21"/>
                      <w:highlight w:val="none"/>
                    </w:rPr>
                  </w:pPr>
                  <w:r>
                    <w:rPr>
                      <w:rFonts w:hint="eastAsia"/>
                      <w:color w:val="auto"/>
                      <w:sz w:val="21"/>
                      <w:szCs w:val="21"/>
                      <w:lang w:val="en-US" w:eastAsia="zh-CN"/>
                    </w:rPr>
                    <w:t>900-041-49</w:t>
                  </w:r>
                </w:p>
              </w:tc>
              <w:tc>
                <w:tcPr>
                  <w:tcW w:w="565" w:type="pct"/>
                  <w:vAlign w:val="center"/>
                </w:tcPr>
                <w:p w14:paraId="2F458BA4">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0.05</w:t>
                  </w:r>
                </w:p>
              </w:tc>
            </w:tr>
            <w:tr w14:paraId="4126D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shd w:val="clear" w:color="auto" w:fill="auto"/>
                  <w:vAlign w:val="center"/>
                </w:tcPr>
                <w:p w14:paraId="7B5D091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p>
              </w:tc>
              <w:tc>
                <w:tcPr>
                  <w:tcW w:w="489" w:type="pct"/>
                  <w:vAlign w:val="center"/>
                </w:tcPr>
                <w:p w14:paraId="1A41647D">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废活性炭</w:t>
                  </w:r>
                </w:p>
              </w:tc>
              <w:tc>
                <w:tcPr>
                  <w:tcW w:w="396" w:type="pct"/>
                  <w:vAlign w:val="center"/>
                </w:tcPr>
                <w:p w14:paraId="34903E06">
                  <w:pPr>
                    <w:jc w:val="center"/>
                    <w:rPr>
                      <w:color w:val="auto"/>
                      <w:szCs w:val="21"/>
                      <w:highlight w:val="none"/>
                    </w:rPr>
                  </w:pPr>
                  <w:r>
                    <w:rPr>
                      <w:rFonts w:hint="eastAsia"/>
                      <w:color w:val="auto"/>
                      <w:szCs w:val="21"/>
                      <w:highlight w:val="none"/>
                    </w:rPr>
                    <w:t>危险废物</w:t>
                  </w:r>
                </w:p>
              </w:tc>
              <w:tc>
                <w:tcPr>
                  <w:tcW w:w="0" w:type="auto"/>
                  <w:vAlign w:val="center"/>
                </w:tcPr>
                <w:p w14:paraId="59542334">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废气处理</w:t>
                  </w:r>
                </w:p>
              </w:tc>
              <w:tc>
                <w:tcPr>
                  <w:tcW w:w="0" w:type="auto"/>
                  <w:vAlign w:val="center"/>
                </w:tcPr>
                <w:p w14:paraId="31DDCAD3">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固态</w:t>
                  </w:r>
                </w:p>
              </w:tc>
              <w:tc>
                <w:tcPr>
                  <w:tcW w:w="0" w:type="auto"/>
                  <w:vAlign w:val="center"/>
                </w:tcPr>
                <w:p w14:paraId="034EEBDE">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活性炭、有机物</w:t>
                  </w:r>
                </w:p>
              </w:tc>
              <w:tc>
                <w:tcPr>
                  <w:tcW w:w="699" w:type="pct"/>
                  <w:vMerge w:val="continue"/>
                  <w:vAlign w:val="center"/>
                </w:tcPr>
                <w:p w14:paraId="1E6AEF03">
                  <w:pPr>
                    <w:jc w:val="center"/>
                    <w:rPr>
                      <w:color w:val="auto"/>
                      <w:szCs w:val="21"/>
                      <w:highlight w:val="none"/>
                    </w:rPr>
                  </w:pPr>
                </w:p>
              </w:tc>
              <w:tc>
                <w:tcPr>
                  <w:tcW w:w="0" w:type="auto"/>
                  <w:vAlign w:val="center"/>
                </w:tcPr>
                <w:p w14:paraId="562794B9">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T</w:t>
                  </w:r>
                </w:p>
              </w:tc>
              <w:tc>
                <w:tcPr>
                  <w:tcW w:w="0" w:type="auto"/>
                  <w:vAlign w:val="center"/>
                </w:tcPr>
                <w:p w14:paraId="4DB708E1">
                  <w:pPr>
                    <w:widowControl/>
                    <w:jc w:val="center"/>
                    <w:rPr>
                      <w:rFonts w:hint="eastAsia" w:eastAsia="宋体"/>
                      <w:color w:val="auto"/>
                      <w:szCs w:val="21"/>
                      <w:highlight w:val="none"/>
                      <w:lang w:eastAsia="zh-CN"/>
                    </w:rPr>
                  </w:pPr>
                  <w:r>
                    <w:rPr>
                      <w:rFonts w:hint="eastAsia"/>
                      <w:color w:val="auto"/>
                      <w:szCs w:val="21"/>
                      <w:highlight w:val="none"/>
                    </w:rPr>
                    <w:t>HW49</w:t>
                  </w:r>
                </w:p>
              </w:tc>
              <w:tc>
                <w:tcPr>
                  <w:tcW w:w="0" w:type="auto"/>
                  <w:vAlign w:val="center"/>
                </w:tcPr>
                <w:p w14:paraId="58F8BDFE">
                  <w:pPr>
                    <w:widowControl/>
                    <w:jc w:val="center"/>
                    <w:rPr>
                      <w:color w:val="auto"/>
                      <w:szCs w:val="21"/>
                      <w:highlight w:val="none"/>
                    </w:rPr>
                  </w:pPr>
                  <w:r>
                    <w:rPr>
                      <w:rFonts w:hint="eastAsia"/>
                      <w:color w:val="auto"/>
                      <w:szCs w:val="21"/>
                      <w:highlight w:val="none"/>
                    </w:rPr>
                    <w:t>900-039-49</w:t>
                  </w:r>
                </w:p>
              </w:tc>
              <w:tc>
                <w:tcPr>
                  <w:tcW w:w="0" w:type="auto"/>
                  <w:vAlign w:val="center"/>
                </w:tcPr>
                <w:p w14:paraId="13DC0A9D">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4.2369</w:t>
                  </w:r>
                </w:p>
              </w:tc>
            </w:tr>
            <w:tr w14:paraId="47C3E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shd w:val="clear" w:color="auto" w:fill="auto"/>
                  <w:vAlign w:val="center"/>
                </w:tcPr>
                <w:p w14:paraId="345EA052">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w:t>
                  </w:r>
                </w:p>
              </w:tc>
              <w:tc>
                <w:tcPr>
                  <w:tcW w:w="489" w:type="pct"/>
                  <w:vAlign w:val="center"/>
                </w:tcPr>
                <w:p w14:paraId="7FDFB9D3">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污泥</w:t>
                  </w:r>
                </w:p>
              </w:tc>
              <w:tc>
                <w:tcPr>
                  <w:tcW w:w="396" w:type="pct"/>
                  <w:vAlign w:val="center"/>
                </w:tcPr>
                <w:p w14:paraId="0FA51DC9">
                  <w:pPr>
                    <w:jc w:val="center"/>
                    <w:rPr>
                      <w:color w:val="auto"/>
                      <w:szCs w:val="21"/>
                      <w:highlight w:val="none"/>
                    </w:rPr>
                  </w:pPr>
                  <w:r>
                    <w:rPr>
                      <w:rFonts w:hint="eastAsia"/>
                      <w:color w:val="auto"/>
                      <w:szCs w:val="21"/>
                      <w:highlight w:val="none"/>
                    </w:rPr>
                    <w:t>危险废物</w:t>
                  </w:r>
                </w:p>
              </w:tc>
              <w:tc>
                <w:tcPr>
                  <w:tcW w:w="0" w:type="auto"/>
                  <w:vAlign w:val="center"/>
                </w:tcPr>
                <w:p w14:paraId="24769520">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废水处理</w:t>
                  </w:r>
                </w:p>
              </w:tc>
              <w:tc>
                <w:tcPr>
                  <w:tcW w:w="0" w:type="auto"/>
                  <w:vAlign w:val="center"/>
                </w:tcPr>
                <w:p w14:paraId="7B9E9A58">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半固态</w:t>
                  </w:r>
                </w:p>
              </w:tc>
              <w:tc>
                <w:tcPr>
                  <w:tcW w:w="0" w:type="auto"/>
                  <w:vAlign w:val="center"/>
                </w:tcPr>
                <w:p w14:paraId="00B2F118">
                  <w:pPr>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污泥</w:t>
                  </w:r>
                </w:p>
              </w:tc>
              <w:tc>
                <w:tcPr>
                  <w:tcW w:w="699" w:type="pct"/>
                  <w:vMerge w:val="continue"/>
                  <w:vAlign w:val="center"/>
                </w:tcPr>
                <w:p w14:paraId="7415DF2C">
                  <w:pPr>
                    <w:jc w:val="center"/>
                    <w:rPr>
                      <w:color w:val="auto"/>
                      <w:szCs w:val="21"/>
                      <w:highlight w:val="none"/>
                    </w:rPr>
                  </w:pPr>
                </w:p>
              </w:tc>
              <w:tc>
                <w:tcPr>
                  <w:tcW w:w="0" w:type="auto"/>
                  <w:vAlign w:val="center"/>
                </w:tcPr>
                <w:p w14:paraId="75AA585C">
                  <w:pPr>
                    <w:widowControl/>
                    <w:jc w:val="center"/>
                    <w:rPr>
                      <w:color w:val="auto"/>
                      <w:szCs w:val="21"/>
                      <w:highlight w:val="none"/>
                    </w:rPr>
                  </w:pPr>
                  <w:r>
                    <w:rPr>
                      <w:color w:val="auto"/>
                      <w:szCs w:val="21"/>
                      <w:highlight w:val="none"/>
                    </w:rPr>
                    <w:t>T</w:t>
                  </w:r>
                  <w:r>
                    <w:rPr>
                      <w:rFonts w:hint="eastAsia"/>
                      <w:color w:val="auto"/>
                      <w:szCs w:val="21"/>
                      <w:highlight w:val="none"/>
                      <w:lang w:val="en-US" w:eastAsia="zh-CN"/>
                    </w:rPr>
                    <w:t>/C</w:t>
                  </w:r>
                </w:p>
              </w:tc>
              <w:tc>
                <w:tcPr>
                  <w:tcW w:w="0" w:type="auto"/>
                  <w:vAlign w:val="center"/>
                </w:tcPr>
                <w:p w14:paraId="2C826E80">
                  <w:pPr>
                    <w:widowControl/>
                    <w:jc w:val="center"/>
                    <w:rPr>
                      <w:rFonts w:hint="eastAsia" w:eastAsia="宋体"/>
                      <w:color w:val="auto"/>
                      <w:szCs w:val="21"/>
                      <w:highlight w:val="none"/>
                      <w:lang w:eastAsia="zh-CN"/>
                    </w:rPr>
                  </w:pPr>
                  <w:r>
                    <w:rPr>
                      <w:rFonts w:hint="eastAsia"/>
                      <w:color w:val="auto"/>
                      <w:szCs w:val="21"/>
                      <w:highlight w:val="none"/>
                    </w:rPr>
                    <w:t>HW</w:t>
                  </w:r>
                  <w:r>
                    <w:rPr>
                      <w:rFonts w:hint="eastAsia"/>
                      <w:color w:val="auto"/>
                      <w:szCs w:val="21"/>
                      <w:highlight w:val="none"/>
                      <w:lang w:val="en-US" w:eastAsia="zh-CN"/>
                    </w:rPr>
                    <w:t>17</w:t>
                  </w:r>
                </w:p>
              </w:tc>
              <w:tc>
                <w:tcPr>
                  <w:tcW w:w="0" w:type="auto"/>
                  <w:vAlign w:val="center"/>
                </w:tcPr>
                <w:p w14:paraId="46358A5F">
                  <w:pPr>
                    <w:widowControl/>
                    <w:jc w:val="center"/>
                    <w:rPr>
                      <w:color w:val="auto"/>
                      <w:szCs w:val="21"/>
                      <w:highlight w:val="none"/>
                    </w:rPr>
                  </w:pPr>
                  <w:r>
                    <w:rPr>
                      <w:rFonts w:hint="eastAsia"/>
                      <w:color w:val="auto"/>
                      <w:szCs w:val="21"/>
                      <w:highlight w:val="none"/>
                    </w:rPr>
                    <w:t>336-064-17</w:t>
                  </w:r>
                </w:p>
              </w:tc>
              <w:tc>
                <w:tcPr>
                  <w:tcW w:w="0" w:type="auto"/>
                  <w:vAlign w:val="center"/>
                </w:tcPr>
                <w:p w14:paraId="6C8AED52">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15</w:t>
                  </w:r>
                </w:p>
              </w:tc>
            </w:tr>
            <w:tr w14:paraId="0E328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shd w:val="clear" w:color="auto" w:fill="auto"/>
                  <w:vAlign w:val="center"/>
                </w:tcPr>
                <w:p w14:paraId="20BC004F">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w:t>
                  </w:r>
                </w:p>
              </w:tc>
              <w:tc>
                <w:tcPr>
                  <w:tcW w:w="489" w:type="pct"/>
                  <w:vAlign w:val="center"/>
                </w:tcPr>
                <w:p w14:paraId="19DC442C">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废油</w:t>
                  </w:r>
                </w:p>
              </w:tc>
              <w:tc>
                <w:tcPr>
                  <w:tcW w:w="396" w:type="pct"/>
                  <w:vAlign w:val="center"/>
                </w:tcPr>
                <w:p w14:paraId="46ADE9BC">
                  <w:pPr>
                    <w:jc w:val="center"/>
                    <w:rPr>
                      <w:color w:val="auto"/>
                      <w:szCs w:val="21"/>
                      <w:highlight w:val="none"/>
                    </w:rPr>
                  </w:pPr>
                  <w:r>
                    <w:rPr>
                      <w:rFonts w:hint="eastAsia"/>
                      <w:color w:val="auto"/>
                      <w:szCs w:val="21"/>
                      <w:highlight w:val="none"/>
                    </w:rPr>
                    <w:t>危险废物</w:t>
                  </w:r>
                </w:p>
              </w:tc>
              <w:tc>
                <w:tcPr>
                  <w:tcW w:w="0" w:type="auto"/>
                  <w:vAlign w:val="center"/>
                </w:tcPr>
                <w:p w14:paraId="5C7ABD16">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废水处理</w:t>
                  </w:r>
                </w:p>
              </w:tc>
              <w:tc>
                <w:tcPr>
                  <w:tcW w:w="0" w:type="auto"/>
                  <w:vAlign w:val="center"/>
                </w:tcPr>
                <w:p w14:paraId="1E0A32BB">
                  <w:pPr>
                    <w:jc w:val="center"/>
                    <w:rPr>
                      <w:rFonts w:hint="eastAsia" w:ascii="Times New Roman" w:hAnsi="Times New Roman"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液态</w:t>
                  </w:r>
                </w:p>
              </w:tc>
              <w:tc>
                <w:tcPr>
                  <w:tcW w:w="0" w:type="auto"/>
                  <w:vAlign w:val="center"/>
                </w:tcPr>
                <w:p w14:paraId="67E5E95F">
                  <w:pPr>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矿物油</w:t>
                  </w:r>
                </w:p>
              </w:tc>
              <w:tc>
                <w:tcPr>
                  <w:tcW w:w="699" w:type="pct"/>
                  <w:vMerge w:val="continue"/>
                  <w:vAlign w:val="center"/>
                </w:tcPr>
                <w:p w14:paraId="6FAFC7F3">
                  <w:pPr>
                    <w:jc w:val="center"/>
                    <w:rPr>
                      <w:color w:val="auto"/>
                      <w:szCs w:val="21"/>
                      <w:highlight w:val="none"/>
                    </w:rPr>
                  </w:pPr>
                </w:p>
              </w:tc>
              <w:tc>
                <w:tcPr>
                  <w:tcW w:w="0" w:type="auto"/>
                  <w:vAlign w:val="center"/>
                </w:tcPr>
                <w:p w14:paraId="27350655">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T，I</w:t>
                  </w:r>
                </w:p>
              </w:tc>
              <w:tc>
                <w:tcPr>
                  <w:tcW w:w="0" w:type="auto"/>
                  <w:vAlign w:val="center"/>
                </w:tcPr>
                <w:p w14:paraId="43799FF3">
                  <w:pPr>
                    <w:widowControl/>
                    <w:jc w:val="center"/>
                    <w:rPr>
                      <w:rFonts w:hint="eastAsia" w:eastAsia="宋体"/>
                      <w:color w:val="auto"/>
                      <w:szCs w:val="21"/>
                      <w:highlight w:val="none"/>
                      <w:lang w:eastAsia="zh-CN"/>
                    </w:rPr>
                  </w:pPr>
                  <w:r>
                    <w:rPr>
                      <w:rFonts w:hint="eastAsia"/>
                      <w:color w:val="auto"/>
                      <w:szCs w:val="21"/>
                      <w:highlight w:val="none"/>
                    </w:rPr>
                    <w:t>HW</w:t>
                  </w:r>
                  <w:r>
                    <w:rPr>
                      <w:rFonts w:hint="eastAsia"/>
                      <w:color w:val="auto"/>
                      <w:szCs w:val="21"/>
                      <w:highlight w:val="none"/>
                      <w:lang w:val="en-US" w:eastAsia="zh-CN"/>
                    </w:rPr>
                    <w:t>08</w:t>
                  </w:r>
                </w:p>
              </w:tc>
              <w:tc>
                <w:tcPr>
                  <w:tcW w:w="0" w:type="auto"/>
                  <w:vAlign w:val="center"/>
                </w:tcPr>
                <w:p w14:paraId="5EAF9233">
                  <w:pPr>
                    <w:widowControl/>
                    <w:jc w:val="center"/>
                    <w:rPr>
                      <w:color w:val="auto"/>
                      <w:szCs w:val="21"/>
                      <w:highlight w:val="none"/>
                    </w:rPr>
                  </w:pPr>
                  <w:r>
                    <w:rPr>
                      <w:rFonts w:hint="eastAsia"/>
                      <w:color w:val="auto"/>
                      <w:szCs w:val="21"/>
                      <w:highlight w:val="none"/>
                      <w:lang w:val="en-US" w:eastAsia="zh-CN"/>
                    </w:rPr>
                    <w:t>900-210-08</w:t>
                  </w:r>
                </w:p>
              </w:tc>
              <w:tc>
                <w:tcPr>
                  <w:tcW w:w="0" w:type="auto"/>
                  <w:vAlign w:val="center"/>
                </w:tcPr>
                <w:p w14:paraId="356148AD">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0.05</w:t>
                  </w:r>
                </w:p>
              </w:tc>
            </w:tr>
            <w:tr w14:paraId="0FF42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shd w:val="clear" w:color="auto" w:fill="auto"/>
                  <w:vAlign w:val="center"/>
                </w:tcPr>
                <w:p w14:paraId="7C31688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w:t>
                  </w:r>
                </w:p>
              </w:tc>
              <w:tc>
                <w:tcPr>
                  <w:tcW w:w="489" w:type="pct"/>
                  <w:vAlign w:val="center"/>
                </w:tcPr>
                <w:p w14:paraId="620802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生活垃圾</w:t>
                  </w:r>
                </w:p>
              </w:tc>
              <w:tc>
                <w:tcPr>
                  <w:tcW w:w="396" w:type="pct"/>
                  <w:vAlign w:val="center"/>
                </w:tcPr>
                <w:p w14:paraId="0F90EBC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生活垃圾</w:t>
                  </w:r>
                </w:p>
              </w:tc>
              <w:tc>
                <w:tcPr>
                  <w:tcW w:w="0" w:type="auto"/>
                  <w:vAlign w:val="center"/>
                </w:tcPr>
                <w:p w14:paraId="492898F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职工生活</w:t>
                  </w:r>
                </w:p>
              </w:tc>
              <w:tc>
                <w:tcPr>
                  <w:tcW w:w="0" w:type="auto"/>
                  <w:vAlign w:val="center"/>
                </w:tcPr>
                <w:p w14:paraId="73A2D99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rPr>
                    <w:t>固态</w:t>
                  </w:r>
                </w:p>
              </w:tc>
              <w:tc>
                <w:tcPr>
                  <w:tcW w:w="0" w:type="auto"/>
                  <w:vAlign w:val="center"/>
                </w:tcPr>
                <w:p w14:paraId="31BF45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cs="Times New Roman"/>
                      <w:color w:val="auto"/>
                      <w:szCs w:val="22"/>
                      <w:highlight w:val="none"/>
                      <w:lang w:val="en-US" w:eastAsia="zh-CN"/>
                    </w:rPr>
                    <w:t>果皮纸屑</w:t>
                  </w:r>
                </w:p>
              </w:tc>
              <w:tc>
                <w:tcPr>
                  <w:tcW w:w="699" w:type="pct"/>
                  <w:vMerge w:val="continue"/>
                  <w:vAlign w:val="center"/>
                </w:tcPr>
                <w:p w14:paraId="3DC742BB">
                  <w:pPr>
                    <w:jc w:val="center"/>
                    <w:rPr>
                      <w:rFonts w:ascii="Times New Roman" w:hAnsi="Times New Roman" w:eastAsia="宋体" w:cs="Times New Roman"/>
                      <w:color w:val="auto"/>
                      <w:kern w:val="2"/>
                      <w:sz w:val="21"/>
                      <w:szCs w:val="21"/>
                      <w:highlight w:val="none"/>
                      <w:lang w:val="en-US" w:eastAsia="zh-CN" w:bidi="ar-SA"/>
                    </w:rPr>
                  </w:pPr>
                </w:p>
              </w:tc>
              <w:tc>
                <w:tcPr>
                  <w:tcW w:w="0" w:type="auto"/>
                  <w:vAlign w:val="center"/>
                </w:tcPr>
                <w:p w14:paraId="06852DE8">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0" w:type="auto"/>
                  <w:vAlign w:val="center"/>
                </w:tcPr>
                <w:p w14:paraId="301E0DE6">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SW64</w:t>
                  </w:r>
                </w:p>
              </w:tc>
              <w:tc>
                <w:tcPr>
                  <w:tcW w:w="0" w:type="auto"/>
                  <w:vAlign w:val="center"/>
                </w:tcPr>
                <w:p w14:paraId="19478442">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900-099-S64</w:t>
                  </w:r>
                </w:p>
              </w:tc>
              <w:tc>
                <w:tcPr>
                  <w:tcW w:w="0" w:type="auto"/>
                  <w:vAlign w:val="center"/>
                </w:tcPr>
                <w:p w14:paraId="760F9D65">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3</w:t>
                  </w:r>
                </w:p>
              </w:tc>
            </w:tr>
          </w:tbl>
          <w:p w14:paraId="64E75249">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lang w:val="en-US" w:eastAsia="zh-CN"/>
              </w:rPr>
              <w:t>33</w:t>
            </w:r>
            <w:r>
              <w:rPr>
                <w:rFonts w:hint="eastAsia"/>
                <w:b/>
                <w:bCs/>
                <w:color w:val="auto"/>
                <w:szCs w:val="21"/>
                <w:highlight w:val="none"/>
              </w:rPr>
              <w:t xml:space="preserve"> 项目固体废物污染源源强核算结果及相关参数一览表</w:t>
            </w:r>
          </w:p>
          <w:tbl>
            <w:tblPr>
              <w:tblStyle w:val="31"/>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45"/>
              <w:gridCol w:w="1605"/>
              <w:gridCol w:w="1324"/>
              <w:gridCol w:w="1136"/>
              <w:gridCol w:w="1216"/>
              <w:gridCol w:w="975"/>
              <w:gridCol w:w="720"/>
              <w:gridCol w:w="825"/>
              <w:gridCol w:w="3810"/>
            </w:tblGrid>
            <w:tr w14:paraId="647BA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484" w:type="pct"/>
                  <w:vMerge w:val="restart"/>
                  <w:vAlign w:val="center"/>
                </w:tcPr>
                <w:p w14:paraId="2B9ACC79">
                  <w:pPr>
                    <w:jc w:val="center"/>
                    <w:rPr>
                      <w:b/>
                      <w:bCs/>
                      <w:color w:val="auto"/>
                      <w:szCs w:val="21"/>
                      <w:highlight w:val="none"/>
                    </w:rPr>
                  </w:pPr>
                  <w:r>
                    <w:rPr>
                      <w:rFonts w:hint="eastAsia"/>
                      <w:b/>
                      <w:bCs/>
                      <w:color w:val="auto"/>
                      <w:szCs w:val="21"/>
                      <w:highlight w:val="none"/>
                    </w:rPr>
                    <w:t>工序/生产线</w:t>
                  </w:r>
                </w:p>
              </w:tc>
              <w:tc>
                <w:tcPr>
                  <w:tcW w:w="624" w:type="pct"/>
                  <w:vMerge w:val="restart"/>
                  <w:vAlign w:val="center"/>
                </w:tcPr>
                <w:p w14:paraId="38AE7444">
                  <w:pPr>
                    <w:jc w:val="center"/>
                    <w:rPr>
                      <w:b/>
                      <w:bCs/>
                      <w:color w:val="auto"/>
                      <w:szCs w:val="21"/>
                      <w:highlight w:val="none"/>
                    </w:rPr>
                  </w:pPr>
                  <w:r>
                    <w:rPr>
                      <w:rFonts w:hint="eastAsia"/>
                      <w:b/>
                      <w:bCs/>
                      <w:color w:val="auto"/>
                      <w:szCs w:val="21"/>
                      <w:highlight w:val="none"/>
                    </w:rPr>
                    <w:t>装置</w:t>
                  </w:r>
                </w:p>
              </w:tc>
              <w:tc>
                <w:tcPr>
                  <w:tcW w:w="514" w:type="pct"/>
                  <w:vMerge w:val="restart"/>
                  <w:vAlign w:val="center"/>
                </w:tcPr>
                <w:p w14:paraId="35C76D23">
                  <w:pPr>
                    <w:jc w:val="center"/>
                    <w:rPr>
                      <w:b/>
                      <w:bCs/>
                      <w:color w:val="auto"/>
                      <w:szCs w:val="21"/>
                      <w:highlight w:val="none"/>
                    </w:rPr>
                  </w:pPr>
                  <w:r>
                    <w:rPr>
                      <w:rFonts w:hint="eastAsia"/>
                      <w:b/>
                      <w:bCs/>
                      <w:color w:val="auto"/>
                      <w:szCs w:val="21"/>
                      <w:highlight w:val="none"/>
                    </w:rPr>
                    <w:t>固废名称</w:t>
                  </w:r>
                </w:p>
              </w:tc>
              <w:tc>
                <w:tcPr>
                  <w:tcW w:w="441" w:type="pct"/>
                  <w:vMerge w:val="restart"/>
                  <w:vAlign w:val="center"/>
                </w:tcPr>
                <w:p w14:paraId="5E93FD48">
                  <w:pPr>
                    <w:jc w:val="center"/>
                    <w:rPr>
                      <w:b/>
                      <w:bCs/>
                      <w:color w:val="auto"/>
                      <w:szCs w:val="21"/>
                      <w:highlight w:val="none"/>
                    </w:rPr>
                  </w:pPr>
                  <w:r>
                    <w:rPr>
                      <w:rFonts w:hint="eastAsia"/>
                      <w:b/>
                      <w:bCs/>
                      <w:color w:val="auto"/>
                      <w:szCs w:val="21"/>
                      <w:highlight w:val="none"/>
                    </w:rPr>
                    <w:t>属性</w:t>
                  </w:r>
                </w:p>
              </w:tc>
              <w:tc>
                <w:tcPr>
                  <w:tcW w:w="852" w:type="pct"/>
                  <w:gridSpan w:val="2"/>
                  <w:vAlign w:val="center"/>
                </w:tcPr>
                <w:p w14:paraId="0E68AD75">
                  <w:pPr>
                    <w:jc w:val="center"/>
                    <w:rPr>
                      <w:b/>
                      <w:bCs/>
                      <w:color w:val="auto"/>
                      <w:szCs w:val="21"/>
                      <w:highlight w:val="none"/>
                    </w:rPr>
                  </w:pPr>
                  <w:r>
                    <w:rPr>
                      <w:rFonts w:hint="eastAsia"/>
                      <w:b/>
                      <w:bCs/>
                      <w:color w:val="auto"/>
                      <w:szCs w:val="21"/>
                      <w:highlight w:val="none"/>
                    </w:rPr>
                    <w:t>产生情况</w:t>
                  </w:r>
                </w:p>
              </w:tc>
              <w:tc>
                <w:tcPr>
                  <w:tcW w:w="600" w:type="pct"/>
                  <w:gridSpan w:val="2"/>
                  <w:vAlign w:val="center"/>
                </w:tcPr>
                <w:p w14:paraId="76F2A86F">
                  <w:pPr>
                    <w:jc w:val="center"/>
                    <w:rPr>
                      <w:b/>
                      <w:bCs/>
                      <w:color w:val="auto"/>
                      <w:szCs w:val="21"/>
                      <w:highlight w:val="none"/>
                    </w:rPr>
                  </w:pPr>
                  <w:r>
                    <w:rPr>
                      <w:rFonts w:hint="eastAsia"/>
                      <w:b/>
                      <w:bCs/>
                      <w:color w:val="auto"/>
                      <w:szCs w:val="21"/>
                      <w:highlight w:val="none"/>
                    </w:rPr>
                    <w:t>处置措施</w:t>
                  </w:r>
                </w:p>
              </w:tc>
              <w:tc>
                <w:tcPr>
                  <w:tcW w:w="1481" w:type="pct"/>
                  <w:vMerge w:val="restart"/>
                  <w:vAlign w:val="center"/>
                </w:tcPr>
                <w:p w14:paraId="71BECD5F">
                  <w:pPr>
                    <w:jc w:val="center"/>
                    <w:rPr>
                      <w:b/>
                      <w:bCs/>
                      <w:color w:val="auto"/>
                      <w:szCs w:val="21"/>
                      <w:highlight w:val="none"/>
                    </w:rPr>
                  </w:pPr>
                  <w:r>
                    <w:rPr>
                      <w:rFonts w:hint="eastAsia"/>
                      <w:b/>
                      <w:bCs/>
                      <w:color w:val="auto"/>
                      <w:szCs w:val="21"/>
                      <w:highlight w:val="none"/>
                    </w:rPr>
                    <w:t>最终去向</w:t>
                  </w:r>
                </w:p>
              </w:tc>
            </w:tr>
            <w:tr w14:paraId="192E8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5" w:hRule="atLeast"/>
                <w:jc w:val="center"/>
              </w:trPr>
              <w:tc>
                <w:tcPr>
                  <w:tcW w:w="484" w:type="pct"/>
                  <w:vMerge w:val="continue"/>
                  <w:vAlign w:val="center"/>
                </w:tcPr>
                <w:p w14:paraId="7CC4CF08">
                  <w:pPr>
                    <w:jc w:val="center"/>
                    <w:rPr>
                      <w:b/>
                      <w:bCs/>
                      <w:color w:val="auto"/>
                      <w:szCs w:val="22"/>
                      <w:highlight w:val="none"/>
                    </w:rPr>
                  </w:pPr>
                </w:p>
              </w:tc>
              <w:tc>
                <w:tcPr>
                  <w:tcW w:w="624" w:type="pct"/>
                  <w:vMerge w:val="continue"/>
                  <w:vAlign w:val="center"/>
                </w:tcPr>
                <w:p w14:paraId="5D4CB2EA">
                  <w:pPr>
                    <w:jc w:val="center"/>
                    <w:rPr>
                      <w:b/>
                      <w:bCs/>
                      <w:color w:val="auto"/>
                      <w:szCs w:val="22"/>
                      <w:highlight w:val="none"/>
                    </w:rPr>
                  </w:pPr>
                </w:p>
              </w:tc>
              <w:tc>
                <w:tcPr>
                  <w:tcW w:w="514" w:type="pct"/>
                  <w:vMerge w:val="continue"/>
                  <w:vAlign w:val="center"/>
                </w:tcPr>
                <w:p w14:paraId="10523698">
                  <w:pPr>
                    <w:jc w:val="center"/>
                    <w:rPr>
                      <w:b/>
                      <w:bCs/>
                      <w:color w:val="auto"/>
                      <w:szCs w:val="22"/>
                      <w:highlight w:val="none"/>
                    </w:rPr>
                  </w:pPr>
                </w:p>
              </w:tc>
              <w:tc>
                <w:tcPr>
                  <w:tcW w:w="441" w:type="pct"/>
                  <w:vMerge w:val="continue"/>
                  <w:vAlign w:val="center"/>
                </w:tcPr>
                <w:p w14:paraId="292F551A">
                  <w:pPr>
                    <w:jc w:val="center"/>
                    <w:rPr>
                      <w:b/>
                      <w:bCs/>
                      <w:color w:val="auto"/>
                      <w:szCs w:val="22"/>
                      <w:highlight w:val="none"/>
                    </w:rPr>
                  </w:pPr>
                </w:p>
              </w:tc>
              <w:tc>
                <w:tcPr>
                  <w:tcW w:w="472" w:type="pct"/>
                  <w:vAlign w:val="center"/>
                </w:tcPr>
                <w:p w14:paraId="7889AABA">
                  <w:pPr>
                    <w:jc w:val="center"/>
                    <w:rPr>
                      <w:b/>
                      <w:bCs/>
                      <w:color w:val="auto"/>
                      <w:szCs w:val="22"/>
                      <w:highlight w:val="none"/>
                    </w:rPr>
                  </w:pPr>
                  <w:r>
                    <w:rPr>
                      <w:rFonts w:hint="eastAsia"/>
                      <w:b/>
                      <w:bCs/>
                      <w:color w:val="auto"/>
                      <w:szCs w:val="22"/>
                      <w:highlight w:val="none"/>
                    </w:rPr>
                    <w:t>核算方法</w:t>
                  </w:r>
                </w:p>
              </w:tc>
              <w:tc>
                <w:tcPr>
                  <w:tcW w:w="379" w:type="pct"/>
                  <w:vAlign w:val="center"/>
                </w:tcPr>
                <w:p w14:paraId="07E61949">
                  <w:pPr>
                    <w:jc w:val="center"/>
                    <w:rPr>
                      <w:b/>
                      <w:bCs/>
                      <w:color w:val="auto"/>
                      <w:szCs w:val="22"/>
                      <w:highlight w:val="none"/>
                    </w:rPr>
                  </w:pPr>
                  <w:r>
                    <w:rPr>
                      <w:rFonts w:hint="eastAsia"/>
                      <w:b/>
                      <w:bCs/>
                      <w:color w:val="auto"/>
                      <w:szCs w:val="22"/>
                      <w:highlight w:val="none"/>
                    </w:rPr>
                    <w:t>产生量/（t/a）</w:t>
                  </w:r>
                </w:p>
              </w:tc>
              <w:tc>
                <w:tcPr>
                  <w:tcW w:w="280" w:type="pct"/>
                  <w:vAlign w:val="center"/>
                </w:tcPr>
                <w:p w14:paraId="556B7D09">
                  <w:pPr>
                    <w:jc w:val="center"/>
                    <w:rPr>
                      <w:b/>
                      <w:bCs/>
                      <w:color w:val="auto"/>
                      <w:szCs w:val="22"/>
                      <w:highlight w:val="none"/>
                    </w:rPr>
                  </w:pPr>
                  <w:r>
                    <w:rPr>
                      <w:rFonts w:hint="eastAsia"/>
                      <w:b/>
                      <w:bCs/>
                      <w:color w:val="auto"/>
                      <w:szCs w:val="22"/>
                      <w:highlight w:val="none"/>
                    </w:rPr>
                    <w:t>工艺</w:t>
                  </w:r>
                </w:p>
              </w:tc>
              <w:tc>
                <w:tcPr>
                  <w:tcW w:w="320" w:type="pct"/>
                  <w:vAlign w:val="center"/>
                </w:tcPr>
                <w:p w14:paraId="0C1A3397">
                  <w:pPr>
                    <w:jc w:val="center"/>
                    <w:rPr>
                      <w:b/>
                      <w:bCs/>
                      <w:color w:val="auto"/>
                      <w:szCs w:val="22"/>
                      <w:highlight w:val="none"/>
                    </w:rPr>
                  </w:pPr>
                  <w:r>
                    <w:rPr>
                      <w:rFonts w:hint="eastAsia"/>
                      <w:b/>
                      <w:bCs/>
                      <w:color w:val="auto"/>
                      <w:szCs w:val="22"/>
                      <w:highlight w:val="none"/>
                    </w:rPr>
                    <w:t>处置量/（t/a）</w:t>
                  </w:r>
                </w:p>
              </w:tc>
              <w:tc>
                <w:tcPr>
                  <w:tcW w:w="1481" w:type="pct"/>
                  <w:vMerge w:val="continue"/>
                  <w:vAlign w:val="center"/>
                </w:tcPr>
                <w:p w14:paraId="611CCE2C">
                  <w:pPr>
                    <w:jc w:val="center"/>
                    <w:rPr>
                      <w:b/>
                      <w:bCs/>
                      <w:color w:val="auto"/>
                      <w:szCs w:val="22"/>
                      <w:highlight w:val="none"/>
                    </w:rPr>
                  </w:pPr>
                </w:p>
              </w:tc>
            </w:tr>
            <w:tr w14:paraId="0D193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484" w:type="pct"/>
                  <w:vAlign w:val="center"/>
                </w:tcPr>
                <w:p w14:paraId="7BA32A07">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表面处理</w:t>
                  </w:r>
                </w:p>
              </w:tc>
              <w:tc>
                <w:tcPr>
                  <w:tcW w:w="624" w:type="pct"/>
                  <w:vAlign w:val="center"/>
                </w:tcPr>
                <w:p w14:paraId="0C04B346">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槽体</w:t>
                  </w:r>
                </w:p>
              </w:tc>
              <w:tc>
                <w:tcPr>
                  <w:tcW w:w="514" w:type="pct"/>
                  <w:vAlign w:val="center"/>
                </w:tcPr>
                <w:p w14:paraId="4B6280C8">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槽渣</w:t>
                  </w:r>
                </w:p>
              </w:tc>
              <w:tc>
                <w:tcPr>
                  <w:tcW w:w="441" w:type="pct"/>
                  <w:vAlign w:val="center"/>
                </w:tcPr>
                <w:p w14:paraId="3068F553">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1"/>
                      <w:highlight w:val="none"/>
                    </w:rPr>
                    <w:t>危险废物</w:t>
                  </w:r>
                </w:p>
              </w:tc>
              <w:tc>
                <w:tcPr>
                  <w:tcW w:w="472" w:type="pct"/>
                  <w:vAlign w:val="center"/>
                </w:tcPr>
                <w:p w14:paraId="5A80EE9D">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类比法</w:t>
                  </w:r>
                </w:p>
              </w:tc>
              <w:tc>
                <w:tcPr>
                  <w:tcW w:w="379" w:type="pct"/>
                  <w:vAlign w:val="center"/>
                </w:tcPr>
                <w:p w14:paraId="54ABA5D9">
                  <w:pPr>
                    <w:jc w:val="center"/>
                    <w:rPr>
                      <w:rFonts w:hint="default" w:ascii="Times New Roman" w:hAnsi="Times New Roman" w:eastAsia="宋体" w:cs="Times New Roman"/>
                      <w:color w:val="FF0000"/>
                      <w:kern w:val="2"/>
                      <w:sz w:val="21"/>
                      <w:szCs w:val="22"/>
                      <w:highlight w:val="none"/>
                      <w:lang w:val="en-US" w:eastAsia="zh-CN" w:bidi="ar-SA"/>
                    </w:rPr>
                  </w:pPr>
                  <w:r>
                    <w:rPr>
                      <w:rFonts w:hint="eastAsia"/>
                      <w:color w:val="auto"/>
                      <w:szCs w:val="22"/>
                      <w:highlight w:val="none"/>
                    </w:rPr>
                    <w:t>0.</w:t>
                  </w:r>
                  <w:r>
                    <w:rPr>
                      <w:rFonts w:hint="eastAsia"/>
                      <w:color w:val="auto"/>
                      <w:szCs w:val="22"/>
                      <w:highlight w:val="none"/>
                      <w:lang w:val="en-US" w:eastAsia="zh-CN"/>
                    </w:rPr>
                    <w:t>5</w:t>
                  </w:r>
                </w:p>
              </w:tc>
              <w:tc>
                <w:tcPr>
                  <w:tcW w:w="280" w:type="pct"/>
                  <w:vAlign w:val="center"/>
                </w:tcPr>
                <w:p w14:paraId="66AB3738">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w:t>
                  </w:r>
                </w:p>
              </w:tc>
              <w:tc>
                <w:tcPr>
                  <w:tcW w:w="320" w:type="pct"/>
                  <w:vAlign w:val="center"/>
                </w:tcPr>
                <w:p w14:paraId="2EF06041">
                  <w:pPr>
                    <w:jc w:val="center"/>
                    <w:rPr>
                      <w:rFonts w:hint="default" w:ascii="Times New Roman" w:hAnsi="Times New Roman" w:eastAsia="宋体" w:cs="Times New Roman"/>
                      <w:color w:val="FF0000"/>
                      <w:kern w:val="2"/>
                      <w:sz w:val="21"/>
                      <w:szCs w:val="22"/>
                      <w:highlight w:val="none"/>
                      <w:lang w:val="en-US" w:eastAsia="zh-CN" w:bidi="ar-SA"/>
                    </w:rPr>
                  </w:pPr>
                  <w:r>
                    <w:rPr>
                      <w:rFonts w:hint="eastAsia"/>
                      <w:color w:val="auto"/>
                      <w:szCs w:val="22"/>
                      <w:highlight w:val="none"/>
                    </w:rPr>
                    <w:t>0.</w:t>
                  </w:r>
                  <w:r>
                    <w:rPr>
                      <w:rFonts w:hint="eastAsia"/>
                      <w:color w:val="auto"/>
                      <w:szCs w:val="22"/>
                      <w:highlight w:val="none"/>
                      <w:lang w:val="en-US" w:eastAsia="zh-CN"/>
                    </w:rPr>
                    <w:t>5</w:t>
                  </w:r>
                </w:p>
              </w:tc>
              <w:tc>
                <w:tcPr>
                  <w:tcW w:w="1481" w:type="pct"/>
                  <w:vMerge w:val="restart"/>
                  <w:vAlign w:val="center"/>
                </w:tcPr>
                <w:p w14:paraId="4F9C5C42">
                  <w:pPr>
                    <w:jc w:val="center"/>
                    <w:rPr>
                      <w:color w:val="auto"/>
                      <w:szCs w:val="22"/>
                      <w:highlight w:val="none"/>
                    </w:rPr>
                  </w:pPr>
                  <w:r>
                    <w:rPr>
                      <w:rFonts w:hint="eastAsia"/>
                      <w:color w:val="auto"/>
                      <w:szCs w:val="22"/>
                      <w:highlight w:val="none"/>
                    </w:rPr>
                    <w:t>委托有资质单位处理</w:t>
                  </w:r>
                </w:p>
              </w:tc>
            </w:tr>
            <w:tr w14:paraId="60D06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84" w:type="pct"/>
                  <w:vAlign w:val="center"/>
                </w:tcPr>
                <w:p w14:paraId="36ABC876">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废气处理</w:t>
                  </w:r>
                </w:p>
              </w:tc>
              <w:tc>
                <w:tcPr>
                  <w:tcW w:w="624" w:type="pct"/>
                  <w:vAlign w:val="center"/>
                </w:tcPr>
                <w:p w14:paraId="1E7D5A6F">
                  <w:pPr>
                    <w:jc w:val="center"/>
                    <w:rPr>
                      <w:color w:val="auto"/>
                      <w:szCs w:val="22"/>
                      <w:highlight w:val="none"/>
                    </w:rPr>
                  </w:pPr>
                  <w:r>
                    <w:rPr>
                      <w:rFonts w:hint="eastAsia"/>
                      <w:color w:val="auto"/>
                      <w:szCs w:val="22"/>
                      <w:highlight w:val="none"/>
                      <w:lang w:val="en-US" w:eastAsia="zh-CN"/>
                    </w:rPr>
                    <w:t>布袋除尘器</w:t>
                  </w:r>
                </w:p>
              </w:tc>
              <w:tc>
                <w:tcPr>
                  <w:tcW w:w="514" w:type="pct"/>
                  <w:vAlign w:val="center"/>
                </w:tcPr>
                <w:p w14:paraId="569AE388">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废布袋</w:t>
                  </w:r>
                </w:p>
              </w:tc>
              <w:tc>
                <w:tcPr>
                  <w:tcW w:w="441" w:type="pct"/>
                  <w:vAlign w:val="center"/>
                </w:tcPr>
                <w:p w14:paraId="3E46E9A3">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危险废物</w:t>
                  </w:r>
                </w:p>
              </w:tc>
              <w:tc>
                <w:tcPr>
                  <w:tcW w:w="472" w:type="pct"/>
                  <w:vAlign w:val="center"/>
                </w:tcPr>
                <w:p w14:paraId="4A55D730">
                  <w:pPr>
                    <w:jc w:val="center"/>
                    <w:rPr>
                      <w:color w:val="auto"/>
                      <w:szCs w:val="22"/>
                      <w:highlight w:val="none"/>
                    </w:rPr>
                  </w:pPr>
                  <w:r>
                    <w:rPr>
                      <w:rFonts w:hint="eastAsia"/>
                      <w:color w:val="auto"/>
                      <w:szCs w:val="22"/>
                      <w:highlight w:val="none"/>
                    </w:rPr>
                    <w:t>物料衡算法</w:t>
                  </w:r>
                </w:p>
              </w:tc>
              <w:tc>
                <w:tcPr>
                  <w:tcW w:w="379" w:type="pct"/>
                  <w:vAlign w:val="center"/>
                </w:tcPr>
                <w:p w14:paraId="09E1E0C7">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0.05</w:t>
                  </w:r>
                </w:p>
              </w:tc>
              <w:tc>
                <w:tcPr>
                  <w:tcW w:w="280" w:type="pct"/>
                  <w:vAlign w:val="center"/>
                </w:tcPr>
                <w:p w14:paraId="03BEC5AE">
                  <w:pPr>
                    <w:jc w:val="center"/>
                    <w:rPr>
                      <w:color w:val="auto"/>
                      <w:szCs w:val="22"/>
                      <w:highlight w:val="none"/>
                    </w:rPr>
                  </w:pPr>
                  <w:r>
                    <w:rPr>
                      <w:rFonts w:hint="eastAsia"/>
                      <w:color w:val="auto"/>
                      <w:szCs w:val="22"/>
                      <w:highlight w:val="none"/>
                    </w:rPr>
                    <w:t>/</w:t>
                  </w:r>
                </w:p>
              </w:tc>
              <w:tc>
                <w:tcPr>
                  <w:tcW w:w="320" w:type="pct"/>
                  <w:vAlign w:val="center"/>
                </w:tcPr>
                <w:p w14:paraId="3099B2AB">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0.05</w:t>
                  </w:r>
                </w:p>
              </w:tc>
              <w:tc>
                <w:tcPr>
                  <w:tcW w:w="1481" w:type="pct"/>
                  <w:vMerge w:val="continue"/>
                  <w:vAlign w:val="center"/>
                </w:tcPr>
                <w:p w14:paraId="034980FD">
                  <w:pPr>
                    <w:jc w:val="center"/>
                    <w:rPr>
                      <w:color w:val="auto"/>
                      <w:szCs w:val="22"/>
                      <w:highlight w:val="none"/>
                    </w:rPr>
                  </w:pPr>
                </w:p>
              </w:tc>
            </w:tr>
            <w:tr w14:paraId="0D9BB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Align w:val="center"/>
                </w:tcPr>
                <w:p w14:paraId="4D90BB5F">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废气处理</w:t>
                  </w:r>
                </w:p>
              </w:tc>
              <w:tc>
                <w:tcPr>
                  <w:tcW w:w="0" w:type="auto"/>
                  <w:vAlign w:val="center"/>
                </w:tcPr>
                <w:p w14:paraId="2BDD70D8">
                  <w:pPr>
                    <w:jc w:val="center"/>
                    <w:rPr>
                      <w:rFonts w:hint="default" w:eastAsia="宋体"/>
                      <w:color w:val="auto"/>
                      <w:szCs w:val="22"/>
                      <w:highlight w:val="none"/>
                      <w:lang w:val="en-US" w:eastAsia="zh-CN"/>
                    </w:rPr>
                  </w:pPr>
                  <w:r>
                    <w:rPr>
                      <w:rFonts w:hint="eastAsia"/>
                      <w:color w:val="auto"/>
                      <w:szCs w:val="22"/>
                      <w:highlight w:val="none"/>
                      <w:lang w:val="en-US" w:eastAsia="zh-CN"/>
                    </w:rPr>
                    <w:t>活性炭吸附装置</w:t>
                  </w:r>
                </w:p>
              </w:tc>
              <w:tc>
                <w:tcPr>
                  <w:tcW w:w="0" w:type="auto"/>
                  <w:vAlign w:val="center"/>
                </w:tcPr>
                <w:p w14:paraId="059361B6">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废活性炭</w:t>
                  </w:r>
                </w:p>
              </w:tc>
              <w:tc>
                <w:tcPr>
                  <w:tcW w:w="0" w:type="auto"/>
                  <w:vAlign w:val="center"/>
                </w:tcPr>
                <w:p w14:paraId="01A4B957">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危险废物</w:t>
                  </w:r>
                </w:p>
              </w:tc>
              <w:tc>
                <w:tcPr>
                  <w:tcW w:w="472" w:type="pct"/>
                  <w:vAlign w:val="center"/>
                </w:tcPr>
                <w:p w14:paraId="6460B347">
                  <w:pPr>
                    <w:jc w:val="center"/>
                    <w:rPr>
                      <w:color w:val="auto"/>
                      <w:szCs w:val="22"/>
                      <w:highlight w:val="none"/>
                    </w:rPr>
                  </w:pPr>
                  <w:r>
                    <w:rPr>
                      <w:rFonts w:hint="eastAsia"/>
                      <w:color w:val="auto"/>
                      <w:szCs w:val="22"/>
                      <w:highlight w:val="none"/>
                    </w:rPr>
                    <w:t>物料衡算法</w:t>
                  </w:r>
                </w:p>
              </w:tc>
              <w:tc>
                <w:tcPr>
                  <w:tcW w:w="379" w:type="pct"/>
                  <w:vAlign w:val="center"/>
                </w:tcPr>
                <w:p w14:paraId="67145C19">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4.2369</w:t>
                  </w:r>
                </w:p>
              </w:tc>
              <w:tc>
                <w:tcPr>
                  <w:tcW w:w="280" w:type="pct"/>
                  <w:vAlign w:val="center"/>
                </w:tcPr>
                <w:p w14:paraId="1B9029F3">
                  <w:pPr>
                    <w:jc w:val="center"/>
                    <w:rPr>
                      <w:color w:val="auto"/>
                      <w:szCs w:val="22"/>
                      <w:highlight w:val="none"/>
                    </w:rPr>
                  </w:pPr>
                  <w:r>
                    <w:rPr>
                      <w:rFonts w:hint="eastAsia"/>
                      <w:color w:val="auto"/>
                      <w:szCs w:val="22"/>
                      <w:highlight w:val="none"/>
                    </w:rPr>
                    <w:t>/</w:t>
                  </w:r>
                </w:p>
              </w:tc>
              <w:tc>
                <w:tcPr>
                  <w:tcW w:w="320" w:type="pct"/>
                  <w:vAlign w:val="center"/>
                </w:tcPr>
                <w:p w14:paraId="083BDEB6">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4.2369</w:t>
                  </w:r>
                </w:p>
              </w:tc>
              <w:tc>
                <w:tcPr>
                  <w:tcW w:w="1481" w:type="pct"/>
                  <w:vMerge w:val="continue"/>
                  <w:vAlign w:val="center"/>
                </w:tcPr>
                <w:p w14:paraId="4346101C">
                  <w:pPr>
                    <w:jc w:val="center"/>
                    <w:rPr>
                      <w:color w:val="auto"/>
                      <w:szCs w:val="22"/>
                      <w:highlight w:val="none"/>
                    </w:rPr>
                  </w:pPr>
                </w:p>
              </w:tc>
            </w:tr>
            <w:tr w14:paraId="3EC80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Align w:val="center"/>
                </w:tcPr>
                <w:p w14:paraId="161CE39B">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废水处理</w:t>
                  </w:r>
                </w:p>
              </w:tc>
              <w:tc>
                <w:tcPr>
                  <w:tcW w:w="0" w:type="auto"/>
                  <w:vAlign w:val="center"/>
                </w:tcPr>
                <w:p w14:paraId="6CA9204F">
                  <w:pPr>
                    <w:jc w:val="center"/>
                    <w:rPr>
                      <w:rFonts w:hint="eastAsia" w:eastAsia="宋体"/>
                      <w:color w:val="auto"/>
                      <w:szCs w:val="22"/>
                      <w:highlight w:val="none"/>
                      <w:lang w:val="en-US" w:eastAsia="zh-CN"/>
                    </w:rPr>
                  </w:pPr>
                  <w:r>
                    <w:rPr>
                      <w:rFonts w:hint="eastAsia"/>
                      <w:color w:val="auto"/>
                      <w:szCs w:val="22"/>
                      <w:highlight w:val="none"/>
                      <w:lang w:val="en-US" w:eastAsia="zh-CN"/>
                    </w:rPr>
                    <w:t>污水处理站</w:t>
                  </w:r>
                </w:p>
              </w:tc>
              <w:tc>
                <w:tcPr>
                  <w:tcW w:w="0" w:type="auto"/>
                  <w:vAlign w:val="center"/>
                </w:tcPr>
                <w:p w14:paraId="3BCAB044">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污泥</w:t>
                  </w:r>
                </w:p>
              </w:tc>
              <w:tc>
                <w:tcPr>
                  <w:tcW w:w="0" w:type="auto"/>
                  <w:vAlign w:val="center"/>
                </w:tcPr>
                <w:p w14:paraId="7025C099">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危险废物</w:t>
                  </w:r>
                </w:p>
              </w:tc>
              <w:tc>
                <w:tcPr>
                  <w:tcW w:w="472" w:type="pct"/>
                  <w:vAlign w:val="center"/>
                </w:tcPr>
                <w:p w14:paraId="4C2AE0B7">
                  <w:pPr>
                    <w:jc w:val="center"/>
                    <w:rPr>
                      <w:color w:val="auto"/>
                      <w:szCs w:val="22"/>
                      <w:highlight w:val="none"/>
                    </w:rPr>
                  </w:pPr>
                  <w:r>
                    <w:rPr>
                      <w:rFonts w:hint="eastAsia"/>
                      <w:color w:val="auto"/>
                      <w:szCs w:val="22"/>
                      <w:highlight w:val="none"/>
                      <w:lang w:val="en-US" w:eastAsia="zh-CN"/>
                    </w:rPr>
                    <w:t>类比</w:t>
                  </w:r>
                  <w:r>
                    <w:rPr>
                      <w:rFonts w:hint="eastAsia"/>
                      <w:color w:val="auto"/>
                      <w:szCs w:val="22"/>
                      <w:highlight w:val="none"/>
                    </w:rPr>
                    <w:t>法</w:t>
                  </w:r>
                </w:p>
              </w:tc>
              <w:tc>
                <w:tcPr>
                  <w:tcW w:w="379" w:type="pct"/>
                  <w:vAlign w:val="center"/>
                </w:tcPr>
                <w:p w14:paraId="09C07EA2">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15</w:t>
                  </w:r>
                </w:p>
              </w:tc>
              <w:tc>
                <w:tcPr>
                  <w:tcW w:w="280" w:type="pct"/>
                  <w:vAlign w:val="center"/>
                </w:tcPr>
                <w:p w14:paraId="5718AD58">
                  <w:pPr>
                    <w:jc w:val="center"/>
                    <w:rPr>
                      <w:color w:val="auto"/>
                      <w:szCs w:val="22"/>
                      <w:highlight w:val="none"/>
                    </w:rPr>
                  </w:pPr>
                  <w:r>
                    <w:rPr>
                      <w:rFonts w:hint="eastAsia"/>
                      <w:color w:val="auto"/>
                      <w:szCs w:val="22"/>
                      <w:highlight w:val="none"/>
                    </w:rPr>
                    <w:t>/</w:t>
                  </w:r>
                </w:p>
              </w:tc>
              <w:tc>
                <w:tcPr>
                  <w:tcW w:w="320" w:type="pct"/>
                  <w:vAlign w:val="center"/>
                </w:tcPr>
                <w:p w14:paraId="543BA57C">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15</w:t>
                  </w:r>
                </w:p>
              </w:tc>
              <w:tc>
                <w:tcPr>
                  <w:tcW w:w="1481" w:type="pct"/>
                  <w:vMerge w:val="continue"/>
                  <w:vAlign w:val="center"/>
                </w:tcPr>
                <w:p w14:paraId="3A0644BA">
                  <w:pPr>
                    <w:jc w:val="center"/>
                    <w:rPr>
                      <w:color w:val="auto"/>
                      <w:szCs w:val="22"/>
                      <w:highlight w:val="none"/>
                    </w:rPr>
                  </w:pPr>
                </w:p>
              </w:tc>
            </w:tr>
            <w:tr w14:paraId="2B05F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Align w:val="center"/>
                </w:tcPr>
                <w:p w14:paraId="7C5F7260">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废水处理</w:t>
                  </w:r>
                </w:p>
              </w:tc>
              <w:tc>
                <w:tcPr>
                  <w:tcW w:w="0" w:type="auto"/>
                  <w:vAlign w:val="center"/>
                </w:tcPr>
                <w:p w14:paraId="41BDD624">
                  <w:pPr>
                    <w:jc w:val="center"/>
                    <w:rPr>
                      <w:rFonts w:hint="eastAsia" w:eastAsia="宋体"/>
                      <w:color w:val="auto"/>
                      <w:szCs w:val="22"/>
                      <w:highlight w:val="none"/>
                      <w:lang w:val="en-US" w:eastAsia="zh-CN"/>
                    </w:rPr>
                  </w:pPr>
                  <w:r>
                    <w:rPr>
                      <w:rFonts w:hint="eastAsia"/>
                      <w:color w:val="auto"/>
                      <w:szCs w:val="22"/>
                      <w:highlight w:val="none"/>
                      <w:lang w:val="en-US" w:eastAsia="zh-CN"/>
                    </w:rPr>
                    <w:t>污水处理站</w:t>
                  </w:r>
                </w:p>
              </w:tc>
              <w:tc>
                <w:tcPr>
                  <w:tcW w:w="0" w:type="auto"/>
                  <w:vAlign w:val="center"/>
                </w:tcPr>
                <w:p w14:paraId="7456A4DD">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废油</w:t>
                  </w:r>
                </w:p>
              </w:tc>
              <w:tc>
                <w:tcPr>
                  <w:tcW w:w="0" w:type="auto"/>
                  <w:vAlign w:val="center"/>
                </w:tcPr>
                <w:p w14:paraId="2B3DFBE8">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危险废物</w:t>
                  </w:r>
                </w:p>
              </w:tc>
              <w:tc>
                <w:tcPr>
                  <w:tcW w:w="472" w:type="pct"/>
                  <w:vAlign w:val="center"/>
                </w:tcPr>
                <w:p w14:paraId="39C62677">
                  <w:pPr>
                    <w:jc w:val="center"/>
                    <w:rPr>
                      <w:rFonts w:hint="eastAsia" w:eastAsia="宋体"/>
                      <w:color w:val="auto"/>
                      <w:szCs w:val="22"/>
                      <w:highlight w:val="none"/>
                      <w:lang w:val="en-US" w:eastAsia="zh-CN"/>
                    </w:rPr>
                  </w:pPr>
                  <w:r>
                    <w:rPr>
                      <w:rFonts w:hint="eastAsia"/>
                      <w:color w:val="auto"/>
                      <w:szCs w:val="22"/>
                      <w:highlight w:val="none"/>
                      <w:lang w:val="en-US" w:eastAsia="zh-CN"/>
                    </w:rPr>
                    <w:t>类比</w:t>
                  </w:r>
                  <w:r>
                    <w:rPr>
                      <w:rFonts w:hint="eastAsia"/>
                      <w:color w:val="auto"/>
                      <w:szCs w:val="22"/>
                      <w:highlight w:val="none"/>
                    </w:rPr>
                    <w:t>法</w:t>
                  </w:r>
                </w:p>
              </w:tc>
              <w:tc>
                <w:tcPr>
                  <w:tcW w:w="379" w:type="pct"/>
                  <w:vAlign w:val="center"/>
                </w:tcPr>
                <w:p w14:paraId="3D2B3386">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0.05</w:t>
                  </w:r>
                </w:p>
              </w:tc>
              <w:tc>
                <w:tcPr>
                  <w:tcW w:w="280" w:type="pct"/>
                  <w:vAlign w:val="center"/>
                </w:tcPr>
                <w:p w14:paraId="560EDF75">
                  <w:pPr>
                    <w:jc w:val="center"/>
                    <w:rPr>
                      <w:color w:val="auto"/>
                      <w:szCs w:val="22"/>
                      <w:highlight w:val="none"/>
                    </w:rPr>
                  </w:pPr>
                  <w:r>
                    <w:rPr>
                      <w:rFonts w:hint="eastAsia"/>
                      <w:color w:val="auto"/>
                      <w:szCs w:val="22"/>
                      <w:highlight w:val="none"/>
                    </w:rPr>
                    <w:t>/</w:t>
                  </w:r>
                </w:p>
              </w:tc>
              <w:tc>
                <w:tcPr>
                  <w:tcW w:w="320" w:type="pct"/>
                  <w:vAlign w:val="center"/>
                </w:tcPr>
                <w:p w14:paraId="1DF4D23D">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0.05</w:t>
                  </w:r>
                </w:p>
              </w:tc>
              <w:tc>
                <w:tcPr>
                  <w:tcW w:w="1481" w:type="pct"/>
                  <w:vMerge w:val="continue"/>
                  <w:vAlign w:val="center"/>
                </w:tcPr>
                <w:p w14:paraId="2365904E">
                  <w:pPr>
                    <w:jc w:val="center"/>
                    <w:rPr>
                      <w:color w:val="auto"/>
                      <w:szCs w:val="22"/>
                      <w:highlight w:val="none"/>
                    </w:rPr>
                  </w:pPr>
                </w:p>
              </w:tc>
            </w:tr>
            <w:tr w14:paraId="678C9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Align w:val="center"/>
                </w:tcPr>
                <w:p w14:paraId="27DBB8D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职工生活</w:t>
                  </w:r>
                </w:p>
              </w:tc>
              <w:tc>
                <w:tcPr>
                  <w:tcW w:w="0" w:type="auto"/>
                  <w:vAlign w:val="center"/>
                </w:tcPr>
                <w:p w14:paraId="501AD941">
                  <w:pPr>
                    <w:jc w:val="center"/>
                    <w:rPr>
                      <w:rFonts w:hint="eastAsia" w:eastAsia="宋体"/>
                      <w:color w:val="auto"/>
                      <w:szCs w:val="22"/>
                      <w:highlight w:val="none"/>
                      <w:lang w:val="en-US" w:eastAsia="zh-CN"/>
                    </w:rPr>
                  </w:pPr>
                  <w:r>
                    <w:rPr>
                      <w:rFonts w:hint="eastAsia"/>
                      <w:color w:val="auto"/>
                      <w:szCs w:val="22"/>
                      <w:highlight w:val="none"/>
                      <w:lang w:val="en-US" w:eastAsia="zh-CN"/>
                    </w:rPr>
                    <w:t>/</w:t>
                  </w:r>
                </w:p>
              </w:tc>
              <w:tc>
                <w:tcPr>
                  <w:tcW w:w="0" w:type="auto"/>
                  <w:vAlign w:val="center"/>
                </w:tcPr>
                <w:p w14:paraId="790D226A">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rPr>
                    <w:t>生活垃圾</w:t>
                  </w:r>
                </w:p>
              </w:tc>
              <w:tc>
                <w:tcPr>
                  <w:tcW w:w="0" w:type="auto"/>
                  <w:vAlign w:val="center"/>
                </w:tcPr>
                <w:p w14:paraId="546E321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生活垃圾</w:t>
                  </w:r>
                </w:p>
              </w:tc>
              <w:tc>
                <w:tcPr>
                  <w:tcW w:w="472" w:type="pct"/>
                  <w:vAlign w:val="center"/>
                </w:tcPr>
                <w:p w14:paraId="1853F1A8">
                  <w:pPr>
                    <w:jc w:val="center"/>
                    <w:rPr>
                      <w:color w:val="auto"/>
                      <w:szCs w:val="22"/>
                      <w:highlight w:val="none"/>
                    </w:rPr>
                  </w:pPr>
                  <w:r>
                    <w:rPr>
                      <w:rFonts w:hint="eastAsia"/>
                      <w:color w:val="auto"/>
                      <w:szCs w:val="22"/>
                      <w:highlight w:val="none"/>
                    </w:rPr>
                    <w:t>物料衡算法</w:t>
                  </w:r>
                </w:p>
              </w:tc>
              <w:tc>
                <w:tcPr>
                  <w:tcW w:w="379" w:type="pct"/>
                  <w:vAlign w:val="center"/>
                </w:tcPr>
                <w:p w14:paraId="40934989">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3</w:t>
                  </w:r>
                </w:p>
              </w:tc>
              <w:tc>
                <w:tcPr>
                  <w:tcW w:w="280" w:type="pct"/>
                  <w:vAlign w:val="center"/>
                </w:tcPr>
                <w:p w14:paraId="2974732D">
                  <w:pPr>
                    <w:jc w:val="center"/>
                    <w:rPr>
                      <w:color w:val="auto"/>
                      <w:szCs w:val="22"/>
                      <w:highlight w:val="none"/>
                    </w:rPr>
                  </w:pPr>
                  <w:r>
                    <w:rPr>
                      <w:rFonts w:hint="eastAsia"/>
                      <w:color w:val="auto"/>
                      <w:szCs w:val="22"/>
                      <w:highlight w:val="none"/>
                    </w:rPr>
                    <w:t>/</w:t>
                  </w:r>
                </w:p>
              </w:tc>
              <w:tc>
                <w:tcPr>
                  <w:tcW w:w="320" w:type="pct"/>
                  <w:vAlign w:val="center"/>
                </w:tcPr>
                <w:p w14:paraId="64956700">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3</w:t>
                  </w:r>
                </w:p>
              </w:tc>
              <w:tc>
                <w:tcPr>
                  <w:tcW w:w="1481" w:type="pct"/>
                  <w:vAlign w:val="center"/>
                </w:tcPr>
                <w:p w14:paraId="7B049A63">
                  <w:pPr>
                    <w:jc w:val="center"/>
                    <w:rPr>
                      <w:rFonts w:hint="eastAsia" w:eastAsia="宋体"/>
                      <w:color w:val="auto"/>
                      <w:szCs w:val="22"/>
                      <w:highlight w:val="none"/>
                      <w:lang w:val="en-US" w:eastAsia="zh-CN"/>
                    </w:rPr>
                  </w:pPr>
                  <w:r>
                    <w:rPr>
                      <w:rFonts w:hint="eastAsia"/>
                      <w:color w:val="auto"/>
                      <w:szCs w:val="22"/>
                      <w:highlight w:val="none"/>
                      <w:lang w:val="en-US" w:eastAsia="zh-CN"/>
                    </w:rPr>
                    <w:t>环卫清运</w:t>
                  </w:r>
                </w:p>
              </w:tc>
            </w:tr>
          </w:tbl>
          <w:p w14:paraId="0D0C2F47">
            <w:pPr>
              <w:rPr>
                <w:color w:val="FF0000"/>
                <w:szCs w:val="22"/>
                <w:highlight w:val="none"/>
              </w:rPr>
            </w:pPr>
          </w:p>
          <w:p w14:paraId="4A697073">
            <w:pPr>
              <w:spacing w:line="300" w:lineRule="auto"/>
              <w:rPr>
                <w:b/>
                <w:bCs/>
                <w:color w:val="FF0000"/>
                <w:sz w:val="24"/>
                <w:szCs w:val="22"/>
                <w:highlight w:val="none"/>
              </w:rPr>
            </w:pPr>
          </w:p>
          <w:p w14:paraId="44DFAB94">
            <w:pPr>
              <w:spacing w:line="300" w:lineRule="auto"/>
              <w:rPr>
                <w:b/>
                <w:bCs/>
                <w:color w:val="FF0000"/>
                <w:sz w:val="24"/>
                <w:szCs w:val="22"/>
                <w:highlight w:val="none"/>
              </w:rPr>
            </w:pPr>
          </w:p>
          <w:p w14:paraId="774E9CA2">
            <w:pPr>
              <w:spacing w:line="300" w:lineRule="auto"/>
              <w:rPr>
                <w:b/>
                <w:bCs/>
                <w:color w:val="FF0000"/>
                <w:sz w:val="24"/>
                <w:szCs w:val="22"/>
                <w:highlight w:val="none"/>
              </w:rPr>
            </w:pPr>
          </w:p>
          <w:p w14:paraId="5F76EE25">
            <w:pPr>
              <w:spacing w:line="300" w:lineRule="auto"/>
              <w:rPr>
                <w:b/>
                <w:bCs/>
                <w:color w:val="FF0000"/>
                <w:sz w:val="24"/>
                <w:szCs w:val="22"/>
                <w:highlight w:val="none"/>
              </w:rPr>
            </w:pPr>
          </w:p>
        </w:tc>
      </w:tr>
    </w:tbl>
    <w:p w14:paraId="4150BFBB">
      <w:pPr>
        <w:adjustRightInd w:val="0"/>
        <w:snapToGrid w:val="0"/>
        <w:spacing w:line="360" w:lineRule="auto"/>
        <w:rPr>
          <w:rFonts w:ascii="宋体" w:cs="宋体"/>
          <w:b/>
          <w:color w:val="FF0000"/>
          <w:kern w:val="0"/>
          <w:sz w:val="28"/>
          <w:szCs w:val="28"/>
          <w:highlight w:val="none"/>
        </w:rPr>
        <w:sectPr>
          <w:pgSz w:w="16840" w:h="11907" w:orient="landscape"/>
          <w:pgMar w:top="1531" w:right="1701" w:bottom="1531" w:left="2127" w:header="851" w:footer="850" w:gutter="0"/>
          <w:pgBorders>
            <w:top w:val="none" w:sz="0" w:space="0"/>
            <w:left w:val="none" w:sz="0" w:space="0"/>
            <w:bottom w:val="none" w:sz="0" w:space="0"/>
            <w:right w:val="none" w:sz="0" w:space="0"/>
          </w:pgBorders>
          <w:cols w:space="720" w:num="1"/>
          <w:docGrid w:linePitch="312" w:charSpace="0"/>
        </w:sectPr>
      </w:pPr>
    </w:p>
    <w:tbl>
      <w:tblPr>
        <w:tblStyle w:val="31"/>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35"/>
        <w:gridCol w:w="8454"/>
      </w:tblGrid>
      <w:tr w14:paraId="6E69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335" w:type="dxa"/>
            <w:vAlign w:val="center"/>
          </w:tcPr>
          <w:p w14:paraId="1EC6EE09">
            <w:pPr>
              <w:jc w:val="center"/>
              <w:rPr>
                <w:color w:val="FF0000"/>
                <w:szCs w:val="21"/>
                <w:highlight w:val="none"/>
              </w:rPr>
            </w:pPr>
          </w:p>
        </w:tc>
        <w:tc>
          <w:tcPr>
            <w:tcW w:w="8454" w:type="dxa"/>
            <w:vAlign w:val="center"/>
          </w:tcPr>
          <w:p w14:paraId="6D797B11">
            <w:pPr>
              <w:keepNext/>
              <w:keepLines/>
              <w:pageBreakBefore w:val="0"/>
              <w:widowControl w:val="0"/>
              <w:kinsoku/>
              <w:wordWrap/>
              <w:overflowPunct/>
              <w:topLinePunct w:val="0"/>
              <w:autoSpaceDE/>
              <w:autoSpaceDN/>
              <w:bidi w:val="0"/>
              <w:adjustRightInd/>
              <w:snapToGrid/>
              <w:spacing w:before="157" w:beforeLines="50" w:line="360" w:lineRule="auto"/>
              <w:textAlignment w:val="auto"/>
              <w:outlineLvl w:val="2"/>
              <w:rPr>
                <w:rFonts w:hint="eastAsia" w:ascii="Times New Roman" w:hAnsi="Times New Roman" w:eastAsia="宋体" w:cs="Times New Roman"/>
                <w:b/>
                <w:bCs/>
                <w:color w:val="auto"/>
                <w:szCs w:val="21"/>
                <w:highlight w:val="none"/>
                <w:lang w:bidi="ar"/>
              </w:rPr>
            </w:pPr>
            <w:r>
              <w:rPr>
                <w:rFonts w:hint="eastAsia" w:ascii="Times New Roman" w:hAnsi="Times New Roman" w:eastAsia="宋体" w:cs="Times New Roman"/>
                <w:b/>
                <w:bCs/>
                <w:color w:val="auto"/>
                <w:szCs w:val="21"/>
                <w:highlight w:val="none"/>
                <w:lang w:val="en-US" w:eastAsia="zh-CN" w:bidi="ar"/>
              </w:rPr>
              <w:t>4.2</w:t>
            </w:r>
            <w:r>
              <w:rPr>
                <w:rFonts w:hint="eastAsia" w:ascii="Times New Roman" w:hAnsi="Times New Roman" w:eastAsia="宋体" w:cs="Times New Roman"/>
                <w:b/>
                <w:bCs/>
                <w:color w:val="auto"/>
                <w:szCs w:val="21"/>
                <w:highlight w:val="none"/>
                <w:lang w:bidi="ar"/>
              </w:rPr>
              <w:t>固废处置可行性分析</w:t>
            </w:r>
          </w:p>
          <w:p w14:paraId="4CCF5F26">
            <w:pPr>
              <w:keepNext/>
              <w:keepLines/>
              <w:spacing w:line="360" w:lineRule="auto"/>
              <w:ind w:firstLine="420" w:firstLineChars="200"/>
              <w:outlineLvl w:val="2"/>
              <w:rPr>
                <w:rFonts w:hint="eastAsia" w:ascii="Times New Roman" w:hAnsi="Times New Roman" w:eastAsia="宋体" w:cs="Times New Roman"/>
                <w:color w:val="auto"/>
                <w:szCs w:val="21"/>
                <w:highlight w:val="none"/>
                <w:lang w:bidi="ar"/>
              </w:rPr>
            </w:pPr>
            <w:r>
              <w:rPr>
                <w:color w:val="auto"/>
                <w:kern w:val="2"/>
                <w:sz w:val="21"/>
                <w:szCs w:val="21"/>
                <w:highlight w:val="none"/>
                <w:lang w:bidi="ar"/>
              </w:rPr>
              <w:t>①</w:t>
            </w:r>
            <w:r>
              <w:rPr>
                <w:rFonts w:hint="eastAsia" w:ascii="Times New Roman" w:hAnsi="Times New Roman" w:eastAsia="宋体" w:cs="Times New Roman"/>
                <w:color w:val="auto"/>
                <w:szCs w:val="21"/>
                <w:highlight w:val="none"/>
                <w:lang w:bidi="ar"/>
              </w:rPr>
              <w:t>危废委外处置可行性分析</w:t>
            </w:r>
          </w:p>
          <w:p w14:paraId="27197D8E">
            <w:pPr>
              <w:keepNext/>
              <w:keepLines/>
              <w:spacing w:line="360" w:lineRule="auto"/>
              <w:ind w:firstLine="420" w:firstLineChars="200"/>
              <w:outlineLvl w:val="2"/>
              <w:rPr>
                <w:rFonts w:hint="eastAsia" w:ascii="Times New Roman" w:hAnsi="Times New Roman" w:eastAsia="宋体" w:cs="Times New Roman"/>
                <w:color w:val="auto"/>
                <w:szCs w:val="21"/>
                <w:highlight w:val="none"/>
                <w:lang w:bidi="ar"/>
              </w:rPr>
            </w:pPr>
            <w:r>
              <w:rPr>
                <w:rFonts w:hint="eastAsia" w:ascii="Times New Roman" w:hAnsi="Times New Roman" w:eastAsia="宋体" w:cs="Times New Roman"/>
                <w:color w:val="auto"/>
                <w:szCs w:val="21"/>
                <w:highlight w:val="none"/>
                <w:lang w:bidi="ar"/>
              </w:rPr>
              <w:t>本项目运营期产生的</w:t>
            </w:r>
            <w:r>
              <w:rPr>
                <w:rFonts w:hint="eastAsia" w:cs="Times New Roman"/>
                <w:color w:val="auto"/>
                <w:szCs w:val="21"/>
                <w:highlight w:val="none"/>
                <w:lang w:val="en-US" w:eastAsia="zh-CN" w:bidi="ar"/>
              </w:rPr>
              <w:t>槽渣（HW17）、</w:t>
            </w:r>
            <w:r>
              <w:rPr>
                <w:rFonts w:hint="eastAsia" w:eastAsia="宋体"/>
                <w:snapToGrid w:val="0"/>
                <w:color w:val="auto"/>
                <w:kern w:val="0"/>
                <w:sz w:val="21"/>
                <w:szCs w:val="21"/>
              </w:rPr>
              <w:t>废布袋</w:t>
            </w:r>
            <w:r>
              <w:rPr>
                <w:rFonts w:hint="eastAsia"/>
                <w:snapToGrid w:val="0"/>
                <w:color w:val="auto"/>
                <w:kern w:val="0"/>
                <w:sz w:val="21"/>
                <w:szCs w:val="21"/>
                <w:lang w:eastAsia="zh-CN"/>
              </w:rPr>
              <w:t>（</w:t>
            </w:r>
            <w:r>
              <w:rPr>
                <w:rFonts w:hint="eastAsia"/>
                <w:snapToGrid w:val="0"/>
                <w:color w:val="auto"/>
                <w:kern w:val="0"/>
                <w:sz w:val="21"/>
                <w:szCs w:val="21"/>
                <w:lang w:val="en-US" w:eastAsia="zh-CN"/>
              </w:rPr>
              <w:t>HW49</w:t>
            </w:r>
            <w:r>
              <w:rPr>
                <w:rFonts w:hint="eastAsia"/>
                <w:snapToGrid w:val="0"/>
                <w:color w:val="auto"/>
                <w:kern w:val="0"/>
                <w:sz w:val="21"/>
                <w:szCs w:val="21"/>
                <w:lang w:eastAsia="zh-CN"/>
              </w:rPr>
              <w:t>）</w:t>
            </w:r>
            <w:r>
              <w:rPr>
                <w:rFonts w:hint="eastAsia" w:cs="Times New Roman"/>
                <w:color w:val="auto"/>
                <w:szCs w:val="21"/>
                <w:highlight w:val="none"/>
                <w:lang w:val="en-US" w:eastAsia="zh-CN" w:bidi="ar"/>
              </w:rPr>
              <w:t>、</w:t>
            </w:r>
            <w:r>
              <w:rPr>
                <w:rFonts w:hint="eastAsia" w:ascii="Times New Roman" w:hAnsi="Times New Roman" w:eastAsia="宋体" w:cs="Times New Roman"/>
                <w:color w:val="auto"/>
                <w:szCs w:val="21"/>
                <w:highlight w:val="none"/>
                <w:lang w:bidi="ar"/>
              </w:rPr>
              <w:t>废</w:t>
            </w:r>
            <w:r>
              <w:rPr>
                <w:rFonts w:hint="eastAsia" w:ascii="Times New Roman" w:hAnsi="Times New Roman" w:eastAsia="宋体" w:cs="Times New Roman"/>
                <w:color w:val="auto"/>
                <w:szCs w:val="21"/>
                <w:highlight w:val="none"/>
                <w:lang w:val="en-US" w:eastAsia="zh-CN" w:bidi="ar"/>
              </w:rPr>
              <w:t>活性炭</w:t>
            </w:r>
            <w:r>
              <w:rPr>
                <w:rFonts w:hint="eastAsia" w:cs="Times New Roman"/>
                <w:color w:val="auto"/>
                <w:szCs w:val="21"/>
                <w:highlight w:val="none"/>
                <w:lang w:eastAsia="zh-CN" w:bidi="ar"/>
              </w:rPr>
              <w:t>（</w:t>
            </w:r>
            <w:r>
              <w:rPr>
                <w:rFonts w:hint="eastAsia" w:ascii="Times New Roman" w:hAnsi="Times New Roman" w:eastAsia="宋体" w:cs="Times New Roman"/>
                <w:color w:val="auto"/>
                <w:szCs w:val="21"/>
                <w:highlight w:val="none"/>
                <w:lang w:bidi="ar"/>
              </w:rPr>
              <w:t>HW49</w:t>
            </w:r>
            <w:r>
              <w:rPr>
                <w:rFonts w:hint="eastAsia" w:cs="Times New Roman"/>
                <w:color w:val="auto"/>
                <w:szCs w:val="21"/>
                <w:highlight w:val="none"/>
                <w:lang w:eastAsia="zh-CN" w:bidi="ar"/>
              </w:rPr>
              <w:t>）</w:t>
            </w:r>
            <w:r>
              <w:rPr>
                <w:rFonts w:hint="eastAsia" w:ascii="Times New Roman" w:hAnsi="Times New Roman" w:eastAsia="宋体" w:cs="Times New Roman"/>
                <w:color w:val="auto"/>
                <w:szCs w:val="21"/>
                <w:highlight w:val="none"/>
                <w:lang w:bidi="ar"/>
              </w:rPr>
              <w:t>、</w:t>
            </w:r>
            <w:r>
              <w:rPr>
                <w:rFonts w:hint="eastAsia"/>
                <w:snapToGrid w:val="0"/>
                <w:color w:val="auto"/>
                <w:kern w:val="0"/>
                <w:szCs w:val="21"/>
                <w:highlight w:val="none"/>
                <w:lang w:val="en-US" w:eastAsia="zh-CN"/>
              </w:rPr>
              <w:t>污泥</w:t>
            </w:r>
            <w:r>
              <w:rPr>
                <w:rFonts w:hint="eastAsia" w:eastAsia="宋体"/>
                <w:snapToGrid w:val="0"/>
                <w:color w:val="auto"/>
                <w:kern w:val="0"/>
                <w:szCs w:val="21"/>
                <w:highlight w:val="none"/>
                <w:lang w:val="en-US" w:eastAsia="zh-CN"/>
              </w:rPr>
              <w:t>（HW</w:t>
            </w:r>
            <w:r>
              <w:rPr>
                <w:rFonts w:hint="eastAsia"/>
                <w:snapToGrid w:val="0"/>
                <w:color w:val="auto"/>
                <w:kern w:val="0"/>
                <w:szCs w:val="21"/>
                <w:highlight w:val="none"/>
                <w:lang w:val="en-US" w:eastAsia="zh-CN"/>
              </w:rPr>
              <w:t>17</w:t>
            </w:r>
            <w:r>
              <w:rPr>
                <w:rFonts w:hint="eastAsia" w:eastAsia="宋体"/>
                <w:snapToGrid w:val="0"/>
                <w:color w:val="auto"/>
                <w:kern w:val="0"/>
                <w:szCs w:val="21"/>
                <w:highlight w:val="none"/>
                <w:lang w:val="en-US" w:eastAsia="zh-CN"/>
              </w:rPr>
              <w:t>）、</w:t>
            </w:r>
            <w:r>
              <w:rPr>
                <w:rFonts w:hint="eastAsia" w:ascii="Times New Roman" w:hAnsi="Times New Roman" w:eastAsia="宋体" w:cs="Times New Roman"/>
                <w:color w:val="auto"/>
                <w:szCs w:val="21"/>
                <w:highlight w:val="none"/>
                <w:lang w:bidi="ar"/>
              </w:rPr>
              <w:t>废油</w:t>
            </w:r>
            <w:r>
              <w:rPr>
                <w:rFonts w:hint="eastAsia" w:cs="Times New Roman"/>
                <w:color w:val="auto"/>
                <w:szCs w:val="21"/>
                <w:highlight w:val="none"/>
                <w:lang w:eastAsia="zh-CN" w:bidi="ar"/>
              </w:rPr>
              <w:t>（</w:t>
            </w:r>
            <w:r>
              <w:rPr>
                <w:rFonts w:hint="eastAsia" w:ascii="Times New Roman" w:hAnsi="Times New Roman" w:eastAsia="宋体" w:cs="Times New Roman"/>
                <w:color w:val="auto"/>
                <w:szCs w:val="21"/>
                <w:highlight w:val="none"/>
                <w:lang w:bidi="ar"/>
              </w:rPr>
              <w:t>HW08</w:t>
            </w:r>
            <w:r>
              <w:rPr>
                <w:rFonts w:hint="eastAsia" w:cs="Times New Roman"/>
                <w:color w:val="auto"/>
                <w:szCs w:val="21"/>
                <w:highlight w:val="none"/>
                <w:lang w:eastAsia="zh-CN" w:bidi="ar"/>
              </w:rPr>
              <w:t>）</w:t>
            </w:r>
            <w:r>
              <w:rPr>
                <w:rFonts w:hint="eastAsia" w:ascii="Times New Roman" w:hAnsi="Times New Roman" w:eastAsia="宋体" w:cs="Times New Roman"/>
                <w:color w:val="auto"/>
                <w:szCs w:val="21"/>
                <w:highlight w:val="none"/>
                <w:lang w:bidi="ar"/>
              </w:rPr>
              <w:t>均为危险废物。</w:t>
            </w:r>
          </w:p>
          <w:p w14:paraId="61A929F5">
            <w:pPr>
              <w:keepNext/>
              <w:keepLines/>
              <w:spacing w:line="360" w:lineRule="auto"/>
              <w:ind w:firstLine="420" w:firstLineChars="200"/>
              <w:outlineLvl w:val="2"/>
              <w:rPr>
                <w:rFonts w:hint="eastAsia" w:ascii="Times New Roman" w:hAnsi="Times New Roman" w:eastAsia="宋体" w:cs="Times New Roman"/>
                <w:color w:val="auto"/>
                <w:szCs w:val="21"/>
                <w:highlight w:val="none"/>
                <w:lang w:bidi="ar"/>
              </w:rPr>
            </w:pPr>
            <w:r>
              <w:rPr>
                <w:rFonts w:hint="eastAsia" w:ascii="Times New Roman" w:hAnsi="Times New Roman" w:eastAsia="宋体" w:cs="Times New Roman"/>
                <w:color w:val="auto"/>
                <w:szCs w:val="21"/>
                <w:highlight w:val="none"/>
                <w:lang w:bidi="ar"/>
              </w:rPr>
              <w:t>现宿迁市及周边城市有多家有资质处理危险废物企业，宿迁宇新固体废物处置有限公司、光大环保</w:t>
            </w:r>
            <w:r>
              <w:rPr>
                <w:rFonts w:hint="eastAsia" w:cs="Times New Roman"/>
                <w:color w:val="auto"/>
                <w:szCs w:val="21"/>
                <w:highlight w:val="none"/>
                <w:lang w:eastAsia="zh-CN" w:bidi="ar"/>
              </w:rPr>
              <w:t>（</w:t>
            </w:r>
            <w:r>
              <w:rPr>
                <w:rFonts w:hint="eastAsia" w:ascii="Times New Roman" w:hAnsi="Times New Roman" w:eastAsia="宋体" w:cs="Times New Roman"/>
                <w:color w:val="auto"/>
                <w:szCs w:val="21"/>
                <w:highlight w:val="none"/>
                <w:lang w:bidi="ar"/>
              </w:rPr>
              <w:t>宿迁</w:t>
            </w:r>
            <w:r>
              <w:rPr>
                <w:rFonts w:hint="eastAsia" w:cs="Times New Roman"/>
                <w:color w:val="auto"/>
                <w:szCs w:val="21"/>
                <w:highlight w:val="none"/>
                <w:lang w:eastAsia="zh-CN" w:bidi="ar"/>
              </w:rPr>
              <w:t>）</w:t>
            </w:r>
            <w:r>
              <w:rPr>
                <w:rFonts w:hint="eastAsia" w:ascii="Times New Roman" w:hAnsi="Times New Roman" w:eastAsia="宋体" w:cs="Times New Roman"/>
                <w:color w:val="auto"/>
                <w:szCs w:val="21"/>
                <w:highlight w:val="none"/>
                <w:lang w:bidi="ar"/>
              </w:rPr>
              <w:t>固废处置有限公司等危废经营单位的经营范围均包括HW08、</w:t>
            </w:r>
            <w:r>
              <w:rPr>
                <w:rFonts w:hint="eastAsia" w:cs="Times New Roman"/>
                <w:color w:val="auto"/>
                <w:szCs w:val="21"/>
                <w:highlight w:val="none"/>
                <w:lang w:val="en-US" w:eastAsia="zh-CN" w:bidi="ar"/>
              </w:rPr>
              <w:t>HW12、</w:t>
            </w:r>
            <w:r>
              <w:rPr>
                <w:rFonts w:hint="eastAsia" w:ascii="Times New Roman" w:hAnsi="Times New Roman" w:eastAsia="宋体" w:cs="Times New Roman"/>
                <w:color w:val="auto"/>
                <w:szCs w:val="21"/>
                <w:highlight w:val="none"/>
                <w:lang w:bidi="ar"/>
              </w:rPr>
              <w:t>HW49</w:t>
            </w:r>
            <w:r>
              <w:rPr>
                <w:rFonts w:hint="eastAsia" w:cs="Times New Roman"/>
                <w:color w:val="auto"/>
                <w:szCs w:val="21"/>
                <w:highlight w:val="none"/>
                <w:lang w:eastAsia="zh-CN" w:bidi="ar"/>
              </w:rPr>
              <w:t>、</w:t>
            </w:r>
            <w:r>
              <w:rPr>
                <w:rFonts w:hint="eastAsia" w:cs="Times New Roman"/>
                <w:color w:val="auto"/>
                <w:szCs w:val="21"/>
                <w:highlight w:val="none"/>
                <w:lang w:val="en-US" w:eastAsia="zh-CN" w:bidi="ar"/>
              </w:rPr>
              <w:t>HW17</w:t>
            </w:r>
            <w:r>
              <w:rPr>
                <w:rFonts w:hint="eastAsia" w:ascii="Times New Roman" w:hAnsi="Times New Roman" w:eastAsia="宋体" w:cs="Times New Roman"/>
                <w:color w:val="auto"/>
                <w:szCs w:val="21"/>
                <w:highlight w:val="none"/>
                <w:lang w:bidi="ar"/>
              </w:rPr>
              <w:t>类危废，具备HW08</w:t>
            </w:r>
            <w:r>
              <w:rPr>
                <w:rFonts w:hint="eastAsia" w:ascii="Times New Roman" w:hAnsi="Times New Roman" w:eastAsia="宋体" w:cs="Times New Roman"/>
                <w:color w:val="auto"/>
                <w:szCs w:val="21"/>
                <w:highlight w:val="none"/>
                <w:lang w:eastAsia="zh-CN" w:bidi="ar"/>
              </w:rPr>
              <w:t>、</w:t>
            </w:r>
            <w:r>
              <w:rPr>
                <w:rFonts w:hint="eastAsia" w:cs="Times New Roman"/>
                <w:color w:val="auto"/>
                <w:szCs w:val="21"/>
                <w:highlight w:val="none"/>
                <w:lang w:val="en-US" w:eastAsia="zh-CN" w:bidi="ar"/>
              </w:rPr>
              <w:t>HW12、</w:t>
            </w:r>
            <w:r>
              <w:rPr>
                <w:rFonts w:hint="eastAsia" w:ascii="Times New Roman" w:hAnsi="Times New Roman" w:eastAsia="宋体" w:cs="Times New Roman"/>
                <w:color w:val="auto"/>
                <w:szCs w:val="21"/>
                <w:highlight w:val="none"/>
                <w:lang w:bidi="ar"/>
              </w:rPr>
              <w:t>HW49</w:t>
            </w:r>
            <w:r>
              <w:rPr>
                <w:rFonts w:hint="eastAsia" w:cs="Times New Roman"/>
                <w:color w:val="auto"/>
                <w:szCs w:val="21"/>
                <w:highlight w:val="none"/>
                <w:lang w:eastAsia="zh-CN" w:bidi="ar"/>
              </w:rPr>
              <w:t>、</w:t>
            </w:r>
            <w:r>
              <w:rPr>
                <w:rFonts w:hint="eastAsia" w:cs="Times New Roman"/>
                <w:color w:val="auto"/>
                <w:szCs w:val="21"/>
                <w:highlight w:val="none"/>
                <w:lang w:val="en-US" w:eastAsia="zh-CN" w:bidi="ar"/>
              </w:rPr>
              <w:t>HW17</w:t>
            </w:r>
            <w:r>
              <w:rPr>
                <w:rFonts w:hint="eastAsia" w:ascii="Times New Roman" w:hAnsi="Times New Roman" w:eastAsia="宋体" w:cs="Times New Roman"/>
                <w:color w:val="auto"/>
                <w:szCs w:val="21"/>
                <w:highlight w:val="none"/>
                <w:lang w:bidi="ar"/>
              </w:rPr>
              <w:t>类危废的处置能力，且有效期内仍有余量。因此，本项目危废委托有资质单位处理是可行的。</w:t>
            </w:r>
          </w:p>
          <w:p w14:paraId="22F19645">
            <w:pPr>
              <w:keepNext/>
              <w:keepLines/>
              <w:spacing w:line="360" w:lineRule="auto"/>
              <w:ind w:firstLine="420" w:firstLineChars="200"/>
              <w:outlineLvl w:val="2"/>
              <w:rPr>
                <w:rFonts w:hint="eastAsia" w:ascii="Times New Roman" w:hAnsi="Times New Roman" w:eastAsia="宋体" w:cs="Times New Roman"/>
                <w:color w:val="auto"/>
                <w:szCs w:val="21"/>
                <w:highlight w:val="none"/>
                <w:lang w:bidi="ar"/>
              </w:rPr>
            </w:pPr>
            <w:r>
              <w:rPr>
                <w:color w:val="auto"/>
                <w:sz w:val="21"/>
                <w:szCs w:val="21"/>
                <w:highlight w:val="none"/>
              </w:rPr>
              <w:t>②</w:t>
            </w:r>
            <w:r>
              <w:rPr>
                <w:rFonts w:hint="eastAsia" w:ascii="Times New Roman" w:hAnsi="Times New Roman" w:eastAsia="宋体" w:cs="Times New Roman"/>
                <w:color w:val="auto"/>
                <w:szCs w:val="21"/>
                <w:highlight w:val="none"/>
                <w:lang w:bidi="ar"/>
              </w:rPr>
              <w:t>一般固废处置可行性分析</w:t>
            </w:r>
          </w:p>
          <w:p w14:paraId="55157358">
            <w:pPr>
              <w:keepNext/>
              <w:keepLines/>
              <w:spacing w:line="360" w:lineRule="auto"/>
              <w:ind w:firstLine="420" w:firstLineChars="200"/>
              <w:outlineLvl w:val="2"/>
              <w:rPr>
                <w:rFonts w:hint="eastAsia" w:ascii="Times New Roman" w:hAnsi="Times New Roman" w:eastAsia="宋体" w:cs="Times New Roman"/>
                <w:color w:val="auto"/>
                <w:szCs w:val="21"/>
                <w:highlight w:val="none"/>
                <w:lang w:bidi="ar"/>
              </w:rPr>
            </w:pPr>
            <w:r>
              <w:rPr>
                <w:rFonts w:hint="eastAsia" w:ascii="Times New Roman" w:hAnsi="Times New Roman" w:eastAsia="宋体" w:cs="Times New Roman"/>
                <w:color w:val="auto"/>
                <w:szCs w:val="21"/>
                <w:highlight w:val="none"/>
                <w:lang w:bidi="ar"/>
              </w:rPr>
              <w:t>项目产生</w:t>
            </w:r>
            <w:r>
              <w:rPr>
                <w:rFonts w:hint="eastAsia" w:cs="Times New Roman"/>
                <w:color w:val="auto"/>
                <w:szCs w:val="21"/>
                <w:highlight w:val="none"/>
                <w:lang w:val="en-US" w:eastAsia="zh-CN" w:bidi="ar"/>
              </w:rPr>
              <w:t>的生活垃圾由环卫清运，</w:t>
            </w:r>
            <w:r>
              <w:rPr>
                <w:rFonts w:hint="eastAsia" w:ascii="Times New Roman" w:hAnsi="Times New Roman" w:eastAsia="宋体" w:cs="Times New Roman"/>
                <w:color w:val="auto"/>
                <w:szCs w:val="21"/>
                <w:highlight w:val="none"/>
                <w:lang w:bidi="ar"/>
              </w:rPr>
              <w:t>处置途径是可行的。</w:t>
            </w:r>
          </w:p>
          <w:p w14:paraId="7704333B">
            <w:pPr>
              <w:spacing w:line="360" w:lineRule="auto"/>
              <w:ind w:firstLine="422" w:firstLineChars="200"/>
              <w:rPr>
                <w:b/>
                <w:bCs/>
                <w:color w:val="auto"/>
                <w:szCs w:val="21"/>
                <w:highlight w:val="none"/>
              </w:rPr>
            </w:pPr>
            <w:r>
              <w:rPr>
                <w:rFonts w:hint="eastAsia"/>
                <w:b/>
                <w:bCs/>
                <w:color w:val="auto"/>
                <w:szCs w:val="21"/>
                <w:highlight w:val="none"/>
              </w:rPr>
              <w:t>4.</w:t>
            </w:r>
            <w:r>
              <w:rPr>
                <w:rFonts w:hint="eastAsia"/>
                <w:b/>
                <w:bCs/>
                <w:color w:val="auto"/>
                <w:szCs w:val="21"/>
                <w:highlight w:val="none"/>
                <w:lang w:val="en-US" w:eastAsia="zh-CN"/>
              </w:rPr>
              <w:t>3</w:t>
            </w:r>
            <w:r>
              <w:rPr>
                <w:rFonts w:hint="eastAsia"/>
                <w:b/>
                <w:bCs/>
                <w:color w:val="auto"/>
                <w:szCs w:val="21"/>
                <w:highlight w:val="none"/>
              </w:rPr>
              <w:t>固体废物管理要求</w:t>
            </w:r>
          </w:p>
          <w:p w14:paraId="3E9D444A">
            <w:pPr>
              <w:pStyle w:val="10"/>
              <w:spacing w:before="0" w:after="0" w:line="360" w:lineRule="auto"/>
              <w:ind w:right="0" w:firstLine="420" w:firstLineChars="200"/>
              <w:rPr>
                <w:color w:val="auto"/>
                <w:sz w:val="21"/>
                <w:szCs w:val="21"/>
                <w:highlight w:val="none"/>
              </w:rPr>
            </w:pPr>
            <w:r>
              <w:rPr>
                <w:color w:val="auto"/>
                <w:kern w:val="2"/>
                <w:sz w:val="21"/>
                <w:szCs w:val="21"/>
                <w:highlight w:val="none"/>
                <w:lang w:bidi="ar"/>
              </w:rPr>
              <w:t>①</w:t>
            </w:r>
            <w:r>
              <w:rPr>
                <w:rFonts w:hint="eastAsia"/>
                <w:color w:val="auto"/>
                <w:sz w:val="21"/>
                <w:szCs w:val="21"/>
                <w:highlight w:val="none"/>
              </w:rPr>
              <w:t>一般固体废弃物</w:t>
            </w:r>
          </w:p>
          <w:p w14:paraId="2EBBB267">
            <w:pPr>
              <w:spacing w:line="360" w:lineRule="auto"/>
              <w:ind w:firstLine="420" w:firstLineChars="200"/>
              <w:rPr>
                <w:color w:val="auto"/>
                <w:szCs w:val="21"/>
                <w:highlight w:val="none"/>
              </w:rPr>
            </w:pPr>
            <w:r>
              <w:rPr>
                <w:rFonts w:hint="eastAsia"/>
                <w:color w:val="auto"/>
                <w:szCs w:val="21"/>
                <w:highlight w:val="none"/>
              </w:rPr>
              <w:t>1）</w:t>
            </w:r>
            <w:r>
              <w:rPr>
                <w:color w:val="auto"/>
                <w:szCs w:val="21"/>
                <w:highlight w:val="none"/>
                <w:lang w:bidi="ar"/>
              </w:rPr>
              <w:t>厂区</w:t>
            </w:r>
            <w:r>
              <w:rPr>
                <w:rFonts w:hint="eastAsia"/>
                <w:color w:val="auto"/>
                <w:szCs w:val="21"/>
                <w:highlight w:val="none"/>
                <w:lang w:val="en-US" w:eastAsia="zh-CN" w:bidi="ar"/>
              </w:rPr>
              <w:t>现有</w:t>
            </w:r>
            <w:r>
              <w:rPr>
                <w:color w:val="auto"/>
                <w:szCs w:val="21"/>
                <w:highlight w:val="none"/>
                <w:lang w:bidi="ar"/>
              </w:rPr>
              <w:t>一般固废</w:t>
            </w:r>
            <w:r>
              <w:rPr>
                <w:rFonts w:hint="eastAsia"/>
                <w:color w:val="auto"/>
                <w:szCs w:val="21"/>
                <w:highlight w:val="none"/>
                <w:lang w:bidi="ar"/>
              </w:rPr>
              <w:t>仓库</w:t>
            </w:r>
            <w:r>
              <w:rPr>
                <w:rFonts w:hint="eastAsia"/>
                <w:color w:val="auto"/>
                <w:szCs w:val="21"/>
                <w:highlight w:val="none"/>
                <w:lang w:val="en-US" w:eastAsia="zh-CN" w:bidi="ar"/>
              </w:rPr>
              <w:t>5</w:t>
            </w:r>
            <w:r>
              <w:rPr>
                <w:rFonts w:hint="eastAsia"/>
                <w:color w:val="auto"/>
                <w:szCs w:val="21"/>
                <w:highlight w:val="none"/>
                <w:lang w:bidi="ar"/>
              </w:rPr>
              <w:t>0</w:t>
            </w:r>
            <w:r>
              <w:rPr>
                <w:color w:val="auto"/>
                <w:highlight w:val="none"/>
              </w:rPr>
              <w:t>m</w:t>
            </w:r>
            <w:r>
              <w:rPr>
                <w:color w:val="auto"/>
                <w:highlight w:val="none"/>
                <w:vertAlign w:val="superscript"/>
              </w:rPr>
              <w:t>2</w:t>
            </w:r>
            <w:r>
              <w:rPr>
                <w:color w:val="auto"/>
                <w:szCs w:val="21"/>
                <w:highlight w:val="none"/>
                <w:lang w:bidi="ar"/>
              </w:rPr>
              <w:t>，位于</w:t>
            </w:r>
            <w:r>
              <w:rPr>
                <w:rFonts w:hint="eastAsia"/>
                <w:color w:val="auto"/>
                <w:szCs w:val="21"/>
                <w:highlight w:val="none"/>
                <w:lang w:val="en-US" w:eastAsia="zh-CN"/>
              </w:rPr>
              <w:t>3#厂房西侧，</w:t>
            </w:r>
            <w:r>
              <w:rPr>
                <w:color w:val="auto"/>
                <w:sz w:val="21"/>
                <w:szCs w:val="21"/>
                <w:highlight w:val="none"/>
              </w:rPr>
              <w:t>按照《一般工业固体废物贮存和填埋污染控制标准》（GB18599-2020）</w:t>
            </w:r>
            <w:r>
              <w:rPr>
                <w:rFonts w:hint="eastAsia"/>
                <w:color w:val="auto"/>
                <w:sz w:val="21"/>
                <w:szCs w:val="21"/>
                <w:highlight w:val="none"/>
                <w:lang w:eastAsia="zh-CN"/>
              </w:rPr>
              <w:t>、</w:t>
            </w:r>
            <w:r>
              <w:rPr>
                <w:rFonts w:hint="default" w:ascii="Times New Roman" w:hAnsi="Times New Roman" w:cs="Times New Roman"/>
                <w:b w:val="0"/>
                <w:bCs w:val="0"/>
                <w:sz w:val="21"/>
                <w:szCs w:val="21"/>
                <w:lang w:eastAsia="zh-CN"/>
              </w:rPr>
              <w:t>《省生态环境厅关于进一步完善般工业固体废物环境管理的通知》（苏环办〔2023〕327号）</w:t>
            </w:r>
            <w:r>
              <w:rPr>
                <w:color w:val="auto"/>
                <w:sz w:val="21"/>
                <w:szCs w:val="21"/>
                <w:highlight w:val="none"/>
              </w:rPr>
              <w:t>中</w:t>
            </w:r>
            <w:r>
              <w:rPr>
                <w:rFonts w:hint="eastAsia"/>
                <w:color w:val="auto"/>
                <w:sz w:val="21"/>
                <w:szCs w:val="21"/>
                <w:highlight w:val="none"/>
                <w:lang w:val="en-US" w:eastAsia="zh-CN"/>
              </w:rPr>
              <w:t>相关</w:t>
            </w:r>
            <w:r>
              <w:rPr>
                <w:color w:val="auto"/>
                <w:sz w:val="21"/>
                <w:szCs w:val="21"/>
                <w:highlight w:val="none"/>
              </w:rPr>
              <w:t>要求建设，对一般固废堆放区地面进行了硬化，</w:t>
            </w:r>
            <w:r>
              <w:rPr>
                <w:rFonts w:hint="eastAsia" w:ascii="Times New Roman" w:hAnsi="Times New Roman"/>
                <w:b w:val="0"/>
                <w:bCs w:val="0"/>
                <w:sz w:val="21"/>
                <w:szCs w:val="24"/>
                <w:lang w:val="en-US" w:eastAsia="zh-CN"/>
              </w:rPr>
              <w:t>采取防扬散、防流失、防渗漏处理及其他防止污染环境措施，</w:t>
            </w:r>
            <w:r>
              <w:rPr>
                <w:color w:val="auto"/>
                <w:sz w:val="21"/>
                <w:szCs w:val="21"/>
                <w:highlight w:val="none"/>
              </w:rPr>
              <w:t>制定了</w:t>
            </w:r>
            <w:r>
              <w:rPr>
                <w:rFonts w:hint="eastAsia" w:ascii="宋体" w:hAnsi="宋体" w:cs="宋体"/>
                <w:color w:val="auto"/>
                <w:sz w:val="21"/>
                <w:szCs w:val="21"/>
                <w:highlight w:val="none"/>
              </w:rPr>
              <w:t>“</w:t>
            </w:r>
            <w:r>
              <w:rPr>
                <w:color w:val="auto"/>
                <w:sz w:val="21"/>
                <w:szCs w:val="21"/>
                <w:highlight w:val="none"/>
              </w:rPr>
              <w:t>一般固废</w:t>
            </w:r>
            <w:r>
              <w:rPr>
                <w:rFonts w:hint="eastAsia"/>
                <w:color w:val="auto"/>
                <w:sz w:val="21"/>
                <w:szCs w:val="21"/>
                <w:highlight w:val="none"/>
              </w:rPr>
              <w:t>区</w:t>
            </w:r>
            <w:r>
              <w:rPr>
                <w:color w:val="auto"/>
                <w:sz w:val="21"/>
                <w:szCs w:val="21"/>
                <w:highlight w:val="none"/>
              </w:rPr>
              <w:t>管理制度</w:t>
            </w:r>
            <w:r>
              <w:rPr>
                <w:rFonts w:hint="eastAsia" w:ascii="宋体" w:hAnsi="宋体" w:cs="宋体"/>
                <w:color w:val="auto"/>
                <w:sz w:val="21"/>
                <w:szCs w:val="21"/>
                <w:highlight w:val="none"/>
              </w:rPr>
              <w:t>”</w:t>
            </w:r>
            <w:r>
              <w:rPr>
                <w:color w:val="auto"/>
                <w:sz w:val="21"/>
                <w:szCs w:val="21"/>
                <w:highlight w:val="none"/>
              </w:rPr>
              <w:t>、</w:t>
            </w:r>
            <w:r>
              <w:rPr>
                <w:rFonts w:hint="eastAsia" w:ascii="宋体" w:hAnsi="宋体" w:cs="宋体"/>
                <w:color w:val="auto"/>
                <w:sz w:val="21"/>
                <w:szCs w:val="21"/>
                <w:highlight w:val="none"/>
              </w:rPr>
              <w:t>“</w:t>
            </w:r>
            <w:r>
              <w:rPr>
                <w:color w:val="auto"/>
                <w:sz w:val="21"/>
                <w:szCs w:val="21"/>
                <w:highlight w:val="none"/>
              </w:rPr>
              <w:t>一般工业固废处置管理规定</w:t>
            </w:r>
            <w:r>
              <w:rPr>
                <w:rFonts w:hint="eastAsia" w:ascii="宋体" w:hAnsi="宋体" w:cs="宋体"/>
                <w:color w:val="auto"/>
                <w:sz w:val="21"/>
                <w:szCs w:val="21"/>
                <w:highlight w:val="none"/>
              </w:rPr>
              <w:t>”</w:t>
            </w:r>
            <w:r>
              <w:rPr>
                <w:color w:val="auto"/>
                <w:sz w:val="21"/>
                <w:szCs w:val="21"/>
                <w:highlight w:val="none"/>
              </w:rPr>
              <w:t>，由专人维护。</w:t>
            </w:r>
            <w:r>
              <w:rPr>
                <w:color w:val="auto"/>
                <w:sz w:val="21"/>
                <w:szCs w:val="21"/>
                <w:highlight w:val="none"/>
                <w:lang w:bidi="ar"/>
              </w:rPr>
              <w:t>一般固废</w:t>
            </w:r>
            <w:r>
              <w:rPr>
                <w:rFonts w:hint="eastAsia"/>
                <w:color w:val="auto"/>
                <w:sz w:val="21"/>
                <w:szCs w:val="21"/>
                <w:highlight w:val="none"/>
                <w:lang w:bidi="ar"/>
              </w:rPr>
              <w:t>仓库</w:t>
            </w:r>
            <w:r>
              <w:rPr>
                <w:rFonts w:hint="eastAsia"/>
                <w:color w:val="auto"/>
                <w:sz w:val="21"/>
                <w:szCs w:val="21"/>
                <w:highlight w:val="none"/>
                <w:vertAlign w:val="baseline"/>
                <w:lang w:val="en-US" w:eastAsia="zh-CN"/>
              </w:rPr>
              <w:t>储存空间</w:t>
            </w:r>
            <w:r>
              <w:rPr>
                <w:rFonts w:hint="eastAsia"/>
                <w:color w:val="auto"/>
                <w:sz w:val="21"/>
                <w:szCs w:val="21"/>
                <w:highlight w:val="none"/>
                <w:lang w:val="en-US" w:eastAsia="zh-CN" w:bidi="ar"/>
              </w:rPr>
              <w:t>50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val="en-US" w:eastAsia="zh-CN"/>
              </w:rPr>
              <w:t>，足够存储全厂一般固废</w:t>
            </w:r>
            <w:r>
              <w:rPr>
                <w:rFonts w:hint="eastAsia"/>
                <w:color w:val="auto"/>
                <w:highlight w:val="none"/>
                <w:vertAlign w:val="baseline"/>
                <w:lang w:val="en-US" w:eastAsia="zh-CN"/>
              </w:rPr>
              <w:t>。</w:t>
            </w:r>
          </w:p>
          <w:p w14:paraId="384E9206">
            <w:pPr>
              <w:spacing w:line="360" w:lineRule="auto"/>
              <w:ind w:firstLine="420" w:firstLineChars="200"/>
              <w:rPr>
                <w:color w:val="auto"/>
                <w:szCs w:val="21"/>
                <w:highlight w:val="none"/>
              </w:rPr>
            </w:pPr>
            <w:r>
              <w:rPr>
                <w:rFonts w:hint="eastAsia"/>
                <w:color w:val="auto"/>
                <w:szCs w:val="21"/>
                <w:highlight w:val="none"/>
              </w:rPr>
              <w:t>2）按照《中华人民共和国固体废物污染环境防治法》、《一般工业固体废物贮存和填埋污染控制标准》（GB 18599-2020）》、《一般工业固体废物管理台账制定指南（试行）》（生态环境部办公厅2021年12月31日印发）等的相关要求，如实记录工业固体废物的种类、数量、流向、贮存、利用、处置等信息，落实一般固废的台账管理和环境污染防治。</w:t>
            </w:r>
          </w:p>
          <w:p w14:paraId="436FB7A6">
            <w:pPr>
              <w:spacing w:line="360" w:lineRule="auto"/>
              <w:ind w:firstLine="420" w:firstLineChars="200"/>
              <w:rPr>
                <w:color w:val="auto"/>
                <w:szCs w:val="21"/>
                <w:highlight w:val="none"/>
              </w:rPr>
            </w:pPr>
            <w:r>
              <w:rPr>
                <w:rFonts w:hint="eastAsia"/>
                <w:color w:val="auto"/>
                <w:szCs w:val="21"/>
                <w:highlight w:val="none"/>
                <w:lang w:val="en-US" w:eastAsia="zh-CN"/>
              </w:rPr>
              <w:t>3</w:t>
            </w:r>
            <w:r>
              <w:rPr>
                <w:rFonts w:hint="eastAsia"/>
                <w:color w:val="auto"/>
                <w:szCs w:val="21"/>
                <w:highlight w:val="none"/>
              </w:rPr>
              <w:t>）对固体废物实行从产生、收集、运输、贮存直至最终处理实行全过程管理，按照有关法律、法规的要求，对固体废弃物全过程管理应报当地生态环境行政主管部门等批准。</w:t>
            </w:r>
          </w:p>
          <w:p w14:paraId="7EA69B3F">
            <w:pPr>
              <w:spacing w:line="360" w:lineRule="auto"/>
              <w:ind w:firstLine="420" w:firstLineChars="200"/>
              <w:rPr>
                <w:color w:val="auto"/>
                <w:szCs w:val="21"/>
                <w:highlight w:val="none"/>
              </w:rPr>
            </w:pPr>
            <w:r>
              <w:rPr>
                <w:rFonts w:hint="eastAsia"/>
                <w:color w:val="auto"/>
                <w:szCs w:val="21"/>
                <w:highlight w:val="none"/>
                <w:lang w:val="en-US" w:eastAsia="zh-CN"/>
              </w:rPr>
              <w:t>4</w:t>
            </w:r>
            <w:r>
              <w:rPr>
                <w:rFonts w:hint="eastAsia"/>
                <w:color w:val="auto"/>
                <w:szCs w:val="21"/>
                <w:highlight w:val="none"/>
              </w:rPr>
              <w:t>）加强固体废物规范化管理，固体废物分类定点堆放，堆放场所远离办公区和周围环境敏感点，为了减少雨水侵蚀造成的二次污染，临时堆放场地要有防渗漏设施，并加盖顶棚。</w:t>
            </w:r>
          </w:p>
          <w:p w14:paraId="39538D5A">
            <w:pPr>
              <w:spacing w:line="360" w:lineRule="auto"/>
              <w:ind w:firstLine="420" w:firstLineChars="200"/>
              <w:rPr>
                <w:rFonts w:hint="eastAsia"/>
                <w:color w:val="auto"/>
                <w:szCs w:val="21"/>
                <w:highlight w:val="none"/>
              </w:rPr>
            </w:pPr>
            <w:r>
              <w:rPr>
                <w:rFonts w:hint="eastAsia"/>
                <w:color w:val="auto"/>
                <w:szCs w:val="21"/>
                <w:highlight w:val="none"/>
                <w:lang w:val="en-US" w:eastAsia="zh-CN"/>
              </w:rPr>
              <w:t>5</w:t>
            </w:r>
            <w:r>
              <w:rPr>
                <w:rFonts w:hint="eastAsia"/>
                <w:color w:val="auto"/>
                <w:szCs w:val="21"/>
                <w:highlight w:val="none"/>
              </w:rPr>
              <w:t>）固体废物要及时清运，避免产生二次污染。</w:t>
            </w:r>
          </w:p>
          <w:p w14:paraId="742C8699">
            <w:pPr>
              <w:pStyle w:val="10"/>
              <w:spacing w:before="0" w:after="0" w:line="360" w:lineRule="auto"/>
              <w:ind w:right="0" w:firstLine="420" w:firstLineChars="200"/>
              <w:rPr>
                <w:color w:val="auto"/>
                <w:sz w:val="21"/>
                <w:szCs w:val="21"/>
                <w:highlight w:val="none"/>
              </w:rPr>
            </w:pPr>
            <w:r>
              <w:rPr>
                <w:color w:val="auto"/>
                <w:sz w:val="21"/>
                <w:szCs w:val="21"/>
                <w:highlight w:val="none"/>
              </w:rPr>
              <w:t>②</w:t>
            </w:r>
            <w:r>
              <w:rPr>
                <w:rFonts w:hint="eastAsia"/>
                <w:color w:val="auto"/>
                <w:sz w:val="21"/>
                <w:szCs w:val="21"/>
                <w:highlight w:val="none"/>
              </w:rPr>
              <w:t>危险废物管理要求</w:t>
            </w:r>
          </w:p>
          <w:p w14:paraId="4E773D92">
            <w:pPr>
              <w:spacing w:line="360" w:lineRule="auto"/>
              <w:ind w:firstLine="420" w:firstLineChars="200"/>
              <w:rPr>
                <w:color w:val="auto"/>
                <w:highlight w:val="none"/>
              </w:rPr>
            </w:pPr>
            <w:r>
              <w:rPr>
                <w:rFonts w:hint="eastAsia"/>
                <w:color w:val="auto"/>
                <w:szCs w:val="21"/>
                <w:highlight w:val="none"/>
              </w:rPr>
              <w:t>1）</w:t>
            </w:r>
            <w:r>
              <w:rPr>
                <w:color w:val="auto"/>
                <w:szCs w:val="21"/>
                <w:highlight w:val="none"/>
              </w:rPr>
              <w:t>企业</w:t>
            </w:r>
            <w:r>
              <w:rPr>
                <w:rFonts w:hint="eastAsia"/>
                <w:color w:val="auto"/>
                <w:szCs w:val="21"/>
                <w:highlight w:val="none"/>
                <w:lang w:val="en-US" w:eastAsia="zh-CN"/>
              </w:rPr>
              <w:t>厂区现有13</w:t>
            </w:r>
            <w:r>
              <w:rPr>
                <w:rFonts w:hint="eastAsia"/>
                <w:color w:val="auto"/>
                <w:szCs w:val="21"/>
                <w:highlight w:val="none"/>
              </w:rPr>
              <w:t>0</w:t>
            </w:r>
            <w:r>
              <w:rPr>
                <w:color w:val="auto"/>
                <w:szCs w:val="21"/>
                <w:highlight w:val="none"/>
              </w:rPr>
              <w:t>m</w:t>
            </w:r>
            <w:r>
              <w:rPr>
                <w:color w:val="auto"/>
                <w:szCs w:val="21"/>
                <w:highlight w:val="none"/>
                <w:vertAlign w:val="superscript"/>
              </w:rPr>
              <w:t>2</w:t>
            </w:r>
            <w:r>
              <w:rPr>
                <w:rFonts w:hint="eastAsia"/>
                <w:color w:val="auto"/>
                <w:szCs w:val="21"/>
                <w:highlight w:val="none"/>
                <w:lang w:val="en-US" w:eastAsia="zh-CN"/>
              </w:rPr>
              <w:t>危废暂存间位于1#厂房东侧围墙边，剩余储存空间约50</w:t>
            </w:r>
            <w:r>
              <w:rPr>
                <w:color w:val="auto"/>
                <w:szCs w:val="21"/>
                <w:highlight w:val="none"/>
              </w:rPr>
              <w:t>m</w:t>
            </w:r>
            <w:r>
              <w:rPr>
                <w:color w:val="auto"/>
                <w:szCs w:val="21"/>
                <w:highlight w:val="none"/>
                <w:vertAlign w:val="superscript"/>
              </w:rPr>
              <w:t>2</w:t>
            </w:r>
            <w:r>
              <w:rPr>
                <w:color w:val="auto"/>
                <w:highlight w:val="none"/>
              </w:rPr>
              <w:t>，该危废库按照《危险废物贮存污染控制标准》（GB18597-20</w:t>
            </w:r>
            <w:r>
              <w:rPr>
                <w:rFonts w:hint="eastAsia"/>
                <w:color w:val="auto"/>
                <w:highlight w:val="none"/>
              </w:rPr>
              <w:t>23</w:t>
            </w:r>
            <w:r>
              <w:rPr>
                <w:color w:val="auto"/>
                <w:highlight w:val="none"/>
              </w:rPr>
              <w:t>）要求进行建设。</w:t>
            </w:r>
          </w:p>
          <w:p w14:paraId="25F4F479">
            <w:pPr>
              <w:spacing w:line="360" w:lineRule="auto"/>
              <w:ind w:firstLine="420" w:firstLineChars="200"/>
              <w:rPr>
                <w:color w:val="auto"/>
                <w:szCs w:val="21"/>
                <w:highlight w:val="none"/>
              </w:rPr>
            </w:pPr>
            <w:r>
              <w:rPr>
                <w:color w:val="auto"/>
                <w:szCs w:val="21"/>
                <w:highlight w:val="none"/>
              </w:rPr>
              <w:t>根据《建设项目危险废物环境影响评价指南》要求，</w:t>
            </w:r>
            <w:r>
              <w:rPr>
                <w:rFonts w:hint="eastAsia"/>
                <w:color w:val="auto"/>
                <w:szCs w:val="21"/>
                <w:highlight w:val="none"/>
                <w:lang w:val="en-US" w:eastAsia="zh-CN"/>
              </w:rPr>
              <w:t>本项目</w:t>
            </w:r>
            <w:r>
              <w:rPr>
                <w:color w:val="auto"/>
                <w:szCs w:val="21"/>
                <w:highlight w:val="none"/>
              </w:rPr>
              <w:t>危险废物贮存情况见表4-</w:t>
            </w:r>
            <w:r>
              <w:rPr>
                <w:rFonts w:hint="eastAsia"/>
                <w:color w:val="auto"/>
                <w:szCs w:val="21"/>
                <w:highlight w:val="none"/>
                <w:lang w:val="en-US" w:eastAsia="zh-CN"/>
              </w:rPr>
              <w:t>30</w:t>
            </w:r>
            <w:r>
              <w:rPr>
                <w:color w:val="auto"/>
                <w:szCs w:val="21"/>
                <w:highlight w:val="none"/>
              </w:rPr>
              <w:t>。</w:t>
            </w:r>
          </w:p>
          <w:p w14:paraId="098EDA87">
            <w:pPr>
              <w:spacing w:line="360" w:lineRule="auto"/>
              <w:jc w:val="center"/>
              <w:rPr>
                <w:b/>
                <w:color w:val="auto"/>
                <w:szCs w:val="21"/>
                <w:highlight w:val="none"/>
              </w:rPr>
            </w:pPr>
            <w:r>
              <w:rPr>
                <w:rFonts w:hint="eastAsia"/>
                <w:b/>
                <w:color w:val="auto"/>
                <w:szCs w:val="21"/>
                <w:highlight w:val="none"/>
              </w:rPr>
              <w:t>表4-</w:t>
            </w:r>
            <w:r>
              <w:rPr>
                <w:rFonts w:hint="eastAsia"/>
                <w:b/>
                <w:color w:val="auto"/>
                <w:szCs w:val="21"/>
                <w:highlight w:val="none"/>
                <w:lang w:val="en-US" w:eastAsia="zh-CN"/>
              </w:rPr>
              <w:t>34</w:t>
            </w:r>
            <w:r>
              <w:rPr>
                <w:rFonts w:hint="eastAsia"/>
                <w:b/>
                <w:color w:val="auto"/>
                <w:szCs w:val="21"/>
                <w:highlight w:val="none"/>
              </w:rPr>
              <w:t xml:space="preserve"> 危险废物贮存场所基本情况</w:t>
            </w:r>
          </w:p>
          <w:tbl>
            <w:tblPr>
              <w:tblStyle w:val="30"/>
              <w:tblW w:w="8235" w:type="dxa"/>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28" w:type="dxa"/>
                <w:bottom w:w="0" w:type="dxa"/>
                <w:right w:w="28" w:type="dxa"/>
              </w:tblCellMar>
            </w:tblPr>
            <w:tblGrid>
              <w:gridCol w:w="737"/>
              <w:gridCol w:w="1361"/>
              <w:gridCol w:w="736"/>
              <w:gridCol w:w="1076"/>
              <w:gridCol w:w="1199"/>
              <w:gridCol w:w="669"/>
              <w:gridCol w:w="1042"/>
              <w:gridCol w:w="509"/>
              <w:gridCol w:w="906"/>
            </w:tblGrid>
            <w:tr w14:paraId="775B9C60">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90" w:hRule="atLeast"/>
                <w:jc w:val="center"/>
              </w:trPr>
              <w:tc>
                <w:tcPr>
                  <w:tcW w:w="737" w:type="dxa"/>
                  <w:vAlign w:val="center"/>
                </w:tcPr>
                <w:p w14:paraId="3922931A">
                  <w:pPr>
                    <w:adjustRightInd w:val="0"/>
                    <w:snapToGrid w:val="0"/>
                    <w:jc w:val="center"/>
                    <w:rPr>
                      <w:color w:val="auto"/>
                      <w:szCs w:val="21"/>
                      <w:highlight w:val="none"/>
                    </w:rPr>
                  </w:pPr>
                  <w:r>
                    <w:rPr>
                      <w:rFonts w:hint="eastAsia"/>
                      <w:color w:val="auto"/>
                      <w:szCs w:val="21"/>
                      <w:highlight w:val="none"/>
                    </w:rPr>
                    <w:t>贮存场所名称</w:t>
                  </w:r>
                </w:p>
              </w:tc>
              <w:tc>
                <w:tcPr>
                  <w:tcW w:w="1361" w:type="dxa"/>
                  <w:vAlign w:val="center"/>
                </w:tcPr>
                <w:p w14:paraId="539D8BCF">
                  <w:pPr>
                    <w:adjustRightInd w:val="0"/>
                    <w:snapToGrid w:val="0"/>
                    <w:jc w:val="center"/>
                    <w:rPr>
                      <w:color w:val="auto"/>
                      <w:szCs w:val="21"/>
                      <w:highlight w:val="none"/>
                    </w:rPr>
                  </w:pPr>
                  <w:r>
                    <w:rPr>
                      <w:rFonts w:hint="eastAsia"/>
                      <w:color w:val="auto"/>
                      <w:szCs w:val="21"/>
                      <w:highlight w:val="none"/>
                    </w:rPr>
                    <w:t>危险废物</w:t>
                  </w:r>
                </w:p>
                <w:p w14:paraId="6712B580">
                  <w:pPr>
                    <w:adjustRightInd w:val="0"/>
                    <w:snapToGrid w:val="0"/>
                    <w:jc w:val="center"/>
                    <w:rPr>
                      <w:color w:val="auto"/>
                      <w:szCs w:val="21"/>
                      <w:highlight w:val="none"/>
                    </w:rPr>
                  </w:pPr>
                  <w:r>
                    <w:rPr>
                      <w:rFonts w:hint="eastAsia"/>
                      <w:color w:val="auto"/>
                      <w:szCs w:val="21"/>
                      <w:highlight w:val="none"/>
                    </w:rPr>
                    <w:t>名称</w:t>
                  </w:r>
                </w:p>
              </w:tc>
              <w:tc>
                <w:tcPr>
                  <w:tcW w:w="736" w:type="dxa"/>
                  <w:vAlign w:val="center"/>
                </w:tcPr>
                <w:p w14:paraId="0CB642FE">
                  <w:pPr>
                    <w:adjustRightInd w:val="0"/>
                    <w:snapToGrid w:val="0"/>
                    <w:jc w:val="center"/>
                    <w:rPr>
                      <w:color w:val="auto"/>
                      <w:szCs w:val="21"/>
                      <w:highlight w:val="none"/>
                    </w:rPr>
                  </w:pPr>
                  <w:r>
                    <w:rPr>
                      <w:rFonts w:hint="eastAsia"/>
                      <w:color w:val="auto"/>
                      <w:szCs w:val="21"/>
                      <w:highlight w:val="none"/>
                    </w:rPr>
                    <w:t>危险废物类别</w:t>
                  </w:r>
                </w:p>
              </w:tc>
              <w:tc>
                <w:tcPr>
                  <w:tcW w:w="1076" w:type="dxa"/>
                  <w:vAlign w:val="center"/>
                </w:tcPr>
                <w:p w14:paraId="0C47F392">
                  <w:pPr>
                    <w:adjustRightInd w:val="0"/>
                    <w:snapToGrid w:val="0"/>
                    <w:jc w:val="center"/>
                    <w:rPr>
                      <w:color w:val="auto"/>
                      <w:szCs w:val="21"/>
                      <w:highlight w:val="none"/>
                    </w:rPr>
                  </w:pPr>
                  <w:r>
                    <w:rPr>
                      <w:rFonts w:hint="eastAsia"/>
                      <w:color w:val="auto"/>
                      <w:szCs w:val="21"/>
                      <w:highlight w:val="none"/>
                    </w:rPr>
                    <w:t>危险废物代码</w:t>
                  </w:r>
                </w:p>
              </w:tc>
              <w:tc>
                <w:tcPr>
                  <w:tcW w:w="1199" w:type="dxa"/>
                  <w:vAlign w:val="center"/>
                </w:tcPr>
                <w:p w14:paraId="239879FB">
                  <w:pPr>
                    <w:adjustRightInd w:val="0"/>
                    <w:snapToGrid w:val="0"/>
                    <w:jc w:val="center"/>
                    <w:rPr>
                      <w:color w:val="auto"/>
                      <w:szCs w:val="21"/>
                      <w:highlight w:val="none"/>
                    </w:rPr>
                  </w:pPr>
                  <w:r>
                    <w:rPr>
                      <w:rFonts w:hint="eastAsia"/>
                      <w:color w:val="auto"/>
                      <w:szCs w:val="21"/>
                      <w:highlight w:val="none"/>
                    </w:rPr>
                    <w:t>位置</w:t>
                  </w:r>
                </w:p>
              </w:tc>
              <w:tc>
                <w:tcPr>
                  <w:tcW w:w="669" w:type="dxa"/>
                  <w:vAlign w:val="center"/>
                </w:tcPr>
                <w:p w14:paraId="289B4464">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剩余贮存空间</w:t>
                  </w:r>
                </w:p>
              </w:tc>
              <w:tc>
                <w:tcPr>
                  <w:tcW w:w="1042" w:type="dxa"/>
                  <w:vAlign w:val="center"/>
                </w:tcPr>
                <w:p w14:paraId="452E6A9F">
                  <w:pPr>
                    <w:adjustRightInd w:val="0"/>
                    <w:snapToGrid w:val="0"/>
                    <w:jc w:val="center"/>
                    <w:rPr>
                      <w:color w:val="auto"/>
                      <w:szCs w:val="21"/>
                      <w:highlight w:val="none"/>
                    </w:rPr>
                  </w:pPr>
                  <w:r>
                    <w:rPr>
                      <w:rFonts w:hint="eastAsia"/>
                      <w:color w:val="auto"/>
                      <w:szCs w:val="21"/>
                      <w:highlight w:val="none"/>
                    </w:rPr>
                    <w:t>贮存方式</w:t>
                  </w:r>
                </w:p>
              </w:tc>
              <w:tc>
                <w:tcPr>
                  <w:tcW w:w="509" w:type="dxa"/>
                  <w:vAlign w:val="center"/>
                </w:tcPr>
                <w:p w14:paraId="56874D29">
                  <w:pPr>
                    <w:adjustRightInd w:val="0"/>
                    <w:snapToGrid w:val="0"/>
                    <w:jc w:val="center"/>
                    <w:rPr>
                      <w:color w:val="auto"/>
                      <w:szCs w:val="21"/>
                      <w:highlight w:val="none"/>
                    </w:rPr>
                  </w:pPr>
                  <w:r>
                    <w:rPr>
                      <w:rFonts w:hint="eastAsia"/>
                      <w:color w:val="auto"/>
                      <w:szCs w:val="21"/>
                      <w:highlight w:val="none"/>
                    </w:rPr>
                    <w:t>贮存能力</w:t>
                  </w:r>
                </w:p>
              </w:tc>
              <w:tc>
                <w:tcPr>
                  <w:tcW w:w="906" w:type="dxa"/>
                  <w:vAlign w:val="center"/>
                </w:tcPr>
                <w:p w14:paraId="29087EFA">
                  <w:pPr>
                    <w:adjustRightInd w:val="0"/>
                    <w:snapToGrid w:val="0"/>
                    <w:jc w:val="center"/>
                    <w:rPr>
                      <w:color w:val="auto"/>
                      <w:szCs w:val="21"/>
                      <w:highlight w:val="none"/>
                    </w:rPr>
                  </w:pPr>
                  <w:r>
                    <w:rPr>
                      <w:rFonts w:hint="eastAsia"/>
                      <w:color w:val="auto"/>
                      <w:szCs w:val="21"/>
                      <w:highlight w:val="none"/>
                    </w:rPr>
                    <w:t>贮存周期</w:t>
                  </w:r>
                </w:p>
              </w:tc>
            </w:tr>
            <w:tr w14:paraId="28D07B55">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69" w:hRule="atLeast"/>
                <w:jc w:val="center"/>
              </w:trPr>
              <w:tc>
                <w:tcPr>
                  <w:tcW w:w="737" w:type="dxa"/>
                  <w:vMerge w:val="restart"/>
                  <w:vAlign w:val="center"/>
                </w:tcPr>
                <w:p w14:paraId="184ABB42">
                  <w:pPr>
                    <w:jc w:val="center"/>
                    <w:rPr>
                      <w:bCs/>
                      <w:color w:val="auto"/>
                      <w:szCs w:val="21"/>
                      <w:highlight w:val="none"/>
                    </w:rPr>
                  </w:pPr>
                  <w:r>
                    <w:rPr>
                      <w:color w:val="auto"/>
                      <w:szCs w:val="21"/>
                      <w:highlight w:val="none"/>
                    </w:rPr>
                    <w:t>危废暂存区</w:t>
                  </w:r>
                </w:p>
              </w:tc>
              <w:tc>
                <w:tcPr>
                  <w:tcW w:w="1361" w:type="dxa"/>
                  <w:vAlign w:val="center"/>
                </w:tcPr>
                <w:p w14:paraId="2FCF64A4">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槽渣</w:t>
                  </w:r>
                </w:p>
              </w:tc>
              <w:tc>
                <w:tcPr>
                  <w:tcW w:w="736" w:type="dxa"/>
                  <w:vAlign w:val="center"/>
                </w:tcPr>
                <w:p w14:paraId="4A44FDBC">
                  <w:pPr>
                    <w:widowControl/>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HW</w:t>
                  </w:r>
                  <w:r>
                    <w:rPr>
                      <w:rFonts w:hint="eastAsia"/>
                      <w:color w:val="auto"/>
                      <w:szCs w:val="21"/>
                      <w:highlight w:val="none"/>
                      <w:lang w:val="en-US" w:eastAsia="zh-CN"/>
                    </w:rPr>
                    <w:t>17</w:t>
                  </w:r>
                </w:p>
              </w:tc>
              <w:tc>
                <w:tcPr>
                  <w:tcW w:w="1076" w:type="dxa"/>
                  <w:vAlign w:val="center"/>
                </w:tcPr>
                <w:p w14:paraId="35983FAE">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lang w:val="en-US" w:eastAsia="zh-CN"/>
                    </w:rPr>
                    <w:t>336-064-17</w:t>
                  </w:r>
                </w:p>
              </w:tc>
              <w:tc>
                <w:tcPr>
                  <w:tcW w:w="1199" w:type="dxa"/>
                  <w:vMerge w:val="restart"/>
                  <w:vAlign w:val="center"/>
                </w:tcPr>
                <w:p w14:paraId="1F3F7A0C">
                  <w:pPr>
                    <w:adjustRightInd w:val="0"/>
                    <w:snapToGrid w:val="0"/>
                    <w:jc w:val="center"/>
                    <w:rPr>
                      <w:color w:val="auto"/>
                      <w:szCs w:val="21"/>
                      <w:highlight w:val="none"/>
                    </w:rPr>
                  </w:pPr>
                  <w:r>
                    <w:rPr>
                      <w:rFonts w:hint="eastAsia"/>
                      <w:color w:val="auto"/>
                      <w:szCs w:val="21"/>
                      <w:highlight w:val="none"/>
                      <w:lang w:val="en-US" w:eastAsia="zh-CN"/>
                    </w:rPr>
                    <w:t>1#厂房东侧围墙边</w:t>
                  </w:r>
                </w:p>
              </w:tc>
              <w:tc>
                <w:tcPr>
                  <w:tcW w:w="669" w:type="dxa"/>
                  <w:vMerge w:val="restart"/>
                  <w:vAlign w:val="center"/>
                </w:tcPr>
                <w:p w14:paraId="5FF226E2">
                  <w:pPr>
                    <w:adjustRightInd w:val="0"/>
                    <w:snapToGrid w:val="0"/>
                    <w:jc w:val="center"/>
                    <w:rPr>
                      <w:color w:val="auto"/>
                      <w:szCs w:val="21"/>
                      <w:highlight w:val="none"/>
                    </w:rPr>
                  </w:pPr>
                  <w:r>
                    <w:rPr>
                      <w:rFonts w:hint="eastAsia"/>
                      <w:color w:val="auto"/>
                      <w:szCs w:val="21"/>
                      <w:highlight w:val="none"/>
                      <w:lang w:val="en-US" w:eastAsia="zh-CN"/>
                    </w:rPr>
                    <w:t>50</w:t>
                  </w:r>
                  <w:r>
                    <w:rPr>
                      <w:rFonts w:hint="eastAsia"/>
                      <w:color w:val="auto"/>
                      <w:szCs w:val="21"/>
                      <w:highlight w:val="none"/>
                    </w:rPr>
                    <w:t>m</w:t>
                  </w:r>
                  <w:r>
                    <w:rPr>
                      <w:rFonts w:hint="eastAsia"/>
                      <w:color w:val="auto"/>
                      <w:szCs w:val="21"/>
                      <w:highlight w:val="none"/>
                      <w:vertAlign w:val="superscript"/>
                    </w:rPr>
                    <w:t>2</w:t>
                  </w:r>
                </w:p>
              </w:tc>
              <w:tc>
                <w:tcPr>
                  <w:tcW w:w="1042" w:type="dxa"/>
                  <w:vAlign w:val="center"/>
                </w:tcPr>
                <w:p w14:paraId="65B7A17B">
                  <w:pPr>
                    <w:adjustRightInd w:val="0"/>
                    <w:snapToGrid w:val="0"/>
                    <w:jc w:val="center"/>
                    <w:rPr>
                      <w:color w:val="auto"/>
                      <w:szCs w:val="21"/>
                      <w:highlight w:val="none"/>
                    </w:rPr>
                  </w:pPr>
                  <w:r>
                    <w:rPr>
                      <w:rFonts w:hint="eastAsia"/>
                      <w:color w:val="auto"/>
                      <w:szCs w:val="21"/>
                      <w:highlight w:val="none"/>
                    </w:rPr>
                    <w:t>密闭、</w:t>
                  </w:r>
                  <w:r>
                    <w:rPr>
                      <w:rFonts w:hint="eastAsia"/>
                      <w:color w:val="auto"/>
                      <w:szCs w:val="21"/>
                      <w:highlight w:val="none"/>
                      <w:lang w:val="en-US" w:eastAsia="zh-CN"/>
                    </w:rPr>
                    <w:t>桶</w:t>
                  </w:r>
                  <w:r>
                    <w:rPr>
                      <w:rFonts w:hint="eastAsia"/>
                      <w:color w:val="auto"/>
                      <w:szCs w:val="21"/>
                      <w:highlight w:val="none"/>
                    </w:rPr>
                    <w:t>装</w:t>
                  </w:r>
                </w:p>
              </w:tc>
              <w:tc>
                <w:tcPr>
                  <w:tcW w:w="509" w:type="dxa"/>
                  <w:vMerge w:val="restart"/>
                  <w:vAlign w:val="center"/>
                </w:tcPr>
                <w:p w14:paraId="015D2635">
                  <w:pPr>
                    <w:widowControl/>
                    <w:adjustRightInd w:val="0"/>
                    <w:snapToGrid w:val="0"/>
                    <w:jc w:val="center"/>
                    <w:textAlignment w:val="center"/>
                    <w:rPr>
                      <w:color w:val="auto"/>
                      <w:szCs w:val="21"/>
                      <w:highlight w:val="none"/>
                    </w:rPr>
                  </w:pPr>
                  <w:r>
                    <w:rPr>
                      <w:rFonts w:hint="eastAsia"/>
                      <w:color w:val="auto"/>
                      <w:szCs w:val="21"/>
                      <w:highlight w:val="none"/>
                      <w:lang w:val="en-US" w:eastAsia="zh-CN"/>
                    </w:rPr>
                    <w:t>50</w:t>
                  </w:r>
                  <w:r>
                    <w:rPr>
                      <w:rFonts w:hint="eastAsia"/>
                      <w:color w:val="auto"/>
                      <w:szCs w:val="21"/>
                      <w:highlight w:val="none"/>
                    </w:rPr>
                    <w:t>t</w:t>
                  </w:r>
                </w:p>
              </w:tc>
              <w:tc>
                <w:tcPr>
                  <w:tcW w:w="906" w:type="dxa"/>
                  <w:vAlign w:val="center"/>
                </w:tcPr>
                <w:p w14:paraId="6F894CF7">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2个月</w:t>
                  </w:r>
                </w:p>
              </w:tc>
            </w:tr>
            <w:tr w14:paraId="3E6BB4E1">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69" w:hRule="atLeast"/>
                <w:jc w:val="center"/>
              </w:trPr>
              <w:tc>
                <w:tcPr>
                  <w:tcW w:w="737" w:type="dxa"/>
                  <w:vMerge w:val="continue"/>
                  <w:vAlign w:val="center"/>
                </w:tcPr>
                <w:p w14:paraId="0F506B48">
                  <w:pPr>
                    <w:jc w:val="center"/>
                    <w:rPr>
                      <w:color w:val="auto"/>
                      <w:szCs w:val="21"/>
                      <w:highlight w:val="none"/>
                    </w:rPr>
                  </w:pPr>
                </w:p>
              </w:tc>
              <w:tc>
                <w:tcPr>
                  <w:tcW w:w="1361" w:type="dxa"/>
                  <w:vAlign w:val="center"/>
                </w:tcPr>
                <w:p w14:paraId="46BF13CC">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废布袋</w:t>
                  </w:r>
                </w:p>
              </w:tc>
              <w:tc>
                <w:tcPr>
                  <w:tcW w:w="736" w:type="dxa"/>
                  <w:vAlign w:val="center"/>
                </w:tcPr>
                <w:p w14:paraId="58E81CC5">
                  <w:pPr>
                    <w:widowControl/>
                    <w:spacing w:beforeLines="0" w:afterLines="0"/>
                    <w:jc w:val="center"/>
                    <w:rPr>
                      <w:color w:val="auto"/>
                      <w:szCs w:val="21"/>
                      <w:highlight w:val="none"/>
                    </w:rPr>
                  </w:pPr>
                  <w:r>
                    <w:rPr>
                      <w:rFonts w:hint="eastAsia" w:eastAsia="宋体"/>
                      <w:color w:val="auto"/>
                      <w:sz w:val="21"/>
                      <w:szCs w:val="21"/>
                    </w:rPr>
                    <w:t>HW49</w:t>
                  </w:r>
                </w:p>
              </w:tc>
              <w:tc>
                <w:tcPr>
                  <w:tcW w:w="1076" w:type="dxa"/>
                  <w:vAlign w:val="center"/>
                </w:tcPr>
                <w:p w14:paraId="4C3389D4">
                  <w:pPr>
                    <w:widowControl/>
                    <w:spacing w:beforeLines="0" w:afterLines="0"/>
                    <w:jc w:val="center"/>
                    <w:rPr>
                      <w:rFonts w:hint="eastAsia"/>
                      <w:color w:val="auto"/>
                      <w:szCs w:val="21"/>
                      <w:lang w:val="en-US" w:eastAsia="zh-CN"/>
                    </w:rPr>
                  </w:pPr>
                  <w:r>
                    <w:rPr>
                      <w:rFonts w:hint="eastAsia" w:eastAsia="宋体"/>
                      <w:color w:val="auto"/>
                      <w:sz w:val="21"/>
                      <w:szCs w:val="21"/>
                    </w:rPr>
                    <w:t>900-041-49</w:t>
                  </w:r>
                </w:p>
              </w:tc>
              <w:tc>
                <w:tcPr>
                  <w:tcW w:w="1199" w:type="dxa"/>
                  <w:vMerge w:val="continue"/>
                  <w:vAlign w:val="center"/>
                </w:tcPr>
                <w:p w14:paraId="1C7D92F6">
                  <w:pPr>
                    <w:adjustRightInd w:val="0"/>
                    <w:snapToGrid w:val="0"/>
                    <w:jc w:val="center"/>
                    <w:rPr>
                      <w:rFonts w:hint="eastAsia"/>
                      <w:bCs/>
                      <w:color w:val="auto"/>
                      <w:szCs w:val="21"/>
                      <w:highlight w:val="none"/>
                    </w:rPr>
                  </w:pPr>
                </w:p>
              </w:tc>
              <w:tc>
                <w:tcPr>
                  <w:tcW w:w="669" w:type="dxa"/>
                  <w:vMerge w:val="continue"/>
                  <w:vAlign w:val="center"/>
                </w:tcPr>
                <w:p w14:paraId="36D74F0B">
                  <w:pPr>
                    <w:adjustRightInd w:val="0"/>
                    <w:snapToGrid w:val="0"/>
                    <w:jc w:val="center"/>
                    <w:rPr>
                      <w:rFonts w:hint="eastAsia"/>
                      <w:color w:val="auto"/>
                      <w:szCs w:val="21"/>
                      <w:highlight w:val="none"/>
                      <w:lang w:val="en-US" w:eastAsia="zh-CN"/>
                    </w:rPr>
                  </w:pPr>
                </w:p>
              </w:tc>
              <w:tc>
                <w:tcPr>
                  <w:tcW w:w="1042" w:type="dxa"/>
                  <w:vAlign w:val="center"/>
                </w:tcPr>
                <w:p w14:paraId="11B32B80">
                  <w:pPr>
                    <w:adjustRightInd w:val="0"/>
                    <w:snapToGrid w:val="0"/>
                    <w:jc w:val="center"/>
                    <w:rPr>
                      <w:rFonts w:hint="eastAsia"/>
                      <w:color w:val="auto"/>
                      <w:szCs w:val="21"/>
                      <w:highlight w:val="none"/>
                    </w:rPr>
                  </w:pPr>
                  <w:r>
                    <w:rPr>
                      <w:rFonts w:hint="eastAsia"/>
                      <w:color w:val="auto"/>
                      <w:szCs w:val="21"/>
                      <w:highlight w:val="none"/>
                    </w:rPr>
                    <w:t>密闭、</w:t>
                  </w:r>
                  <w:r>
                    <w:rPr>
                      <w:rFonts w:hint="eastAsia"/>
                      <w:color w:val="auto"/>
                      <w:szCs w:val="21"/>
                      <w:highlight w:val="none"/>
                      <w:lang w:val="en-US" w:eastAsia="zh-CN"/>
                    </w:rPr>
                    <w:t>袋</w:t>
                  </w:r>
                  <w:r>
                    <w:rPr>
                      <w:rFonts w:hint="eastAsia"/>
                      <w:color w:val="auto"/>
                      <w:szCs w:val="21"/>
                      <w:highlight w:val="none"/>
                    </w:rPr>
                    <w:t>装</w:t>
                  </w:r>
                </w:p>
              </w:tc>
              <w:tc>
                <w:tcPr>
                  <w:tcW w:w="509" w:type="dxa"/>
                  <w:vMerge w:val="continue"/>
                  <w:vAlign w:val="center"/>
                </w:tcPr>
                <w:p w14:paraId="5A9D9112">
                  <w:pPr>
                    <w:widowControl/>
                    <w:adjustRightInd w:val="0"/>
                    <w:snapToGrid w:val="0"/>
                    <w:jc w:val="center"/>
                    <w:textAlignment w:val="center"/>
                    <w:rPr>
                      <w:rFonts w:hint="eastAsia"/>
                      <w:color w:val="auto"/>
                      <w:szCs w:val="21"/>
                      <w:highlight w:val="none"/>
                      <w:lang w:val="en-US" w:eastAsia="zh-CN"/>
                    </w:rPr>
                  </w:pPr>
                </w:p>
              </w:tc>
              <w:tc>
                <w:tcPr>
                  <w:tcW w:w="906" w:type="dxa"/>
                  <w:vAlign w:val="center"/>
                </w:tcPr>
                <w:p w14:paraId="616ACD28">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2个月</w:t>
                  </w:r>
                </w:p>
              </w:tc>
            </w:tr>
            <w:tr w14:paraId="61D60B9A">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69" w:hRule="atLeast"/>
                <w:jc w:val="center"/>
              </w:trPr>
              <w:tc>
                <w:tcPr>
                  <w:tcW w:w="737" w:type="dxa"/>
                  <w:vMerge w:val="continue"/>
                  <w:vAlign w:val="center"/>
                </w:tcPr>
                <w:p w14:paraId="520C64AD">
                  <w:pPr>
                    <w:jc w:val="center"/>
                    <w:rPr>
                      <w:color w:val="auto"/>
                      <w:szCs w:val="21"/>
                      <w:highlight w:val="none"/>
                    </w:rPr>
                  </w:pPr>
                </w:p>
              </w:tc>
              <w:tc>
                <w:tcPr>
                  <w:tcW w:w="1361" w:type="dxa"/>
                  <w:vAlign w:val="center"/>
                </w:tcPr>
                <w:p w14:paraId="7A0CF65A">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废活性炭</w:t>
                  </w:r>
                </w:p>
              </w:tc>
              <w:tc>
                <w:tcPr>
                  <w:tcW w:w="736" w:type="dxa"/>
                  <w:vAlign w:val="center"/>
                </w:tcPr>
                <w:p w14:paraId="43788148">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HW49</w:t>
                  </w:r>
                </w:p>
              </w:tc>
              <w:tc>
                <w:tcPr>
                  <w:tcW w:w="1076" w:type="dxa"/>
                  <w:vAlign w:val="center"/>
                </w:tcPr>
                <w:p w14:paraId="22F4B61B">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900-039-49</w:t>
                  </w:r>
                </w:p>
              </w:tc>
              <w:tc>
                <w:tcPr>
                  <w:tcW w:w="1199" w:type="dxa"/>
                  <w:vMerge w:val="continue"/>
                  <w:vAlign w:val="center"/>
                </w:tcPr>
                <w:p w14:paraId="547CEAE0">
                  <w:pPr>
                    <w:adjustRightInd w:val="0"/>
                    <w:snapToGrid w:val="0"/>
                    <w:jc w:val="center"/>
                    <w:rPr>
                      <w:bCs/>
                      <w:color w:val="auto"/>
                      <w:szCs w:val="21"/>
                      <w:highlight w:val="none"/>
                    </w:rPr>
                  </w:pPr>
                </w:p>
              </w:tc>
              <w:tc>
                <w:tcPr>
                  <w:tcW w:w="669" w:type="dxa"/>
                  <w:vMerge w:val="continue"/>
                  <w:vAlign w:val="center"/>
                </w:tcPr>
                <w:p w14:paraId="3593FCD6">
                  <w:pPr>
                    <w:adjustRightInd w:val="0"/>
                    <w:snapToGrid w:val="0"/>
                    <w:jc w:val="center"/>
                    <w:rPr>
                      <w:color w:val="auto"/>
                      <w:szCs w:val="21"/>
                      <w:highlight w:val="none"/>
                    </w:rPr>
                  </w:pPr>
                </w:p>
              </w:tc>
              <w:tc>
                <w:tcPr>
                  <w:tcW w:w="1042" w:type="dxa"/>
                  <w:vAlign w:val="center"/>
                </w:tcPr>
                <w:p w14:paraId="42A4D470">
                  <w:pPr>
                    <w:adjustRightInd w:val="0"/>
                    <w:snapToGrid w:val="0"/>
                    <w:jc w:val="center"/>
                    <w:rPr>
                      <w:color w:val="auto"/>
                      <w:szCs w:val="21"/>
                      <w:highlight w:val="none"/>
                    </w:rPr>
                  </w:pPr>
                  <w:r>
                    <w:rPr>
                      <w:rFonts w:hint="eastAsia"/>
                      <w:color w:val="auto"/>
                      <w:szCs w:val="21"/>
                      <w:highlight w:val="none"/>
                    </w:rPr>
                    <w:t>密闭、</w:t>
                  </w:r>
                  <w:r>
                    <w:rPr>
                      <w:rFonts w:hint="eastAsia"/>
                      <w:color w:val="auto"/>
                      <w:szCs w:val="21"/>
                      <w:highlight w:val="none"/>
                      <w:lang w:val="en-US" w:eastAsia="zh-CN"/>
                    </w:rPr>
                    <w:t>袋</w:t>
                  </w:r>
                  <w:r>
                    <w:rPr>
                      <w:rFonts w:hint="eastAsia"/>
                      <w:color w:val="auto"/>
                      <w:szCs w:val="21"/>
                      <w:highlight w:val="none"/>
                    </w:rPr>
                    <w:t>装</w:t>
                  </w:r>
                </w:p>
              </w:tc>
              <w:tc>
                <w:tcPr>
                  <w:tcW w:w="509" w:type="dxa"/>
                  <w:vMerge w:val="continue"/>
                  <w:vAlign w:val="center"/>
                </w:tcPr>
                <w:p w14:paraId="4C41DE91">
                  <w:pPr>
                    <w:widowControl/>
                    <w:adjustRightInd w:val="0"/>
                    <w:snapToGrid w:val="0"/>
                    <w:jc w:val="center"/>
                    <w:textAlignment w:val="center"/>
                    <w:rPr>
                      <w:color w:val="auto"/>
                      <w:szCs w:val="21"/>
                      <w:highlight w:val="none"/>
                    </w:rPr>
                  </w:pPr>
                </w:p>
              </w:tc>
              <w:tc>
                <w:tcPr>
                  <w:tcW w:w="906" w:type="dxa"/>
                  <w:vAlign w:val="center"/>
                </w:tcPr>
                <w:p w14:paraId="120F3673">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2个月</w:t>
                  </w:r>
                </w:p>
              </w:tc>
            </w:tr>
            <w:tr w14:paraId="1C03B49C">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69" w:hRule="atLeast"/>
                <w:jc w:val="center"/>
              </w:trPr>
              <w:tc>
                <w:tcPr>
                  <w:tcW w:w="737" w:type="dxa"/>
                  <w:vMerge w:val="continue"/>
                  <w:vAlign w:val="center"/>
                </w:tcPr>
                <w:p w14:paraId="7D6D93DB">
                  <w:pPr>
                    <w:jc w:val="center"/>
                    <w:rPr>
                      <w:color w:val="auto"/>
                      <w:szCs w:val="21"/>
                      <w:highlight w:val="none"/>
                    </w:rPr>
                  </w:pPr>
                </w:p>
              </w:tc>
              <w:tc>
                <w:tcPr>
                  <w:tcW w:w="1361" w:type="dxa"/>
                  <w:vAlign w:val="center"/>
                </w:tcPr>
                <w:p w14:paraId="6BFE76CC">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污泥</w:t>
                  </w:r>
                </w:p>
              </w:tc>
              <w:tc>
                <w:tcPr>
                  <w:tcW w:w="736" w:type="dxa"/>
                  <w:vAlign w:val="center"/>
                </w:tcPr>
                <w:p w14:paraId="4C07D40F">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HW</w:t>
                  </w:r>
                  <w:r>
                    <w:rPr>
                      <w:rFonts w:hint="eastAsia"/>
                      <w:color w:val="auto"/>
                      <w:szCs w:val="21"/>
                      <w:highlight w:val="none"/>
                      <w:lang w:val="en-US" w:eastAsia="zh-CN"/>
                    </w:rPr>
                    <w:t>17</w:t>
                  </w:r>
                </w:p>
              </w:tc>
              <w:tc>
                <w:tcPr>
                  <w:tcW w:w="1076" w:type="dxa"/>
                  <w:vAlign w:val="center"/>
                </w:tcPr>
                <w:p w14:paraId="1A6F9561">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336-064-17</w:t>
                  </w:r>
                </w:p>
              </w:tc>
              <w:tc>
                <w:tcPr>
                  <w:tcW w:w="1199" w:type="dxa"/>
                  <w:vMerge w:val="continue"/>
                  <w:vAlign w:val="center"/>
                </w:tcPr>
                <w:p w14:paraId="6737EE2F">
                  <w:pPr>
                    <w:adjustRightInd w:val="0"/>
                    <w:snapToGrid w:val="0"/>
                    <w:jc w:val="center"/>
                    <w:rPr>
                      <w:bCs/>
                      <w:color w:val="auto"/>
                      <w:szCs w:val="21"/>
                      <w:highlight w:val="none"/>
                    </w:rPr>
                  </w:pPr>
                </w:p>
              </w:tc>
              <w:tc>
                <w:tcPr>
                  <w:tcW w:w="669" w:type="dxa"/>
                  <w:vMerge w:val="continue"/>
                  <w:vAlign w:val="center"/>
                </w:tcPr>
                <w:p w14:paraId="3F67E692">
                  <w:pPr>
                    <w:adjustRightInd w:val="0"/>
                    <w:snapToGrid w:val="0"/>
                    <w:jc w:val="center"/>
                    <w:rPr>
                      <w:color w:val="auto"/>
                      <w:szCs w:val="21"/>
                      <w:highlight w:val="none"/>
                    </w:rPr>
                  </w:pPr>
                </w:p>
              </w:tc>
              <w:tc>
                <w:tcPr>
                  <w:tcW w:w="1042" w:type="dxa"/>
                  <w:vAlign w:val="center"/>
                </w:tcPr>
                <w:p w14:paraId="5645DD5D">
                  <w:pPr>
                    <w:adjustRightInd w:val="0"/>
                    <w:snapToGrid w:val="0"/>
                    <w:jc w:val="center"/>
                    <w:rPr>
                      <w:rFonts w:hint="eastAsia"/>
                      <w:color w:val="auto"/>
                      <w:szCs w:val="21"/>
                      <w:highlight w:val="none"/>
                    </w:rPr>
                  </w:pPr>
                  <w:r>
                    <w:rPr>
                      <w:rFonts w:hint="eastAsia"/>
                      <w:color w:val="auto"/>
                      <w:szCs w:val="21"/>
                      <w:highlight w:val="none"/>
                    </w:rPr>
                    <w:t>密闭、</w:t>
                  </w:r>
                  <w:r>
                    <w:rPr>
                      <w:rFonts w:hint="eastAsia"/>
                      <w:color w:val="auto"/>
                      <w:szCs w:val="21"/>
                      <w:highlight w:val="none"/>
                      <w:lang w:val="en-US" w:eastAsia="zh-CN"/>
                    </w:rPr>
                    <w:t>桶</w:t>
                  </w:r>
                  <w:r>
                    <w:rPr>
                      <w:rFonts w:hint="eastAsia"/>
                      <w:color w:val="auto"/>
                      <w:szCs w:val="21"/>
                      <w:highlight w:val="none"/>
                    </w:rPr>
                    <w:t>装</w:t>
                  </w:r>
                </w:p>
              </w:tc>
              <w:tc>
                <w:tcPr>
                  <w:tcW w:w="509" w:type="dxa"/>
                  <w:vMerge w:val="continue"/>
                  <w:vAlign w:val="center"/>
                </w:tcPr>
                <w:p w14:paraId="0C8034AA">
                  <w:pPr>
                    <w:widowControl/>
                    <w:adjustRightInd w:val="0"/>
                    <w:snapToGrid w:val="0"/>
                    <w:jc w:val="center"/>
                    <w:textAlignment w:val="center"/>
                    <w:rPr>
                      <w:color w:val="auto"/>
                      <w:szCs w:val="21"/>
                      <w:highlight w:val="none"/>
                    </w:rPr>
                  </w:pPr>
                </w:p>
              </w:tc>
              <w:tc>
                <w:tcPr>
                  <w:tcW w:w="906" w:type="dxa"/>
                  <w:vAlign w:val="center"/>
                </w:tcPr>
                <w:p w14:paraId="6CBD7AC9">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2个月</w:t>
                  </w:r>
                </w:p>
              </w:tc>
            </w:tr>
            <w:tr w14:paraId="19869C4C">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69" w:hRule="atLeast"/>
                <w:jc w:val="center"/>
              </w:trPr>
              <w:tc>
                <w:tcPr>
                  <w:tcW w:w="737" w:type="dxa"/>
                  <w:vMerge w:val="continue"/>
                  <w:vAlign w:val="center"/>
                </w:tcPr>
                <w:p w14:paraId="0DAC8005">
                  <w:pPr>
                    <w:jc w:val="center"/>
                    <w:rPr>
                      <w:color w:val="auto"/>
                      <w:szCs w:val="21"/>
                      <w:highlight w:val="none"/>
                    </w:rPr>
                  </w:pPr>
                </w:p>
              </w:tc>
              <w:tc>
                <w:tcPr>
                  <w:tcW w:w="1361" w:type="dxa"/>
                  <w:vAlign w:val="center"/>
                </w:tcPr>
                <w:p w14:paraId="65E092D9">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废油</w:t>
                  </w:r>
                </w:p>
              </w:tc>
              <w:tc>
                <w:tcPr>
                  <w:tcW w:w="736" w:type="dxa"/>
                  <w:vAlign w:val="center"/>
                </w:tcPr>
                <w:p w14:paraId="4D9BA0EB">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HW</w:t>
                  </w:r>
                  <w:r>
                    <w:rPr>
                      <w:rFonts w:hint="eastAsia"/>
                      <w:color w:val="auto"/>
                      <w:szCs w:val="21"/>
                      <w:highlight w:val="none"/>
                      <w:lang w:val="en-US" w:eastAsia="zh-CN"/>
                    </w:rPr>
                    <w:t>08</w:t>
                  </w:r>
                </w:p>
              </w:tc>
              <w:tc>
                <w:tcPr>
                  <w:tcW w:w="1076" w:type="dxa"/>
                  <w:vAlign w:val="center"/>
                </w:tcPr>
                <w:p w14:paraId="42974B24">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900-210-08</w:t>
                  </w:r>
                </w:p>
              </w:tc>
              <w:tc>
                <w:tcPr>
                  <w:tcW w:w="1199" w:type="dxa"/>
                  <w:vMerge w:val="continue"/>
                  <w:vAlign w:val="center"/>
                </w:tcPr>
                <w:p w14:paraId="21CF3BD8">
                  <w:pPr>
                    <w:adjustRightInd w:val="0"/>
                    <w:snapToGrid w:val="0"/>
                    <w:jc w:val="center"/>
                    <w:rPr>
                      <w:bCs/>
                      <w:color w:val="auto"/>
                      <w:szCs w:val="21"/>
                      <w:highlight w:val="none"/>
                    </w:rPr>
                  </w:pPr>
                </w:p>
              </w:tc>
              <w:tc>
                <w:tcPr>
                  <w:tcW w:w="669" w:type="dxa"/>
                  <w:vMerge w:val="continue"/>
                  <w:vAlign w:val="center"/>
                </w:tcPr>
                <w:p w14:paraId="627D1494">
                  <w:pPr>
                    <w:adjustRightInd w:val="0"/>
                    <w:snapToGrid w:val="0"/>
                    <w:jc w:val="center"/>
                    <w:rPr>
                      <w:color w:val="auto"/>
                      <w:szCs w:val="21"/>
                      <w:highlight w:val="none"/>
                    </w:rPr>
                  </w:pPr>
                </w:p>
              </w:tc>
              <w:tc>
                <w:tcPr>
                  <w:tcW w:w="1042" w:type="dxa"/>
                  <w:vAlign w:val="center"/>
                </w:tcPr>
                <w:p w14:paraId="5F342D83">
                  <w:pPr>
                    <w:adjustRightInd w:val="0"/>
                    <w:snapToGrid w:val="0"/>
                    <w:jc w:val="center"/>
                    <w:rPr>
                      <w:rFonts w:hint="eastAsia"/>
                      <w:color w:val="auto"/>
                      <w:szCs w:val="21"/>
                      <w:highlight w:val="none"/>
                    </w:rPr>
                  </w:pPr>
                  <w:r>
                    <w:rPr>
                      <w:rFonts w:hint="eastAsia"/>
                      <w:color w:val="auto"/>
                      <w:szCs w:val="21"/>
                      <w:highlight w:val="none"/>
                    </w:rPr>
                    <w:t>密闭、</w:t>
                  </w:r>
                  <w:r>
                    <w:rPr>
                      <w:rFonts w:hint="eastAsia"/>
                      <w:color w:val="auto"/>
                      <w:szCs w:val="21"/>
                      <w:highlight w:val="none"/>
                      <w:lang w:val="en-US" w:eastAsia="zh-CN"/>
                    </w:rPr>
                    <w:t>桶</w:t>
                  </w:r>
                  <w:r>
                    <w:rPr>
                      <w:rFonts w:hint="eastAsia"/>
                      <w:color w:val="auto"/>
                      <w:szCs w:val="21"/>
                      <w:highlight w:val="none"/>
                    </w:rPr>
                    <w:t>装</w:t>
                  </w:r>
                </w:p>
              </w:tc>
              <w:tc>
                <w:tcPr>
                  <w:tcW w:w="509" w:type="dxa"/>
                  <w:vMerge w:val="continue"/>
                  <w:vAlign w:val="center"/>
                </w:tcPr>
                <w:p w14:paraId="7198F419">
                  <w:pPr>
                    <w:widowControl/>
                    <w:adjustRightInd w:val="0"/>
                    <w:snapToGrid w:val="0"/>
                    <w:jc w:val="center"/>
                    <w:textAlignment w:val="center"/>
                    <w:rPr>
                      <w:color w:val="auto"/>
                      <w:szCs w:val="21"/>
                      <w:highlight w:val="none"/>
                    </w:rPr>
                  </w:pPr>
                </w:p>
              </w:tc>
              <w:tc>
                <w:tcPr>
                  <w:tcW w:w="906" w:type="dxa"/>
                  <w:vAlign w:val="center"/>
                </w:tcPr>
                <w:p w14:paraId="13FFF2B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2个月</w:t>
                  </w:r>
                </w:p>
              </w:tc>
            </w:tr>
            <w:tr w14:paraId="0C7014CB">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69" w:hRule="atLeast"/>
                <w:jc w:val="center"/>
              </w:trPr>
              <w:tc>
                <w:tcPr>
                  <w:tcW w:w="8235" w:type="dxa"/>
                  <w:gridSpan w:val="9"/>
                  <w:vAlign w:val="center"/>
                </w:tcPr>
                <w:p w14:paraId="21DF2BB5">
                  <w:pPr>
                    <w:adjustRightInd w:val="0"/>
                    <w:snapToGrid w:val="0"/>
                    <w:jc w:val="left"/>
                    <w:rPr>
                      <w:rFonts w:hint="default"/>
                      <w:color w:val="auto"/>
                      <w:szCs w:val="21"/>
                      <w:highlight w:val="none"/>
                      <w:lang w:val="en-US" w:eastAsia="zh-CN"/>
                    </w:rPr>
                  </w:pPr>
                  <w:r>
                    <w:rPr>
                      <w:rFonts w:hint="eastAsia"/>
                      <w:color w:val="auto"/>
                      <w:szCs w:val="21"/>
                      <w:highlight w:val="none"/>
                      <w:lang w:val="en-US" w:eastAsia="zh-CN"/>
                    </w:rPr>
                    <w:t>注：企业委托有资质单位每2个月处理厂区危险废物，则项目危险废物最大储存周期为2个月。</w:t>
                  </w:r>
                </w:p>
              </w:tc>
            </w:tr>
          </w:tbl>
          <w:p w14:paraId="145060BA">
            <w:pPr>
              <w:spacing w:line="360" w:lineRule="auto"/>
              <w:ind w:firstLine="420" w:firstLineChars="200"/>
              <w:rPr>
                <w:color w:val="auto"/>
                <w:szCs w:val="21"/>
                <w:highlight w:val="none"/>
              </w:rPr>
            </w:pPr>
            <w:r>
              <w:rPr>
                <w:rFonts w:hint="eastAsia"/>
                <w:color w:val="auto"/>
                <w:szCs w:val="21"/>
                <w:highlight w:val="none"/>
              </w:rPr>
              <w:t>项目危险废物分类单独存放于厂区</w:t>
            </w:r>
            <w:r>
              <w:rPr>
                <w:color w:val="auto"/>
                <w:szCs w:val="21"/>
                <w:highlight w:val="none"/>
              </w:rPr>
              <w:t>危废暂存区</w:t>
            </w:r>
            <w:r>
              <w:rPr>
                <w:rFonts w:hint="eastAsia"/>
                <w:color w:val="auto"/>
                <w:szCs w:val="21"/>
                <w:highlight w:val="none"/>
              </w:rPr>
              <w:t>内，危废库贮存可行性分析如下。</w:t>
            </w:r>
          </w:p>
          <w:p w14:paraId="14F89BAB">
            <w:pPr>
              <w:spacing w:line="360" w:lineRule="auto"/>
              <w:ind w:firstLine="420" w:firstLineChars="200"/>
              <w:rPr>
                <w:color w:val="auto"/>
                <w:szCs w:val="21"/>
                <w:highlight w:val="none"/>
              </w:rPr>
            </w:pPr>
            <w:r>
              <w:rPr>
                <w:rFonts w:hint="eastAsia" w:cs="Times New Roman"/>
                <w:color w:val="auto"/>
                <w:szCs w:val="21"/>
                <w:highlight w:val="none"/>
                <w:lang w:val="en-US" w:eastAsia="zh-CN"/>
              </w:rPr>
              <w:t>槽渣</w:t>
            </w:r>
            <w:r>
              <w:rPr>
                <w:rFonts w:hint="default" w:ascii="Times New Roman" w:hAnsi="Times New Roman" w:cs="Times New Roman"/>
                <w:color w:val="auto"/>
                <w:szCs w:val="21"/>
                <w:highlight w:val="none"/>
              </w:rPr>
              <w:t>：</w:t>
            </w:r>
            <w:r>
              <w:rPr>
                <w:rFonts w:hint="eastAsia"/>
                <w:color w:val="auto"/>
                <w:szCs w:val="21"/>
                <w:highlight w:val="none"/>
              </w:rPr>
              <w:t>年产生量</w:t>
            </w:r>
            <w:r>
              <w:rPr>
                <w:rFonts w:hint="eastAsia"/>
                <w:color w:val="auto"/>
                <w:szCs w:val="21"/>
                <w:highlight w:val="none"/>
                <w:lang w:val="en-US" w:eastAsia="zh-CN"/>
              </w:rPr>
              <w:t>0.5</w:t>
            </w:r>
            <w:r>
              <w:rPr>
                <w:rFonts w:hint="eastAsia"/>
                <w:color w:val="auto"/>
                <w:szCs w:val="21"/>
                <w:highlight w:val="none"/>
              </w:rPr>
              <w:t>t，每</w:t>
            </w:r>
            <w:r>
              <w:rPr>
                <w:rFonts w:hint="eastAsia"/>
                <w:color w:val="auto"/>
                <w:szCs w:val="21"/>
                <w:highlight w:val="none"/>
                <w:lang w:val="en-US" w:eastAsia="zh-CN"/>
              </w:rPr>
              <w:t>2个月</w:t>
            </w:r>
            <w:r>
              <w:rPr>
                <w:rFonts w:hint="eastAsia"/>
                <w:color w:val="auto"/>
                <w:szCs w:val="21"/>
                <w:highlight w:val="none"/>
              </w:rPr>
              <w:t>清理一次，</w:t>
            </w:r>
            <w:r>
              <w:rPr>
                <w:rFonts w:hint="eastAsia"/>
                <w:color w:val="auto"/>
                <w:szCs w:val="21"/>
                <w:highlight w:val="none"/>
                <w:lang w:val="en-US" w:eastAsia="zh-CN"/>
              </w:rPr>
              <w:t>最大</w:t>
            </w:r>
            <w:r>
              <w:rPr>
                <w:rFonts w:hint="eastAsia"/>
                <w:color w:val="auto"/>
                <w:szCs w:val="21"/>
                <w:highlight w:val="none"/>
              </w:rPr>
              <w:t>贮存量</w:t>
            </w:r>
            <w:r>
              <w:rPr>
                <w:rFonts w:hint="eastAsia"/>
                <w:color w:val="auto"/>
                <w:szCs w:val="21"/>
                <w:highlight w:val="none"/>
                <w:lang w:val="en-US" w:eastAsia="zh-CN"/>
              </w:rPr>
              <w:t>0.083</w:t>
            </w:r>
            <w:r>
              <w:rPr>
                <w:rFonts w:hint="eastAsia"/>
                <w:color w:val="auto"/>
                <w:szCs w:val="21"/>
                <w:highlight w:val="none"/>
              </w:rPr>
              <w:t>t。拟采用25kg</w:t>
            </w:r>
            <w:r>
              <w:rPr>
                <w:rFonts w:hint="eastAsia"/>
                <w:color w:val="auto"/>
                <w:szCs w:val="21"/>
                <w:highlight w:val="none"/>
                <w:lang w:val="en-US" w:eastAsia="zh-CN"/>
              </w:rPr>
              <w:t>塑料桶</w:t>
            </w:r>
            <w:r>
              <w:rPr>
                <w:rFonts w:hint="eastAsia"/>
                <w:color w:val="auto"/>
                <w:szCs w:val="21"/>
                <w:highlight w:val="none"/>
              </w:rPr>
              <w:t>储存，</w:t>
            </w:r>
            <w:r>
              <w:rPr>
                <w:rFonts w:hint="eastAsia"/>
                <w:color w:val="auto"/>
                <w:szCs w:val="21"/>
                <w:highlight w:val="none"/>
                <w:lang w:val="en-US" w:eastAsia="zh-CN"/>
              </w:rPr>
              <w:t>则需要4个塑料桶</w:t>
            </w:r>
            <w:r>
              <w:rPr>
                <w:rFonts w:hint="eastAsia"/>
                <w:color w:val="auto"/>
                <w:szCs w:val="21"/>
                <w:highlight w:val="none"/>
              </w:rPr>
              <w:t>，最大所需占地面积</w:t>
            </w:r>
            <w:r>
              <w:rPr>
                <w:rFonts w:hint="eastAsia"/>
                <w:color w:val="auto"/>
                <w:szCs w:val="21"/>
                <w:highlight w:val="none"/>
                <w:lang w:val="en-US" w:eastAsia="zh-CN"/>
              </w:rPr>
              <w:t>2</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p>
          <w:p w14:paraId="14780333">
            <w:pPr>
              <w:spacing w:line="360" w:lineRule="auto"/>
              <w:ind w:firstLine="420" w:firstLineChars="200"/>
              <w:rPr>
                <w:rFonts w:hint="default" w:eastAsia="宋体"/>
                <w:color w:val="auto"/>
                <w:szCs w:val="21"/>
                <w:highlight w:val="none"/>
                <w:lang w:val="en-US" w:eastAsia="zh-CN"/>
              </w:rPr>
            </w:pPr>
            <w:r>
              <w:rPr>
                <w:rFonts w:hint="eastAsia"/>
                <w:color w:val="auto"/>
                <w:szCs w:val="21"/>
                <w:highlight w:val="none"/>
                <w:lang w:val="en-US" w:eastAsia="zh-CN"/>
              </w:rPr>
              <w:t>废布袋：年产生量0.05t，每年产生一次</w:t>
            </w:r>
            <w:r>
              <w:rPr>
                <w:rFonts w:hint="eastAsia"/>
                <w:color w:val="auto"/>
                <w:szCs w:val="21"/>
                <w:highlight w:val="none"/>
              </w:rPr>
              <w:t>，</w:t>
            </w:r>
            <w:r>
              <w:rPr>
                <w:rFonts w:hint="eastAsia"/>
                <w:color w:val="auto"/>
                <w:szCs w:val="21"/>
                <w:highlight w:val="none"/>
                <w:lang w:val="en-US" w:eastAsia="zh-CN"/>
              </w:rPr>
              <w:t>最大</w:t>
            </w:r>
            <w:r>
              <w:rPr>
                <w:rFonts w:hint="eastAsia"/>
                <w:color w:val="auto"/>
                <w:szCs w:val="21"/>
                <w:highlight w:val="none"/>
              </w:rPr>
              <w:t>贮存量</w:t>
            </w:r>
            <w:r>
              <w:rPr>
                <w:rFonts w:hint="eastAsia"/>
                <w:color w:val="auto"/>
                <w:szCs w:val="21"/>
                <w:highlight w:val="none"/>
                <w:lang w:val="en-US" w:eastAsia="zh-CN"/>
              </w:rPr>
              <w:t>约0.05</w:t>
            </w:r>
            <w:r>
              <w:rPr>
                <w:rFonts w:hint="eastAsia"/>
                <w:color w:val="auto"/>
                <w:szCs w:val="21"/>
                <w:highlight w:val="none"/>
              </w:rPr>
              <w:t>t。</w:t>
            </w:r>
            <w:r>
              <w:rPr>
                <w:rFonts w:hint="eastAsia"/>
                <w:color w:val="auto"/>
                <w:szCs w:val="21"/>
                <w:highlight w:val="none"/>
                <w:lang w:val="en-US" w:eastAsia="zh-CN"/>
              </w:rPr>
              <w:t>拟采用密封袋储存</w:t>
            </w:r>
            <w:r>
              <w:rPr>
                <w:rFonts w:hint="eastAsia"/>
                <w:color w:val="auto"/>
                <w:szCs w:val="21"/>
                <w:highlight w:val="none"/>
              </w:rPr>
              <w:t>，最大所需占地面积</w:t>
            </w:r>
            <w:r>
              <w:rPr>
                <w:rFonts w:hint="eastAsia"/>
                <w:color w:val="auto"/>
                <w:szCs w:val="21"/>
                <w:highlight w:val="none"/>
                <w:lang w:val="en-US" w:eastAsia="zh-CN"/>
              </w:rPr>
              <w:t>1</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p>
          <w:p w14:paraId="521BC722">
            <w:pPr>
              <w:spacing w:line="360" w:lineRule="auto"/>
              <w:ind w:firstLine="420" w:firstLineChars="200"/>
              <w:rPr>
                <w:color w:val="auto"/>
                <w:szCs w:val="21"/>
                <w:highlight w:val="none"/>
              </w:rPr>
            </w:pPr>
            <w:r>
              <w:rPr>
                <w:rFonts w:hint="eastAsia"/>
                <w:color w:val="auto"/>
                <w:szCs w:val="21"/>
                <w:highlight w:val="none"/>
              </w:rPr>
              <w:t>废活性炭：年产生量</w:t>
            </w:r>
            <w:r>
              <w:rPr>
                <w:rFonts w:hint="eastAsia"/>
                <w:color w:val="auto"/>
                <w:szCs w:val="21"/>
                <w:highlight w:val="none"/>
                <w:lang w:val="en-US" w:eastAsia="zh-CN"/>
              </w:rPr>
              <w:t>4.2369</w:t>
            </w:r>
            <w:r>
              <w:rPr>
                <w:rFonts w:hint="eastAsia"/>
                <w:color w:val="auto"/>
                <w:szCs w:val="21"/>
                <w:highlight w:val="none"/>
              </w:rPr>
              <w:t>t，每</w:t>
            </w:r>
            <w:r>
              <w:rPr>
                <w:rFonts w:hint="eastAsia"/>
                <w:color w:val="auto"/>
                <w:szCs w:val="21"/>
                <w:highlight w:val="none"/>
                <w:lang w:val="en-US" w:eastAsia="zh-CN"/>
              </w:rPr>
              <w:t>2个月</w:t>
            </w:r>
            <w:r>
              <w:rPr>
                <w:rFonts w:hint="eastAsia"/>
                <w:color w:val="auto"/>
                <w:szCs w:val="21"/>
                <w:highlight w:val="none"/>
              </w:rPr>
              <w:t>清理一次，</w:t>
            </w:r>
            <w:r>
              <w:rPr>
                <w:rFonts w:hint="eastAsia"/>
                <w:color w:val="auto"/>
                <w:szCs w:val="21"/>
                <w:highlight w:val="none"/>
                <w:lang w:val="en-US" w:eastAsia="zh-CN"/>
              </w:rPr>
              <w:t>最大</w:t>
            </w:r>
            <w:r>
              <w:rPr>
                <w:rFonts w:hint="eastAsia"/>
                <w:color w:val="auto"/>
                <w:szCs w:val="21"/>
                <w:highlight w:val="none"/>
              </w:rPr>
              <w:t>贮存量</w:t>
            </w:r>
            <w:r>
              <w:rPr>
                <w:rFonts w:hint="eastAsia"/>
                <w:color w:val="auto"/>
                <w:szCs w:val="21"/>
                <w:highlight w:val="none"/>
                <w:lang w:val="en-US" w:eastAsia="zh-CN"/>
              </w:rPr>
              <w:t>约0.706</w:t>
            </w:r>
            <w:r>
              <w:rPr>
                <w:rFonts w:hint="eastAsia"/>
                <w:color w:val="auto"/>
                <w:szCs w:val="21"/>
                <w:highlight w:val="none"/>
              </w:rPr>
              <w:t>t。拟采用吨袋储存，每个吨袋占地面积1m</w:t>
            </w:r>
            <w:r>
              <w:rPr>
                <w:rFonts w:hint="eastAsia"/>
                <w:color w:val="auto"/>
                <w:szCs w:val="21"/>
                <w:highlight w:val="none"/>
                <w:vertAlign w:val="superscript"/>
              </w:rPr>
              <w:t>2</w:t>
            </w:r>
            <w:r>
              <w:rPr>
                <w:rFonts w:hint="eastAsia"/>
                <w:color w:val="auto"/>
                <w:szCs w:val="21"/>
                <w:highlight w:val="none"/>
              </w:rPr>
              <w:t>，每次清理需要</w:t>
            </w:r>
            <w:r>
              <w:rPr>
                <w:rFonts w:hint="eastAsia"/>
                <w:color w:val="auto"/>
                <w:szCs w:val="21"/>
                <w:highlight w:val="none"/>
                <w:lang w:val="en-US" w:eastAsia="zh-CN"/>
              </w:rPr>
              <w:t>2</w:t>
            </w:r>
            <w:r>
              <w:rPr>
                <w:rFonts w:hint="eastAsia"/>
                <w:color w:val="auto"/>
                <w:szCs w:val="21"/>
                <w:highlight w:val="none"/>
              </w:rPr>
              <w:t>个吨袋，最大所需占地面积</w:t>
            </w:r>
            <w:r>
              <w:rPr>
                <w:rFonts w:hint="eastAsia"/>
                <w:color w:val="auto"/>
                <w:szCs w:val="21"/>
                <w:highlight w:val="none"/>
                <w:lang w:val="en-US" w:eastAsia="zh-CN"/>
              </w:rPr>
              <w:t>2</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p>
          <w:p w14:paraId="3B3D358F">
            <w:pPr>
              <w:spacing w:line="360" w:lineRule="auto"/>
              <w:ind w:firstLine="420" w:firstLineChars="200"/>
              <w:rPr>
                <w:color w:val="auto"/>
                <w:szCs w:val="21"/>
                <w:highlight w:val="none"/>
              </w:rPr>
            </w:pPr>
            <w:r>
              <w:rPr>
                <w:rFonts w:hint="eastAsia"/>
                <w:color w:val="auto"/>
                <w:szCs w:val="21"/>
                <w:highlight w:val="none"/>
                <w:lang w:val="en-US" w:eastAsia="zh-CN"/>
              </w:rPr>
              <w:t>污泥</w:t>
            </w:r>
            <w:r>
              <w:rPr>
                <w:rFonts w:hint="eastAsia"/>
                <w:color w:val="auto"/>
                <w:szCs w:val="21"/>
                <w:highlight w:val="none"/>
              </w:rPr>
              <w:t>：年产生量</w:t>
            </w:r>
            <w:r>
              <w:rPr>
                <w:rFonts w:hint="eastAsia"/>
                <w:color w:val="auto"/>
                <w:szCs w:val="21"/>
                <w:highlight w:val="none"/>
                <w:lang w:val="en-US" w:eastAsia="zh-CN"/>
              </w:rPr>
              <w:t>15</w:t>
            </w:r>
            <w:r>
              <w:rPr>
                <w:rFonts w:hint="eastAsia"/>
                <w:color w:val="auto"/>
                <w:szCs w:val="21"/>
                <w:highlight w:val="none"/>
              </w:rPr>
              <w:t>t，每</w:t>
            </w:r>
            <w:r>
              <w:rPr>
                <w:rFonts w:hint="eastAsia"/>
                <w:color w:val="auto"/>
                <w:szCs w:val="21"/>
                <w:highlight w:val="none"/>
                <w:lang w:val="en-US" w:eastAsia="zh-CN"/>
              </w:rPr>
              <w:t>月2个</w:t>
            </w:r>
            <w:r>
              <w:rPr>
                <w:rFonts w:hint="eastAsia"/>
                <w:color w:val="auto"/>
                <w:szCs w:val="21"/>
                <w:highlight w:val="none"/>
              </w:rPr>
              <w:t>清理一次，</w:t>
            </w:r>
            <w:r>
              <w:rPr>
                <w:rFonts w:hint="eastAsia"/>
                <w:color w:val="auto"/>
                <w:szCs w:val="21"/>
                <w:highlight w:val="none"/>
                <w:lang w:val="en-US" w:eastAsia="zh-CN"/>
              </w:rPr>
              <w:t>最大</w:t>
            </w:r>
            <w:r>
              <w:rPr>
                <w:rFonts w:hint="eastAsia"/>
                <w:color w:val="auto"/>
                <w:szCs w:val="21"/>
                <w:highlight w:val="none"/>
              </w:rPr>
              <w:t>贮存量</w:t>
            </w:r>
            <w:r>
              <w:rPr>
                <w:rFonts w:hint="eastAsia"/>
                <w:color w:val="auto"/>
                <w:szCs w:val="21"/>
                <w:highlight w:val="none"/>
                <w:lang w:val="en-US" w:eastAsia="zh-CN"/>
              </w:rPr>
              <w:t>2.5</w:t>
            </w:r>
            <w:r>
              <w:rPr>
                <w:rFonts w:hint="eastAsia"/>
                <w:color w:val="auto"/>
                <w:szCs w:val="21"/>
                <w:highlight w:val="none"/>
              </w:rPr>
              <w:t>t。</w:t>
            </w:r>
            <w:r>
              <w:rPr>
                <w:rFonts w:hint="eastAsia"/>
                <w:color w:val="auto"/>
                <w:szCs w:val="21"/>
              </w:rPr>
              <w:t>拟采用</w:t>
            </w:r>
            <w:r>
              <w:rPr>
                <w:rFonts w:hint="eastAsia"/>
                <w:color w:val="auto"/>
                <w:szCs w:val="21"/>
                <w:lang w:val="en-US" w:eastAsia="zh-CN"/>
              </w:rPr>
              <w:t>吨袋</w:t>
            </w:r>
            <w:r>
              <w:rPr>
                <w:rFonts w:hint="eastAsia"/>
                <w:color w:val="auto"/>
                <w:szCs w:val="21"/>
              </w:rPr>
              <w:t>储存，每个</w:t>
            </w:r>
            <w:r>
              <w:rPr>
                <w:rFonts w:hint="eastAsia"/>
                <w:color w:val="auto"/>
                <w:szCs w:val="21"/>
                <w:lang w:val="en-US" w:eastAsia="zh-CN"/>
              </w:rPr>
              <w:t>吨桶</w:t>
            </w:r>
            <w:r>
              <w:rPr>
                <w:rFonts w:hint="eastAsia"/>
                <w:color w:val="auto"/>
                <w:szCs w:val="21"/>
              </w:rPr>
              <w:t>占地面积1m</w:t>
            </w:r>
            <w:r>
              <w:rPr>
                <w:rFonts w:hint="eastAsia"/>
                <w:color w:val="auto"/>
                <w:szCs w:val="21"/>
                <w:vertAlign w:val="superscript"/>
              </w:rPr>
              <w:t>2</w:t>
            </w:r>
            <w:r>
              <w:rPr>
                <w:rFonts w:hint="eastAsia"/>
                <w:color w:val="auto"/>
                <w:szCs w:val="21"/>
              </w:rPr>
              <w:t>，每次清理需要</w:t>
            </w:r>
            <w:r>
              <w:rPr>
                <w:rFonts w:hint="eastAsia"/>
                <w:color w:val="auto"/>
                <w:szCs w:val="21"/>
                <w:lang w:val="en-US" w:eastAsia="zh-CN"/>
              </w:rPr>
              <w:t>3</w:t>
            </w:r>
            <w:r>
              <w:rPr>
                <w:rFonts w:hint="eastAsia"/>
                <w:color w:val="auto"/>
                <w:szCs w:val="21"/>
              </w:rPr>
              <w:t>个吨</w:t>
            </w:r>
            <w:r>
              <w:rPr>
                <w:rFonts w:hint="eastAsia"/>
                <w:color w:val="auto"/>
                <w:szCs w:val="21"/>
                <w:lang w:val="en-US" w:eastAsia="zh-CN"/>
              </w:rPr>
              <w:t>桶</w:t>
            </w:r>
            <w:r>
              <w:rPr>
                <w:rFonts w:hint="eastAsia"/>
                <w:color w:val="auto"/>
                <w:szCs w:val="21"/>
              </w:rPr>
              <w:t>，最大所需占地面积</w:t>
            </w:r>
            <w:r>
              <w:rPr>
                <w:rFonts w:hint="eastAsia"/>
                <w:color w:val="auto"/>
                <w:szCs w:val="21"/>
                <w:lang w:val="en-US" w:eastAsia="zh-CN"/>
              </w:rPr>
              <w:t>3</w:t>
            </w:r>
            <w:r>
              <w:rPr>
                <w:rFonts w:hint="eastAsia"/>
                <w:color w:val="auto"/>
                <w:szCs w:val="21"/>
              </w:rPr>
              <w:t>m</w:t>
            </w:r>
            <w:r>
              <w:rPr>
                <w:rFonts w:hint="eastAsia"/>
                <w:color w:val="auto"/>
                <w:szCs w:val="21"/>
                <w:vertAlign w:val="superscript"/>
              </w:rPr>
              <w:t>2</w:t>
            </w:r>
            <w:r>
              <w:rPr>
                <w:rFonts w:hint="eastAsia"/>
                <w:color w:val="auto"/>
                <w:szCs w:val="21"/>
              </w:rPr>
              <w:t>。</w:t>
            </w:r>
          </w:p>
          <w:p w14:paraId="6E01E91C">
            <w:pPr>
              <w:spacing w:line="360" w:lineRule="auto"/>
              <w:ind w:firstLine="420" w:firstLineChars="200"/>
              <w:rPr>
                <w:color w:val="auto"/>
                <w:szCs w:val="21"/>
                <w:highlight w:val="none"/>
              </w:rPr>
            </w:pPr>
            <w:r>
              <w:rPr>
                <w:rFonts w:hint="eastAsia"/>
                <w:color w:val="auto"/>
                <w:szCs w:val="21"/>
                <w:highlight w:val="none"/>
                <w:lang w:val="en-US" w:eastAsia="zh-CN"/>
              </w:rPr>
              <w:t>废油</w:t>
            </w:r>
            <w:r>
              <w:rPr>
                <w:rFonts w:hint="eastAsia"/>
                <w:color w:val="auto"/>
                <w:szCs w:val="21"/>
                <w:highlight w:val="none"/>
              </w:rPr>
              <w:t>：年产生量</w:t>
            </w:r>
            <w:r>
              <w:rPr>
                <w:rFonts w:hint="eastAsia"/>
                <w:color w:val="auto"/>
                <w:szCs w:val="21"/>
                <w:highlight w:val="none"/>
                <w:lang w:val="en-US" w:eastAsia="zh-CN"/>
              </w:rPr>
              <w:t>0.05</w:t>
            </w:r>
            <w:r>
              <w:rPr>
                <w:rFonts w:hint="eastAsia"/>
                <w:color w:val="auto"/>
                <w:szCs w:val="21"/>
                <w:highlight w:val="none"/>
              </w:rPr>
              <w:t>t，每</w:t>
            </w:r>
            <w:r>
              <w:rPr>
                <w:rFonts w:hint="eastAsia"/>
                <w:color w:val="auto"/>
                <w:szCs w:val="21"/>
                <w:highlight w:val="none"/>
                <w:lang w:val="en-US" w:eastAsia="zh-CN"/>
              </w:rPr>
              <w:t>2个月</w:t>
            </w:r>
            <w:r>
              <w:rPr>
                <w:rFonts w:hint="eastAsia"/>
                <w:color w:val="auto"/>
                <w:szCs w:val="21"/>
                <w:highlight w:val="none"/>
              </w:rPr>
              <w:t>清理一次，</w:t>
            </w:r>
            <w:r>
              <w:rPr>
                <w:rFonts w:hint="eastAsia"/>
                <w:color w:val="auto"/>
                <w:szCs w:val="21"/>
                <w:highlight w:val="none"/>
                <w:lang w:val="en-US" w:eastAsia="zh-CN"/>
              </w:rPr>
              <w:t>最大</w:t>
            </w:r>
            <w:r>
              <w:rPr>
                <w:rFonts w:hint="eastAsia"/>
                <w:color w:val="auto"/>
                <w:szCs w:val="21"/>
                <w:highlight w:val="none"/>
              </w:rPr>
              <w:t>贮存量</w:t>
            </w:r>
            <w:r>
              <w:rPr>
                <w:rFonts w:hint="eastAsia"/>
                <w:color w:val="auto"/>
                <w:szCs w:val="21"/>
                <w:highlight w:val="none"/>
                <w:lang w:val="en-US" w:eastAsia="zh-CN"/>
              </w:rPr>
              <w:t>0.0083</w:t>
            </w:r>
            <w:r>
              <w:rPr>
                <w:rFonts w:hint="eastAsia"/>
                <w:color w:val="auto"/>
                <w:szCs w:val="21"/>
                <w:highlight w:val="none"/>
              </w:rPr>
              <w:t>t。</w:t>
            </w:r>
            <w:r>
              <w:rPr>
                <w:rFonts w:hint="eastAsia"/>
                <w:color w:val="auto"/>
                <w:szCs w:val="21"/>
              </w:rPr>
              <w:t>拟采用</w:t>
            </w:r>
            <w:r>
              <w:rPr>
                <w:rFonts w:hint="eastAsia"/>
                <w:color w:val="auto"/>
                <w:szCs w:val="21"/>
                <w:highlight w:val="none"/>
              </w:rPr>
              <w:t>25kg</w:t>
            </w:r>
            <w:r>
              <w:rPr>
                <w:rFonts w:hint="eastAsia"/>
                <w:color w:val="auto"/>
                <w:szCs w:val="21"/>
                <w:highlight w:val="none"/>
                <w:lang w:val="en-US" w:eastAsia="zh-CN"/>
              </w:rPr>
              <w:t>塑料桶</w:t>
            </w:r>
            <w:r>
              <w:rPr>
                <w:rFonts w:hint="eastAsia"/>
                <w:color w:val="auto"/>
                <w:szCs w:val="21"/>
              </w:rPr>
              <w:t>储存，每个</w:t>
            </w:r>
            <w:r>
              <w:rPr>
                <w:rFonts w:hint="eastAsia"/>
                <w:color w:val="auto"/>
                <w:szCs w:val="21"/>
                <w:lang w:val="en-US" w:eastAsia="zh-CN"/>
              </w:rPr>
              <w:t>塑料桶</w:t>
            </w:r>
            <w:r>
              <w:rPr>
                <w:rFonts w:hint="eastAsia"/>
                <w:color w:val="auto"/>
                <w:szCs w:val="21"/>
              </w:rPr>
              <w:t>占地面积</w:t>
            </w:r>
            <w:r>
              <w:rPr>
                <w:rFonts w:hint="eastAsia"/>
                <w:color w:val="auto"/>
                <w:szCs w:val="21"/>
                <w:lang w:val="en-US" w:eastAsia="zh-CN"/>
              </w:rPr>
              <w:t>0.5</w:t>
            </w:r>
            <w:r>
              <w:rPr>
                <w:rFonts w:hint="eastAsia"/>
                <w:color w:val="auto"/>
                <w:szCs w:val="21"/>
              </w:rPr>
              <w:t>m</w:t>
            </w:r>
            <w:r>
              <w:rPr>
                <w:rFonts w:hint="eastAsia"/>
                <w:color w:val="auto"/>
                <w:szCs w:val="21"/>
                <w:vertAlign w:val="superscript"/>
              </w:rPr>
              <w:t>2</w:t>
            </w:r>
            <w:r>
              <w:rPr>
                <w:rFonts w:hint="eastAsia"/>
                <w:color w:val="auto"/>
                <w:szCs w:val="21"/>
              </w:rPr>
              <w:t>，每次清理需要</w:t>
            </w:r>
            <w:r>
              <w:rPr>
                <w:rFonts w:hint="eastAsia"/>
                <w:color w:val="auto"/>
                <w:szCs w:val="21"/>
                <w:lang w:val="en-US" w:eastAsia="zh-CN"/>
              </w:rPr>
              <w:t>1</w:t>
            </w:r>
            <w:r>
              <w:rPr>
                <w:rFonts w:hint="eastAsia"/>
                <w:color w:val="auto"/>
                <w:szCs w:val="21"/>
              </w:rPr>
              <w:t>个</w:t>
            </w:r>
            <w:r>
              <w:rPr>
                <w:rFonts w:hint="eastAsia"/>
                <w:color w:val="auto"/>
                <w:szCs w:val="21"/>
                <w:lang w:val="en-US" w:eastAsia="zh-CN"/>
              </w:rPr>
              <w:t>塑料桶</w:t>
            </w:r>
            <w:r>
              <w:rPr>
                <w:rFonts w:hint="eastAsia"/>
                <w:color w:val="auto"/>
                <w:szCs w:val="21"/>
              </w:rPr>
              <w:t>，最大所需占地面积</w:t>
            </w:r>
            <w:r>
              <w:rPr>
                <w:rFonts w:hint="eastAsia"/>
                <w:color w:val="auto"/>
                <w:szCs w:val="21"/>
                <w:lang w:val="en-US" w:eastAsia="zh-CN"/>
              </w:rPr>
              <w:t>0.5</w:t>
            </w:r>
            <w:r>
              <w:rPr>
                <w:rFonts w:hint="eastAsia"/>
                <w:color w:val="auto"/>
                <w:szCs w:val="21"/>
              </w:rPr>
              <w:t>m</w:t>
            </w:r>
            <w:r>
              <w:rPr>
                <w:rFonts w:hint="eastAsia"/>
                <w:color w:val="auto"/>
                <w:szCs w:val="21"/>
                <w:vertAlign w:val="superscript"/>
              </w:rPr>
              <w:t>2</w:t>
            </w:r>
            <w:r>
              <w:rPr>
                <w:rFonts w:hint="eastAsia"/>
                <w:color w:val="auto"/>
                <w:szCs w:val="21"/>
              </w:rPr>
              <w:t>。</w:t>
            </w:r>
          </w:p>
          <w:p w14:paraId="794270B3">
            <w:pPr>
              <w:spacing w:line="360" w:lineRule="auto"/>
              <w:ind w:firstLine="420" w:firstLineChars="200"/>
              <w:rPr>
                <w:color w:val="auto"/>
                <w:szCs w:val="21"/>
                <w:highlight w:val="none"/>
              </w:rPr>
            </w:pPr>
            <w:r>
              <w:rPr>
                <w:rFonts w:hint="eastAsia"/>
                <w:color w:val="auto"/>
                <w:szCs w:val="21"/>
                <w:highlight w:val="none"/>
              </w:rPr>
              <w:t>综上，项目产生危废共需占地面积</w:t>
            </w:r>
            <w:r>
              <w:rPr>
                <w:rFonts w:hint="eastAsia"/>
                <w:color w:val="auto"/>
                <w:szCs w:val="21"/>
                <w:highlight w:val="none"/>
                <w:lang w:val="en-US" w:eastAsia="zh-CN"/>
              </w:rPr>
              <w:t>8.5</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，厂区</w:t>
            </w:r>
            <w:r>
              <w:rPr>
                <w:rFonts w:hint="eastAsia"/>
                <w:color w:val="auto"/>
                <w:szCs w:val="21"/>
                <w:highlight w:val="none"/>
                <w:lang w:val="en-US" w:eastAsia="zh-CN"/>
              </w:rPr>
              <w:t>现有</w:t>
            </w:r>
            <w:r>
              <w:rPr>
                <w:color w:val="auto"/>
                <w:szCs w:val="21"/>
                <w:highlight w:val="none"/>
              </w:rPr>
              <w:t>危废暂存区</w:t>
            </w:r>
            <w:r>
              <w:rPr>
                <w:rFonts w:hint="eastAsia"/>
                <w:color w:val="auto"/>
                <w:szCs w:val="21"/>
                <w:highlight w:val="none"/>
                <w:lang w:val="en-US" w:eastAsia="zh-CN"/>
              </w:rPr>
              <w:t>剩余储存</w:t>
            </w:r>
            <w:r>
              <w:rPr>
                <w:rFonts w:hint="eastAsia"/>
                <w:color w:val="auto"/>
                <w:szCs w:val="21"/>
                <w:highlight w:val="none"/>
              </w:rPr>
              <w:t>面积为</w:t>
            </w:r>
            <w:r>
              <w:rPr>
                <w:rFonts w:hint="eastAsia"/>
                <w:color w:val="auto"/>
                <w:szCs w:val="21"/>
                <w:highlight w:val="none"/>
                <w:lang w:val="en-US" w:eastAsia="zh-CN"/>
              </w:rPr>
              <w:t>50</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，故厂区现有的</w:t>
            </w:r>
            <w:r>
              <w:rPr>
                <w:color w:val="auto"/>
                <w:szCs w:val="21"/>
                <w:highlight w:val="none"/>
              </w:rPr>
              <w:t>危废暂存区</w:t>
            </w:r>
            <w:r>
              <w:rPr>
                <w:rFonts w:hint="eastAsia"/>
                <w:color w:val="auto"/>
                <w:szCs w:val="21"/>
                <w:highlight w:val="none"/>
              </w:rPr>
              <w:t>可以满足危废贮存的要求。</w:t>
            </w:r>
          </w:p>
          <w:p w14:paraId="241C3C85">
            <w:pPr>
              <w:spacing w:line="360" w:lineRule="auto"/>
              <w:ind w:firstLine="420" w:firstLineChars="200"/>
              <w:rPr>
                <w:color w:val="auto"/>
                <w:szCs w:val="21"/>
                <w:highlight w:val="none"/>
              </w:rPr>
            </w:pPr>
            <w:r>
              <w:rPr>
                <w:rFonts w:hint="eastAsia"/>
                <w:color w:val="auto"/>
                <w:szCs w:val="21"/>
                <w:highlight w:val="none"/>
              </w:rPr>
              <w:t>2）危废暂存场所应有隔离设施、报警装置；</w:t>
            </w:r>
          </w:p>
          <w:p w14:paraId="4223C70A">
            <w:pPr>
              <w:spacing w:line="360" w:lineRule="auto"/>
              <w:ind w:firstLine="420" w:firstLineChars="200"/>
              <w:rPr>
                <w:color w:val="auto"/>
                <w:szCs w:val="21"/>
                <w:highlight w:val="none"/>
              </w:rPr>
            </w:pPr>
            <w:r>
              <w:rPr>
                <w:rFonts w:hint="eastAsia"/>
                <w:color w:val="auto"/>
                <w:szCs w:val="21"/>
                <w:highlight w:val="none"/>
              </w:rPr>
              <w:t>3）堆放场所应树立明显的标志牌</w:t>
            </w:r>
            <w:r>
              <w:rPr>
                <w:rFonts w:hint="eastAsia"/>
                <w:color w:val="auto"/>
                <w:szCs w:val="21"/>
                <w:highlight w:val="none"/>
                <w:lang w:eastAsia="zh-CN"/>
              </w:rPr>
              <w:t>（</w:t>
            </w:r>
            <w:r>
              <w:rPr>
                <w:rFonts w:hint="eastAsia"/>
                <w:color w:val="auto"/>
                <w:szCs w:val="21"/>
                <w:highlight w:val="none"/>
              </w:rPr>
              <w:t>警告标识+《危险废物信息公开栏》</w:t>
            </w:r>
            <w:r>
              <w:rPr>
                <w:rFonts w:hint="eastAsia"/>
                <w:color w:val="auto"/>
                <w:szCs w:val="21"/>
                <w:highlight w:val="none"/>
                <w:lang w:eastAsia="zh-CN"/>
              </w:rPr>
              <w:t>）</w:t>
            </w:r>
            <w:r>
              <w:rPr>
                <w:rFonts w:hint="eastAsia"/>
                <w:color w:val="auto"/>
                <w:szCs w:val="21"/>
                <w:highlight w:val="none"/>
              </w:rPr>
              <w:t>。</w:t>
            </w:r>
          </w:p>
          <w:p w14:paraId="262D55C2">
            <w:pPr>
              <w:spacing w:line="360" w:lineRule="auto"/>
              <w:ind w:firstLine="420" w:firstLineChars="200"/>
              <w:rPr>
                <w:color w:val="auto"/>
                <w:szCs w:val="21"/>
                <w:highlight w:val="none"/>
              </w:rPr>
            </w:pPr>
            <w:r>
              <w:rPr>
                <w:rFonts w:hint="eastAsia"/>
                <w:color w:val="auto"/>
                <w:szCs w:val="21"/>
                <w:highlight w:val="none"/>
              </w:rPr>
              <w:t>4）地面须设置泄漏液体和地面冲洗废水的收集渠，然后自流至在最低处设置的地下收集池，收集池废水须设置废水导排管或泵或人工方式，将废液废水作为危废处理。仓库门口须有围堰</w:t>
            </w:r>
            <w:r>
              <w:rPr>
                <w:rFonts w:hint="eastAsia"/>
                <w:color w:val="auto"/>
                <w:szCs w:val="21"/>
                <w:highlight w:val="none"/>
                <w:lang w:eastAsia="zh-CN"/>
              </w:rPr>
              <w:t>（</w:t>
            </w:r>
            <w:r>
              <w:rPr>
                <w:rFonts w:hint="eastAsia"/>
                <w:color w:val="auto"/>
                <w:szCs w:val="21"/>
                <w:highlight w:val="none"/>
              </w:rPr>
              <w:t>缓坡</w:t>
            </w:r>
            <w:r>
              <w:rPr>
                <w:rFonts w:hint="eastAsia"/>
                <w:color w:val="auto"/>
                <w:szCs w:val="21"/>
                <w:highlight w:val="none"/>
                <w:lang w:eastAsia="zh-CN"/>
              </w:rPr>
              <w:t>）</w:t>
            </w:r>
            <w:r>
              <w:rPr>
                <w:rFonts w:hint="eastAsia"/>
                <w:color w:val="auto"/>
                <w:szCs w:val="21"/>
                <w:highlight w:val="none"/>
              </w:rPr>
              <w:t>或截留沟，防止仓库废物向外泄漏。仓库地面应保持干净整洁。</w:t>
            </w:r>
          </w:p>
          <w:p w14:paraId="7DA41E61">
            <w:pPr>
              <w:spacing w:line="360" w:lineRule="auto"/>
              <w:ind w:firstLine="420" w:firstLineChars="200"/>
              <w:rPr>
                <w:color w:val="auto"/>
                <w:szCs w:val="21"/>
                <w:highlight w:val="none"/>
              </w:rPr>
            </w:pPr>
            <w:r>
              <w:rPr>
                <w:rFonts w:hint="eastAsia"/>
                <w:color w:val="auto"/>
                <w:szCs w:val="21"/>
                <w:highlight w:val="none"/>
              </w:rPr>
              <w:t>5）不同类的危险废物须分区贮存，不同分区应设置矮围墙或在地面画线并预留明显间隔</w:t>
            </w:r>
            <w:r>
              <w:rPr>
                <w:rFonts w:hint="eastAsia"/>
                <w:color w:val="auto"/>
                <w:szCs w:val="21"/>
                <w:highlight w:val="none"/>
                <w:lang w:eastAsia="zh-CN"/>
              </w:rPr>
              <w:t>（</w:t>
            </w:r>
            <w:r>
              <w:rPr>
                <w:rFonts w:hint="eastAsia"/>
                <w:color w:val="auto"/>
                <w:szCs w:val="21"/>
                <w:highlight w:val="none"/>
              </w:rPr>
              <w:t>如过道等</w:t>
            </w:r>
            <w:r>
              <w:rPr>
                <w:rFonts w:hint="eastAsia"/>
                <w:color w:val="auto"/>
                <w:szCs w:val="21"/>
                <w:highlight w:val="none"/>
                <w:lang w:eastAsia="zh-CN"/>
              </w:rPr>
              <w:t>）</w:t>
            </w:r>
            <w:r>
              <w:rPr>
                <w:rFonts w:hint="eastAsia"/>
                <w:color w:val="auto"/>
                <w:szCs w:val="21"/>
                <w:highlight w:val="none"/>
              </w:rPr>
              <w:t>。每一分区的墙体须悬挂危险废物大标签</w:t>
            </w:r>
            <w:r>
              <w:rPr>
                <w:rFonts w:hint="eastAsia"/>
                <w:color w:val="auto"/>
                <w:szCs w:val="21"/>
                <w:highlight w:val="none"/>
                <w:lang w:eastAsia="zh-CN"/>
              </w:rPr>
              <w:t>（</w:t>
            </w:r>
            <w:r>
              <w:rPr>
                <w:rFonts w:hint="eastAsia"/>
                <w:color w:val="auto"/>
                <w:szCs w:val="21"/>
                <w:highlight w:val="none"/>
              </w:rPr>
              <w:t>40cm×40cm</w:t>
            </w:r>
            <w:r>
              <w:rPr>
                <w:rFonts w:hint="eastAsia"/>
                <w:color w:val="auto"/>
                <w:szCs w:val="21"/>
                <w:highlight w:val="none"/>
                <w:lang w:eastAsia="zh-CN"/>
              </w:rPr>
              <w:t>）</w:t>
            </w:r>
            <w:r>
              <w:rPr>
                <w:rFonts w:hint="eastAsia"/>
                <w:color w:val="auto"/>
                <w:szCs w:val="21"/>
                <w:highlight w:val="none"/>
              </w:rPr>
              <w:t>。</w:t>
            </w:r>
          </w:p>
          <w:p w14:paraId="38EF9C01">
            <w:pPr>
              <w:spacing w:line="360" w:lineRule="auto"/>
              <w:ind w:firstLine="420" w:firstLineChars="200"/>
              <w:rPr>
                <w:color w:val="auto"/>
                <w:szCs w:val="21"/>
                <w:highlight w:val="none"/>
              </w:rPr>
            </w:pPr>
            <w:r>
              <w:rPr>
                <w:rFonts w:hint="eastAsia"/>
                <w:color w:val="auto"/>
                <w:szCs w:val="21"/>
                <w:highlight w:val="none"/>
              </w:rPr>
              <w:t>6）危险废物必须进行包装</w:t>
            </w:r>
            <w:r>
              <w:rPr>
                <w:rFonts w:hint="eastAsia"/>
                <w:color w:val="auto"/>
                <w:szCs w:val="21"/>
                <w:highlight w:val="none"/>
                <w:lang w:eastAsia="zh-CN"/>
              </w:rPr>
              <w:t>（</w:t>
            </w:r>
            <w:r>
              <w:rPr>
                <w:rFonts w:hint="eastAsia"/>
                <w:color w:val="auto"/>
                <w:szCs w:val="21"/>
                <w:highlight w:val="none"/>
              </w:rPr>
              <w:t>袋装、桶装</w:t>
            </w:r>
            <w:r>
              <w:rPr>
                <w:rFonts w:hint="eastAsia"/>
                <w:color w:val="auto"/>
                <w:szCs w:val="21"/>
                <w:highlight w:val="none"/>
                <w:lang w:eastAsia="zh-CN"/>
              </w:rPr>
              <w:t>）</w:t>
            </w:r>
            <w:r>
              <w:rPr>
                <w:rFonts w:hint="eastAsia"/>
                <w:color w:val="auto"/>
                <w:szCs w:val="21"/>
                <w:highlight w:val="none"/>
              </w:rPr>
              <w:t>，不得散装。容器应完好无损。产生气味或VOC的废物应实行密闭包装。每一个包装桶</w:t>
            </w:r>
            <w:r>
              <w:rPr>
                <w:rFonts w:hint="eastAsia"/>
                <w:color w:val="auto"/>
                <w:szCs w:val="21"/>
                <w:highlight w:val="none"/>
                <w:lang w:eastAsia="zh-CN"/>
              </w:rPr>
              <w:t>（</w:t>
            </w:r>
            <w:r>
              <w:rPr>
                <w:rFonts w:hint="eastAsia"/>
                <w:color w:val="auto"/>
                <w:szCs w:val="21"/>
                <w:highlight w:val="none"/>
              </w:rPr>
              <w:t>袋</w:t>
            </w:r>
            <w:r>
              <w:rPr>
                <w:rFonts w:hint="eastAsia"/>
                <w:color w:val="auto"/>
                <w:szCs w:val="21"/>
                <w:highlight w:val="none"/>
                <w:lang w:eastAsia="zh-CN"/>
              </w:rPr>
              <w:t>）</w:t>
            </w:r>
            <w:r>
              <w:rPr>
                <w:rFonts w:hint="eastAsia"/>
                <w:color w:val="auto"/>
                <w:szCs w:val="21"/>
                <w:highlight w:val="none"/>
              </w:rPr>
              <w:t>均须悬挂或张贴危险废物标签</w:t>
            </w:r>
            <w:r>
              <w:rPr>
                <w:rFonts w:hint="eastAsia"/>
                <w:color w:val="auto"/>
                <w:szCs w:val="21"/>
                <w:highlight w:val="none"/>
                <w:lang w:eastAsia="zh-CN"/>
              </w:rPr>
              <w:t>（</w:t>
            </w:r>
            <w:r>
              <w:rPr>
                <w:rFonts w:hint="eastAsia"/>
                <w:color w:val="auto"/>
                <w:szCs w:val="21"/>
                <w:highlight w:val="none"/>
              </w:rPr>
              <w:t>20cm×20cm或10cm×10cm</w:t>
            </w:r>
            <w:r>
              <w:rPr>
                <w:rFonts w:hint="eastAsia"/>
                <w:color w:val="auto"/>
                <w:szCs w:val="21"/>
                <w:highlight w:val="none"/>
                <w:lang w:eastAsia="zh-CN"/>
              </w:rPr>
              <w:t>）</w:t>
            </w:r>
            <w:r>
              <w:rPr>
                <w:rFonts w:hint="eastAsia"/>
                <w:color w:val="auto"/>
                <w:szCs w:val="21"/>
                <w:highlight w:val="none"/>
              </w:rPr>
              <w:t>。</w:t>
            </w:r>
          </w:p>
          <w:p w14:paraId="5F338E43">
            <w:pPr>
              <w:spacing w:line="360" w:lineRule="auto"/>
              <w:ind w:firstLine="420" w:firstLineChars="200"/>
              <w:rPr>
                <w:color w:val="auto"/>
                <w:szCs w:val="21"/>
                <w:highlight w:val="none"/>
              </w:rPr>
            </w:pPr>
            <w:r>
              <w:rPr>
                <w:rFonts w:hint="eastAsia"/>
                <w:color w:val="auto"/>
                <w:szCs w:val="21"/>
                <w:highlight w:val="none"/>
              </w:rPr>
              <w:t>7）仓库室内须悬挂《</w:t>
            </w:r>
            <w:r>
              <w:rPr>
                <w:rFonts w:hint="eastAsia"/>
                <w:color w:val="auto"/>
                <w:szCs w:val="21"/>
                <w:highlight w:val="none"/>
                <w:lang w:eastAsia="zh-CN"/>
              </w:rPr>
              <w:t>（江苏裕强金属制造有限公司）</w:t>
            </w:r>
            <w:r>
              <w:rPr>
                <w:rFonts w:hint="eastAsia"/>
                <w:color w:val="auto"/>
                <w:szCs w:val="21"/>
                <w:highlight w:val="none"/>
              </w:rPr>
              <w:t>危险废物污染防治责任制度》、每一种废物的《工业固体废物台账记录本》。</w:t>
            </w:r>
          </w:p>
          <w:p w14:paraId="7C83DEB7">
            <w:pPr>
              <w:keepNext w:val="0"/>
              <w:keepLines w:val="0"/>
              <w:widowControl w:val="0"/>
              <w:suppressLineNumbers w:val="0"/>
              <w:spacing w:before="0" w:beforeAutospacing="0" w:after="0" w:afterAutospacing="0" w:line="360" w:lineRule="auto"/>
              <w:ind w:left="0" w:right="0" w:firstLine="420" w:firstLineChars="200"/>
              <w:jc w:val="both"/>
              <w:rPr>
                <w:rFonts w:hint="eastAsia"/>
                <w:color w:val="auto"/>
                <w:szCs w:val="21"/>
                <w:highlight w:val="none"/>
              </w:rPr>
            </w:pPr>
            <w:r>
              <w:rPr>
                <w:rFonts w:hint="eastAsia"/>
                <w:color w:val="auto"/>
                <w:szCs w:val="21"/>
                <w:highlight w:val="none"/>
              </w:rPr>
              <w:t>8）本项目应制定好固体废物特别是危险废物转移运输途中的污染防范及事故应急措施。严格执行《危险废物收集贮存运输技术规范》（HJ2025-2012）和《危险废物转移管理办法》，转移危险废物的，应当通过国家危险废物信息管理系统填写、运行危险废物电子转移联单。同时，危险废物装卸、运输应委托有资质单位进行，编制《危险废物运输车辆事故应急预案》，杜绝包装、运输过程中危险废物散落、泄漏的环境影响。项目厂区内危险废物由专业人员操作，单独收集和贮运，严格执行转移联单管理制度及国家和省有关转移管理的相关规定、处置过程安全操作规程、人员培训考核制度、档案管理制度、处置全过程管理制度等，并制定好危险废物转移运输途中的污染防范及事故应急措施，严格按照要求办理有关手续。</w:t>
            </w:r>
          </w:p>
          <w:p w14:paraId="192C63EA">
            <w:pPr>
              <w:keepNext w:val="0"/>
              <w:keepLines w:val="0"/>
              <w:widowControl w:val="0"/>
              <w:suppressLineNumbers w:val="0"/>
              <w:spacing w:before="0" w:beforeAutospacing="0" w:after="0" w:afterAutospacing="0" w:line="360" w:lineRule="auto"/>
              <w:ind w:left="0" w:right="0" w:firstLine="420" w:firstLineChars="200"/>
              <w:jc w:val="both"/>
              <w:rPr>
                <w:color w:val="auto"/>
                <w:highlight w:val="none"/>
                <w:lang w:val="en-US"/>
              </w:rPr>
            </w:pPr>
            <w:r>
              <w:rPr>
                <w:rFonts w:hint="eastAsia" w:ascii="Times New Roman" w:hAnsi="Times New Roman" w:eastAsia="宋体" w:cs="宋体"/>
                <w:color w:val="auto"/>
                <w:kern w:val="2"/>
                <w:sz w:val="21"/>
                <w:szCs w:val="24"/>
                <w:highlight w:val="none"/>
                <w:lang w:val="en-US" w:eastAsia="zh-CN" w:bidi="ar"/>
              </w:rPr>
              <w:t>③危险废物识别标识</w:t>
            </w:r>
          </w:p>
          <w:p w14:paraId="2BDB65E0">
            <w:pPr>
              <w:keepNext w:val="0"/>
              <w:keepLines w:val="0"/>
              <w:widowControl w:val="0"/>
              <w:suppressLineNumbers w:val="0"/>
              <w:spacing w:before="0" w:beforeAutospacing="0" w:after="0" w:afterAutospacing="0" w:line="360" w:lineRule="auto"/>
              <w:ind w:left="0" w:right="0" w:firstLine="420" w:firstLineChars="200"/>
              <w:jc w:val="both"/>
              <w:rPr>
                <w:color w:val="auto"/>
                <w:kern w:val="0"/>
                <w:highlight w:val="none"/>
                <w:lang w:val="en-US"/>
              </w:rPr>
            </w:pPr>
            <w:r>
              <w:rPr>
                <w:rFonts w:hint="eastAsia" w:ascii="Times New Roman" w:hAnsi="Times New Roman" w:eastAsia="宋体" w:cs="宋体"/>
                <w:color w:val="auto"/>
                <w:kern w:val="0"/>
                <w:sz w:val="21"/>
                <w:szCs w:val="24"/>
                <w:highlight w:val="none"/>
                <w:lang w:val="en-US" w:eastAsia="zh-CN" w:bidi="ar"/>
              </w:rPr>
              <w:t>在厂区的危废暂存间应设置危险废物识别标识，按《危险废物贮存污染控制标准》（</w:t>
            </w:r>
            <w:r>
              <w:rPr>
                <w:rFonts w:hint="default" w:ascii="Times New Roman" w:hAnsi="Times New Roman" w:eastAsia="宋体" w:cs="Times New Roman"/>
                <w:color w:val="auto"/>
                <w:kern w:val="0"/>
                <w:sz w:val="21"/>
                <w:szCs w:val="24"/>
                <w:highlight w:val="none"/>
                <w:lang w:val="en-US" w:eastAsia="zh-CN" w:bidi="ar"/>
              </w:rPr>
              <w:t>GB18597-2023</w:t>
            </w:r>
            <w:r>
              <w:rPr>
                <w:rFonts w:hint="eastAsia" w:ascii="Times New Roman" w:hAnsi="Times New Roman" w:eastAsia="宋体" w:cs="宋体"/>
                <w:color w:val="auto"/>
                <w:kern w:val="0"/>
                <w:sz w:val="21"/>
                <w:szCs w:val="24"/>
                <w:highlight w:val="none"/>
                <w:lang w:val="en-US" w:eastAsia="zh-CN" w:bidi="ar"/>
              </w:rPr>
              <w:t>）、《废物收集贮存运输技术规范》</w:t>
            </w:r>
            <w:r>
              <w:rPr>
                <w:rFonts w:hint="default" w:ascii="Times New Roman" w:hAnsi="Times New Roman" w:eastAsia="宋体" w:cs="Times New Roman"/>
                <w:color w:val="auto"/>
                <w:kern w:val="0"/>
                <w:sz w:val="21"/>
                <w:szCs w:val="24"/>
                <w:highlight w:val="none"/>
                <w:lang w:val="en-US" w:eastAsia="zh-CN" w:bidi="ar"/>
              </w:rPr>
              <w:t>(HB/T2025-2012)</w:t>
            </w:r>
            <w:r>
              <w:rPr>
                <w:rFonts w:hint="eastAsia" w:ascii="Times New Roman" w:hAnsi="Times New Roman" w:eastAsia="宋体" w:cs="宋体"/>
                <w:color w:val="auto"/>
                <w:kern w:val="0"/>
                <w:sz w:val="21"/>
                <w:szCs w:val="24"/>
                <w:highlight w:val="none"/>
                <w:lang w:val="en-US" w:eastAsia="zh-CN" w:bidi="ar"/>
              </w:rPr>
              <w:t>、《危险废物识别标志设置技术规范》（</w:t>
            </w:r>
            <w:r>
              <w:rPr>
                <w:rFonts w:hint="default" w:ascii="Times New Roman" w:hAnsi="Times New Roman" w:eastAsia="宋体" w:cs="Times New Roman"/>
                <w:color w:val="auto"/>
                <w:kern w:val="0"/>
                <w:sz w:val="21"/>
                <w:szCs w:val="24"/>
                <w:highlight w:val="none"/>
                <w:lang w:val="en-US" w:eastAsia="zh-CN" w:bidi="ar"/>
              </w:rPr>
              <w:t>HJ 1276-2022</w:t>
            </w:r>
            <w:r>
              <w:rPr>
                <w:rFonts w:hint="eastAsia" w:ascii="Times New Roman" w:hAnsi="Times New Roman" w:eastAsia="宋体" w:cs="宋体"/>
                <w:color w:val="auto"/>
                <w:kern w:val="0"/>
                <w:sz w:val="21"/>
                <w:szCs w:val="24"/>
                <w:highlight w:val="none"/>
                <w:lang w:val="en-US" w:eastAsia="zh-CN" w:bidi="ar"/>
              </w:rPr>
              <w:t>）、《省生态环境厅关于做好</w:t>
            </w:r>
            <w:r>
              <w:rPr>
                <w:rFonts w:hint="default" w:ascii="Times New Roman" w:hAnsi="Times New Roman" w:eastAsia="宋体" w:cs="Times New Roman"/>
                <w:color w:val="auto"/>
                <w:kern w:val="0"/>
                <w:sz w:val="21"/>
                <w:szCs w:val="24"/>
                <w:highlight w:val="none"/>
                <w:lang w:val="en-US" w:eastAsia="zh-CN" w:bidi="ar"/>
              </w:rPr>
              <w:t>&lt;</w:t>
            </w:r>
            <w:r>
              <w:rPr>
                <w:rFonts w:hint="eastAsia" w:ascii="Times New Roman" w:hAnsi="Times New Roman" w:eastAsia="宋体" w:cs="宋体"/>
                <w:color w:val="auto"/>
                <w:kern w:val="0"/>
                <w:sz w:val="21"/>
                <w:szCs w:val="24"/>
                <w:highlight w:val="none"/>
                <w:lang w:val="en-US" w:eastAsia="zh-CN" w:bidi="ar"/>
              </w:rPr>
              <w:t>危险废物贮存污染控制标准</w:t>
            </w:r>
            <w:r>
              <w:rPr>
                <w:rFonts w:hint="default" w:ascii="Times New Roman" w:hAnsi="Times New Roman" w:eastAsia="宋体" w:cs="Times New Roman"/>
                <w:color w:val="auto"/>
                <w:kern w:val="0"/>
                <w:sz w:val="21"/>
                <w:szCs w:val="24"/>
                <w:highlight w:val="none"/>
                <w:lang w:val="en-US" w:eastAsia="zh-CN" w:bidi="ar"/>
              </w:rPr>
              <w:t>&gt;</w:t>
            </w:r>
            <w:r>
              <w:rPr>
                <w:rFonts w:hint="eastAsia" w:ascii="Times New Roman" w:hAnsi="Times New Roman" w:eastAsia="宋体" w:cs="宋体"/>
                <w:color w:val="auto"/>
                <w:kern w:val="0"/>
                <w:sz w:val="21"/>
                <w:szCs w:val="24"/>
                <w:highlight w:val="none"/>
                <w:lang w:val="en-US" w:eastAsia="zh-CN" w:bidi="ar"/>
              </w:rPr>
              <w:t>等标准规范实施后危险废物环境管理衔接工作的通知》（苏环办〔</w:t>
            </w:r>
            <w:r>
              <w:rPr>
                <w:rFonts w:hint="default" w:ascii="Times New Roman" w:hAnsi="Times New Roman" w:eastAsia="宋体" w:cs="Times New Roman"/>
                <w:color w:val="auto"/>
                <w:kern w:val="0"/>
                <w:sz w:val="21"/>
                <w:szCs w:val="24"/>
                <w:highlight w:val="none"/>
                <w:lang w:val="en-US" w:eastAsia="zh-CN" w:bidi="ar"/>
              </w:rPr>
              <w:t>2023</w:t>
            </w:r>
            <w:r>
              <w:rPr>
                <w:rFonts w:hint="eastAsia" w:ascii="Times New Roman" w:hAnsi="Times New Roman" w:eastAsia="宋体" w:cs="宋体"/>
                <w:color w:val="auto"/>
                <w:kern w:val="0"/>
                <w:sz w:val="21"/>
                <w:szCs w:val="24"/>
                <w:highlight w:val="none"/>
                <w:lang w:val="en-US" w:eastAsia="zh-CN" w:bidi="ar"/>
              </w:rPr>
              <w:t>〕</w:t>
            </w:r>
            <w:r>
              <w:rPr>
                <w:rFonts w:hint="default" w:ascii="Times New Roman" w:hAnsi="Times New Roman" w:eastAsia="宋体" w:cs="Times New Roman"/>
                <w:color w:val="auto"/>
                <w:kern w:val="0"/>
                <w:sz w:val="21"/>
                <w:szCs w:val="24"/>
                <w:highlight w:val="none"/>
                <w:lang w:val="en-US" w:eastAsia="zh-CN" w:bidi="ar"/>
              </w:rPr>
              <w:t>154</w:t>
            </w:r>
            <w:r>
              <w:rPr>
                <w:rFonts w:hint="eastAsia" w:ascii="Times New Roman" w:hAnsi="Times New Roman" w:eastAsia="宋体" w:cs="宋体"/>
                <w:color w:val="auto"/>
                <w:kern w:val="0"/>
                <w:sz w:val="21"/>
                <w:szCs w:val="24"/>
                <w:highlight w:val="none"/>
                <w:lang w:val="en-US" w:eastAsia="zh-CN" w:bidi="ar"/>
              </w:rPr>
              <w:t>号）执行，危险废物识别标识规范化设置要求见表</w:t>
            </w:r>
            <w:r>
              <w:rPr>
                <w:rFonts w:hint="default" w:ascii="Times New Roman" w:hAnsi="Times New Roman" w:eastAsia="宋体" w:cs="Times New Roman"/>
                <w:color w:val="auto"/>
                <w:kern w:val="0"/>
                <w:sz w:val="21"/>
                <w:szCs w:val="24"/>
                <w:highlight w:val="none"/>
                <w:lang w:val="en-US" w:eastAsia="zh-CN" w:bidi="ar"/>
              </w:rPr>
              <w:t>4-</w:t>
            </w:r>
            <w:r>
              <w:rPr>
                <w:rFonts w:hint="eastAsia" w:cs="Times New Roman"/>
                <w:color w:val="auto"/>
                <w:kern w:val="0"/>
                <w:sz w:val="21"/>
                <w:szCs w:val="24"/>
                <w:highlight w:val="none"/>
                <w:lang w:val="en-US" w:eastAsia="zh-CN" w:bidi="ar"/>
              </w:rPr>
              <w:t>35</w:t>
            </w:r>
            <w:r>
              <w:rPr>
                <w:rFonts w:hint="eastAsia" w:ascii="Times New Roman" w:hAnsi="Times New Roman" w:eastAsia="宋体" w:cs="宋体"/>
                <w:color w:val="auto"/>
                <w:kern w:val="0"/>
                <w:sz w:val="21"/>
                <w:szCs w:val="24"/>
                <w:highlight w:val="none"/>
                <w:lang w:val="en-US" w:eastAsia="zh-CN" w:bidi="ar"/>
              </w:rPr>
              <w:t>。</w:t>
            </w:r>
          </w:p>
          <w:p w14:paraId="37395A2D">
            <w:pPr>
              <w:pStyle w:val="25"/>
              <w:keepNext w:val="0"/>
              <w:keepLines w:val="0"/>
              <w:widowControl/>
              <w:suppressLineNumbers w:val="0"/>
              <w:spacing w:before="120" w:beforeLines="50" w:beforeAutospacing="0" w:after="0" w:afterAutospacing="0"/>
              <w:ind w:left="0" w:right="0" w:firstLine="0" w:firstLineChars="0"/>
              <w:jc w:val="center"/>
              <w:rPr>
                <w:b/>
                <w:bCs/>
                <w:color w:val="auto"/>
                <w:kern w:val="0"/>
                <w:szCs w:val="21"/>
                <w:highlight w:val="none"/>
                <w:lang w:val="en-US"/>
              </w:rPr>
            </w:pPr>
            <w:r>
              <w:rPr>
                <w:rFonts w:hint="eastAsia" w:ascii="Times New Roman" w:hAnsi="Times New Roman" w:eastAsia="宋体" w:cs="宋体"/>
                <w:b/>
                <w:bCs/>
                <w:color w:val="auto"/>
                <w:kern w:val="0"/>
                <w:sz w:val="21"/>
                <w:szCs w:val="21"/>
                <w:highlight w:val="none"/>
                <w:lang w:val="en-US" w:eastAsia="zh-CN" w:bidi="ar"/>
              </w:rPr>
              <w:t>表</w:t>
            </w:r>
            <w:r>
              <w:rPr>
                <w:rFonts w:hint="default" w:ascii="Times New Roman" w:hAnsi="Times New Roman" w:eastAsia="宋体" w:cs="Times New Roman"/>
                <w:b/>
                <w:bCs/>
                <w:color w:val="auto"/>
                <w:kern w:val="0"/>
                <w:sz w:val="21"/>
                <w:szCs w:val="21"/>
                <w:highlight w:val="none"/>
                <w:lang w:val="en-US" w:eastAsia="zh-CN" w:bidi="ar"/>
              </w:rPr>
              <w:t>4-</w:t>
            </w:r>
            <w:r>
              <w:rPr>
                <w:rFonts w:hint="eastAsia" w:ascii="Times New Roman" w:hAnsi="Times New Roman" w:cs="Times New Roman"/>
                <w:b/>
                <w:bCs/>
                <w:color w:val="auto"/>
                <w:kern w:val="0"/>
                <w:sz w:val="21"/>
                <w:szCs w:val="21"/>
                <w:highlight w:val="none"/>
                <w:lang w:val="en-US" w:eastAsia="zh-CN" w:bidi="ar"/>
              </w:rPr>
              <w:t>35</w:t>
            </w:r>
            <w:r>
              <w:rPr>
                <w:rFonts w:hint="default" w:ascii="Times New Roman" w:hAnsi="Times New Roman" w:eastAsia="宋体" w:cs="Times New Roman"/>
                <w:b/>
                <w:bCs/>
                <w:color w:val="auto"/>
                <w:kern w:val="0"/>
                <w:sz w:val="21"/>
                <w:szCs w:val="21"/>
                <w:highlight w:val="none"/>
                <w:lang w:val="en-US" w:eastAsia="zh-CN" w:bidi="ar"/>
              </w:rPr>
              <w:t xml:space="preserve"> </w:t>
            </w:r>
            <w:r>
              <w:rPr>
                <w:rFonts w:hint="eastAsia" w:ascii="Times New Roman" w:hAnsi="Times New Roman" w:eastAsia="宋体" w:cs="宋体"/>
                <w:b/>
                <w:bCs/>
                <w:color w:val="auto"/>
                <w:kern w:val="0"/>
                <w:sz w:val="21"/>
                <w:szCs w:val="21"/>
                <w:highlight w:val="none"/>
                <w:lang w:val="en-US" w:eastAsia="zh-CN" w:bidi="ar"/>
              </w:rPr>
              <w:t>环境保护图形符号一览表</w:t>
            </w:r>
          </w:p>
          <w:tbl>
            <w:tblPr>
              <w:tblStyle w:val="30"/>
              <w:tblW w:w="494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shd w:val="clear" w:color="auto" w:fill="auto"/>
              <w:tblLayout w:type="fixed"/>
              <w:tblCellMar>
                <w:top w:w="0" w:type="dxa"/>
                <w:left w:w="0" w:type="dxa"/>
                <w:bottom w:w="0" w:type="dxa"/>
                <w:right w:w="0" w:type="dxa"/>
              </w:tblCellMar>
            </w:tblPr>
            <w:tblGrid>
              <w:gridCol w:w="452"/>
              <w:gridCol w:w="513"/>
              <w:gridCol w:w="772"/>
              <w:gridCol w:w="2940"/>
              <w:gridCol w:w="3632"/>
            </w:tblGrid>
            <w:tr w14:paraId="73489229">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c>
                <w:tcPr>
                  <w:tcW w:w="271" w:type="pct"/>
                  <w:tcBorders>
                    <w:tl2br w:val="nil"/>
                    <w:tr2bl w:val="nil"/>
                  </w:tcBorders>
                  <w:shd w:val="clear" w:color="auto" w:fill="auto"/>
                  <w:vAlign w:val="center"/>
                </w:tcPr>
                <w:p w14:paraId="08E06233">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highlight w:val="none"/>
                      <w:lang w:val="en-US"/>
                    </w:rPr>
                  </w:pPr>
                  <w:r>
                    <w:rPr>
                      <w:rFonts w:hint="eastAsia" w:ascii="宋体" w:hAnsi="宋体" w:eastAsia="宋体" w:cs="宋体"/>
                      <w:b/>
                      <w:bCs/>
                      <w:color w:val="auto"/>
                      <w:kern w:val="0"/>
                      <w:sz w:val="21"/>
                      <w:szCs w:val="24"/>
                      <w:highlight w:val="none"/>
                      <w:lang w:val="en-US" w:eastAsia="zh-CN" w:bidi="ar"/>
                    </w:rPr>
                    <w:t>序号</w:t>
                  </w:r>
                </w:p>
              </w:tc>
              <w:tc>
                <w:tcPr>
                  <w:tcW w:w="773" w:type="pct"/>
                  <w:gridSpan w:val="2"/>
                  <w:tcBorders>
                    <w:tl2br w:val="nil"/>
                    <w:tr2bl w:val="nil"/>
                  </w:tcBorders>
                  <w:shd w:val="clear" w:color="auto" w:fill="auto"/>
                  <w:vAlign w:val="center"/>
                </w:tcPr>
                <w:p w14:paraId="6984409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highlight w:val="none"/>
                      <w:lang w:val="en-US"/>
                    </w:rPr>
                  </w:pPr>
                  <w:r>
                    <w:rPr>
                      <w:rFonts w:hint="eastAsia" w:ascii="宋体" w:hAnsi="宋体" w:eastAsia="宋体" w:cs="宋体"/>
                      <w:b/>
                      <w:bCs/>
                      <w:color w:val="auto"/>
                      <w:kern w:val="0"/>
                      <w:sz w:val="21"/>
                      <w:szCs w:val="24"/>
                      <w:highlight w:val="none"/>
                      <w:lang w:val="en-US" w:eastAsia="zh-CN" w:bidi="ar"/>
                    </w:rPr>
                    <w:t>标识名称</w:t>
                  </w:r>
                </w:p>
              </w:tc>
              <w:tc>
                <w:tcPr>
                  <w:tcW w:w="1769" w:type="pct"/>
                  <w:tcBorders>
                    <w:tl2br w:val="nil"/>
                    <w:tr2bl w:val="nil"/>
                  </w:tcBorders>
                  <w:shd w:val="clear" w:color="auto" w:fill="auto"/>
                  <w:vAlign w:val="center"/>
                </w:tcPr>
                <w:p w14:paraId="2803BB42">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highlight w:val="none"/>
                      <w:lang w:val="en-US"/>
                    </w:rPr>
                  </w:pPr>
                  <w:r>
                    <w:rPr>
                      <w:rFonts w:hint="eastAsia" w:ascii="宋体" w:hAnsi="宋体" w:eastAsia="宋体" w:cs="宋体"/>
                      <w:b/>
                      <w:bCs/>
                      <w:color w:val="auto"/>
                      <w:kern w:val="0"/>
                      <w:sz w:val="21"/>
                      <w:szCs w:val="24"/>
                      <w:highlight w:val="none"/>
                      <w:lang w:val="en-US" w:eastAsia="zh-CN" w:bidi="ar"/>
                    </w:rPr>
                    <w:t>图案样式</w:t>
                  </w:r>
                </w:p>
              </w:tc>
              <w:tc>
                <w:tcPr>
                  <w:tcW w:w="2185" w:type="pct"/>
                  <w:tcBorders>
                    <w:tl2br w:val="nil"/>
                    <w:tr2bl w:val="nil"/>
                  </w:tcBorders>
                  <w:shd w:val="clear" w:color="auto" w:fill="auto"/>
                  <w:vAlign w:val="center"/>
                </w:tcPr>
                <w:p w14:paraId="27B0B393">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highlight w:val="none"/>
                      <w:lang w:val="en-US"/>
                    </w:rPr>
                  </w:pPr>
                  <w:r>
                    <w:rPr>
                      <w:rFonts w:hint="eastAsia" w:ascii="宋体" w:hAnsi="宋体" w:eastAsia="宋体" w:cs="宋体"/>
                      <w:b/>
                      <w:bCs/>
                      <w:color w:val="auto"/>
                      <w:kern w:val="0"/>
                      <w:sz w:val="21"/>
                      <w:szCs w:val="24"/>
                      <w:highlight w:val="none"/>
                      <w:lang w:val="en-US" w:eastAsia="zh-CN" w:bidi="ar"/>
                    </w:rPr>
                    <w:t>设置规范</w:t>
                  </w:r>
                </w:p>
              </w:tc>
            </w:tr>
            <w:tr w14:paraId="44686D2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1971" w:hRule="atLeast"/>
              </w:trPr>
              <w:tc>
                <w:tcPr>
                  <w:tcW w:w="271" w:type="pct"/>
                  <w:tcBorders>
                    <w:tl2br w:val="nil"/>
                    <w:tr2bl w:val="nil"/>
                  </w:tcBorders>
                  <w:shd w:val="clear" w:color="auto" w:fill="auto"/>
                  <w:vAlign w:val="center"/>
                </w:tcPr>
                <w:p w14:paraId="485E535E">
                  <w:pPr>
                    <w:keepNext w:val="0"/>
                    <w:keepLines w:val="0"/>
                    <w:widowControl/>
                    <w:suppressLineNumbers w:val="0"/>
                    <w:adjustRightInd w:val="0"/>
                    <w:snapToGrid w:val="0"/>
                    <w:spacing w:before="0" w:beforeAutospacing="0" w:after="0" w:afterAutospacing="0"/>
                    <w:ind w:left="0" w:right="0"/>
                    <w:jc w:val="center"/>
                    <w:rPr>
                      <w:color w:val="auto"/>
                      <w:kern w:val="0"/>
                      <w:highlight w:val="none"/>
                      <w:lang w:val="en-US"/>
                    </w:rPr>
                  </w:pPr>
                  <w:r>
                    <w:rPr>
                      <w:rFonts w:hint="default" w:ascii="Times New Roman" w:hAnsi="Times New Roman" w:eastAsia="宋体" w:cs="Times New Roman"/>
                      <w:color w:val="auto"/>
                      <w:kern w:val="0"/>
                      <w:sz w:val="21"/>
                      <w:szCs w:val="24"/>
                      <w:highlight w:val="none"/>
                      <w:lang w:val="en-US" w:eastAsia="zh-CN" w:bidi="ar"/>
                    </w:rPr>
                    <w:t>1</w:t>
                  </w:r>
                </w:p>
              </w:tc>
              <w:tc>
                <w:tcPr>
                  <w:tcW w:w="308" w:type="pct"/>
                  <w:tcBorders>
                    <w:tl2br w:val="nil"/>
                    <w:tr2bl w:val="nil"/>
                  </w:tcBorders>
                  <w:shd w:val="clear" w:color="auto" w:fill="auto"/>
                  <w:vAlign w:val="center"/>
                </w:tcPr>
                <w:p w14:paraId="46BF38A2">
                  <w:pPr>
                    <w:keepNext w:val="0"/>
                    <w:keepLines w:val="0"/>
                    <w:widowControl/>
                    <w:suppressLineNumbers w:val="0"/>
                    <w:spacing w:before="0" w:beforeAutospacing="0" w:after="0" w:afterAutospacing="0"/>
                    <w:ind w:left="0" w:right="0"/>
                    <w:jc w:val="center"/>
                    <w:rPr>
                      <w:color w:val="auto"/>
                      <w:kern w:val="0"/>
                      <w:highlight w:val="none"/>
                      <w:lang w:val="en-US"/>
                    </w:rPr>
                  </w:pPr>
                  <w:r>
                    <w:rPr>
                      <w:rFonts w:hint="eastAsia" w:ascii="Times New Roman" w:hAnsi="Times New Roman" w:eastAsia="宋体" w:cs="宋体"/>
                      <w:color w:val="auto"/>
                      <w:kern w:val="0"/>
                      <w:sz w:val="21"/>
                      <w:szCs w:val="24"/>
                      <w:highlight w:val="none"/>
                      <w:lang w:val="en-US" w:eastAsia="zh-CN" w:bidi="ar"/>
                    </w:rPr>
                    <w:t>危险废物标签</w:t>
                  </w:r>
                </w:p>
              </w:tc>
              <w:tc>
                <w:tcPr>
                  <w:tcW w:w="464" w:type="pct"/>
                  <w:tcBorders>
                    <w:tl2br w:val="nil"/>
                    <w:tr2bl w:val="nil"/>
                  </w:tcBorders>
                  <w:shd w:val="clear" w:color="auto" w:fill="auto"/>
                  <w:vAlign w:val="center"/>
                </w:tcPr>
                <w:p w14:paraId="5E53202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lang w:val="en-US" w:bidi="ar"/>
                    </w:rPr>
                  </w:pPr>
                  <w:r>
                    <w:rPr>
                      <w:rFonts w:hint="eastAsia" w:ascii="宋体" w:hAnsi="宋体" w:eastAsia="宋体" w:cs="宋体"/>
                      <w:color w:val="auto"/>
                      <w:kern w:val="0"/>
                      <w:sz w:val="21"/>
                      <w:szCs w:val="24"/>
                      <w:highlight w:val="none"/>
                      <w:lang w:val="en-US" w:eastAsia="zh-CN" w:bidi="ar"/>
                    </w:rPr>
                    <w:t>危险废物标签</w:t>
                  </w:r>
                </w:p>
              </w:tc>
              <w:tc>
                <w:tcPr>
                  <w:tcW w:w="1769" w:type="pct"/>
                  <w:tcBorders>
                    <w:tl2br w:val="nil"/>
                    <w:tr2bl w:val="nil"/>
                  </w:tcBorders>
                  <w:shd w:val="clear" w:color="auto" w:fill="auto"/>
                  <w:vAlign w:val="center"/>
                </w:tcPr>
                <w:p w14:paraId="4174235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kern w:val="0"/>
                      <w:highlight w:val="none"/>
                      <w:lang w:val="en-US"/>
                    </w:rPr>
                  </w:pPr>
                  <w:r>
                    <w:rPr>
                      <w:rFonts w:hint="eastAsia" w:ascii="宋体" w:hAnsi="宋体" w:eastAsia="宋体" w:cs="宋体"/>
                      <w:color w:val="auto"/>
                      <w:kern w:val="0"/>
                      <w:sz w:val="21"/>
                      <w:szCs w:val="24"/>
                      <w:highlight w:val="none"/>
                      <w:lang w:val="en-US" w:eastAsia="zh-CN" w:bidi="ar"/>
                    </w:rPr>
                    <w:drawing>
                      <wp:inline distT="0" distB="0" distL="114300" distR="114300">
                        <wp:extent cx="1076325" cy="1076325"/>
                        <wp:effectExtent l="0" t="0" r="9525" b="9525"/>
                        <wp:docPr id="82" name="图片 199" descr="危险废物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9" descr="危险废物标签"/>
                                <pic:cNvPicPr>
                                  <a:picLocks noChangeAspect="1"/>
                                </pic:cNvPicPr>
                              </pic:nvPicPr>
                              <pic:blipFill>
                                <a:blip r:embed="rId31"/>
                                <a:stretch>
                                  <a:fillRect/>
                                </a:stretch>
                              </pic:blipFill>
                              <pic:spPr>
                                <a:xfrm>
                                  <a:off x="0" y="0"/>
                                  <a:ext cx="1076325" cy="1076325"/>
                                </a:xfrm>
                                <a:prstGeom prst="rect">
                                  <a:avLst/>
                                </a:prstGeom>
                                <a:noFill/>
                                <a:ln>
                                  <a:noFill/>
                                </a:ln>
                              </pic:spPr>
                            </pic:pic>
                          </a:graphicData>
                        </a:graphic>
                      </wp:inline>
                    </w:drawing>
                  </w:r>
                </w:p>
              </w:tc>
              <w:tc>
                <w:tcPr>
                  <w:tcW w:w="2185" w:type="pct"/>
                  <w:tcBorders>
                    <w:tl2br w:val="nil"/>
                    <w:tr2bl w:val="nil"/>
                  </w:tcBorders>
                  <w:shd w:val="clear" w:color="auto" w:fill="auto"/>
                  <w:vAlign w:val="center"/>
                </w:tcPr>
                <w:p w14:paraId="396BF399">
                  <w:pPr>
                    <w:keepNext w:val="0"/>
                    <w:keepLines w:val="0"/>
                    <w:widowControl/>
                    <w:suppressLineNumbers w:val="0"/>
                    <w:adjustRightInd w:val="0"/>
                    <w:snapToGrid w:val="0"/>
                    <w:spacing w:before="0" w:beforeAutospacing="0" w:after="0" w:afterAutospacing="0"/>
                    <w:ind w:left="0" w:right="0"/>
                    <w:jc w:val="both"/>
                    <w:rPr>
                      <w:color w:val="auto"/>
                      <w:kern w:val="0"/>
                      <w:szCs w:val="20"/>
                      <w:highlight w:val="none"/>
                      <w:lang w:val="en-US" w:bidi="ar"/>
                    </w:rPr>
                  </w:pPr>
                  <w:r>
                    <w:rPr>
                      <w:rFonts w:hint="eastAsia" w:ascii="Times New Roman" w:hAnsi="Times New Roman" w:eastAsia="宋体" w:cs="宋体"/>
                      <w:color w:val="auto"/>
                      <w:kern w:val="0"/>
                      <w:sz w:val="21"/>
                      <w:szCs w:val="20"/>
                      <w:highlight w:val="none"/>
                      <w:lang w:val="en-US" w:eastAsia="zh-CN" w:bidi="ar"/>
                    </w:rPr>
                    <w:t>危险废物标签的设置位置应明显可见且易读，不应被容器、包装物自身的任何部分或其他标签遮挡。</w:t>
                  </w:r>
                </w:p>
                <w:p w14:paraId="6CA4613E">
                  <w:pPr>
                    <w:keepNext w:val="0"/>
                    <w:keepLines w:val="0"/>
                    <w:widowControl/>
                    <w:suppressLineNumbers w:val="0"/>
                    <w:adjustRightInd w:val="0"/>
                    <w:snapToGrid w:val="0"/>
                    <w:spacing w:before="0" w:beforeAutospacing="0" w:after="0" w:afterAutospacing="0"/>
                    <w:ind w:left="0" w:right="0"/>
                    <w:jc w:val="both"/>
                    <w:rPr>
                      <w:color w:val="auto"/>
                      <w:kern w:val="0"/>
                      <w:sz w:val="20"/>
                      <w:szCs w:val="20"/>
                      <w:highlight w:val="none"/>
                      <w:lang w:val="en-US" w:bidi="ar"/>
                    </w:rPr>
                  </w:pPr>
                  <w:r>
                    <w:rPr>
                      <w:rFonts w:hint="eastAsia" w:ascii="Times New Roman" w:hAnsi="Times New Roman" w:eastAsia="宋体" w:cs="宋体"/>
                      <w:color w:val="auto"/>
                      <w:kern w:val="0"/>
                      <w:sz w:val="21"/>
                      <w:szCs w:val="20"/>
                      <w:highlight w:val="none"/>
                      <w:lang w:val="en-US" w:eastAsia="zh-CN" w:bidi="ar"/>
                    </w:rPr>
                    <w:t>在贮存池的或贮存设施内堆存的无包装或无容器的危险废物，宜在其附近参照危险废物标签的格式和内容设置柱式标志牌。</w:t>
                  </w:r>
                </w:p>
              </w:tc>
            </w:tr>
            <w:tr w14:paraId="44A69CD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c>
                <w:tcPr>
                  <w:tcW w:w="271" w:type="pct"/>
                  <w:tcBorders>
                    <w:tl2br w:val="nil"/>
                    <w:tr2bl w:val="nil"/>
                  </w:tcBorders>
                  <w:shd w:val="clear" w:color="auto" w:fill="auto"/>
                  <w:vAlign w:val="center"/>
                </w:tcPr>
                <w:p w14:paraId="645764ED">
                  <w:pPr>
                    <w:keepNext w:val="0"/>
                    <w:keepLines w:val="0"/>
                    <w:widowControl/>
                    <w:suppressLineNumbers w:val="0"/>
                    <w:adjustRightInd w:val="0"/>
                    <w:snapToGrid w:val="0"/>
                    <w:spacing w:before="0" w:beforeAutospacing="0" w:after="0" w:afterAutospacing="0"/>
                    <w:ind w:left="0" w:right="0"/>
                    <w:jc w:val="center"/>
                    <w:rPr>
                      <w:color w:val="auto"/>
                      <w:kern w:val="0"/>
                      <w:highlight w:val="none"/>
                      <w:lang w:val="en-US"/>
                    </w:rPr>
                  </w:pPr>
                  <w:r>
                    <w:rPr>
                      <w:rFonts w:hint="default" w:ascii="Times New Roman" w:hAnsi="Times New Roman" w:eastAsia="宋体" w:cs="Times New Roman"/>
                      <w:color w:val="auto"/>
                      <w:kern w:val="0"/>
                      <w:sz w:val="21"/>
                      <w:szCs w:val="24"/>
                      <w:highlight w:val="none"/>
                      <w:lang w:val="en-US" w:eastAsia="zh-CN" w:bidi="ar"/>
                    </w:rPr>
                    <w:t>2</w:t>
                  </w:r>
                </w:p>
              </w:tc>
              <w:tc>
                <w:tcPr>
                  <w:tcW w:w="308" w:type="pct"/>
                  <w:tcBorders>
                    <w:tl2br w:val="nil"/>
                    <w:tr2bl w:val="nil"/>
                  </w:tcBorders>
                  <w:shd w:val="clear" w:color="auto" w:fill="auto"/>
                  <w:vAlign w:val="center"/>
                </w:tcPr>
                <w:p w14:paraId="3D696C97">
                  <w:pPr>
                    <w:keepNext w:val="0"/>
                    <w:keepLines w:val="0"/>
                    <w:widowControl/>
                    <w:suppressLineNumbers w:val="0"/>
                    <w:spacing w:before="0" w:beforeAutospacing="0" w:after="0" w:afterAutospacing="0"/>
                    <w:ind w:left="0" w:right="0"/>
                    <w:jc w:val="center"/>
                    <w:rPr>
                      <w:color w:val="auto"/>
                      <w:kern w:val="0"/>
                      <w:highlight w:val="none"/>
                      <w:lang w:val="en-US"/>
                    </w:rPr>
                  </w:pPr>
                  <w:r>
                    <w:rPr>
                      <w:rFonts w:hint="eastAsia" w:ascii="Times New Roman" w:hAnsi="Times New Roman" w:eastAsia="宋体" w:cs="宋体"/>
                      <w:color w:val="auto"/>
                      <w:kern w:val="0"/>
                      <w:sz w:val="21"/>
                      <w:szCs w:val="24"/>
                      <w:highlight w:val="none"/>
                      <w:lang w:val="en-US" w:eastAsia="zh-CN" w:bidi="ar"/>
                    </w:rPr>
                    <w:t>危险废物贮存分区标志</w:t>
                  </w:r>
                </w:p>
              </w:tc>
              <w:tc>
                <w:tcPr>
                  <w:tcW w:w="464" w:type="pct"/>
                  <w:tcBorders>
                    <w:tl2br w:val="nil"/>
                    <w:tr2bl w:val="nil"/>
                  </w:tcBorders>
                  <w:shd w:val="clear" w:color="auto" w:fill="auto"/>
                  <w:vAlign w:val="center"/>
                </w:tcPr>
                <w:p w14:paraId="731E0D8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kern w:val="0"/>
                      <w:highlight w:val="none"/>
                      <w:lang w:val="en-US"/>
                    </w:rPr>
                  </w:pPr>
                  <w:r>
                    <w:rPr>
                      <w:rFonts w:hint="eastAsia" w:ascii="宋体" w:hAnsi="宋体" w:eastAsia="宋体" w:cs="宋体"/>
                      <w:color w:val="auto"/>
                      <w:kern w:val="0"/>
                      <w:sz w:val="21"/>
                      <w:szCs w:val="24"/>
                      <w:highlight w:val="none"/>
                      <w:lang w:val="en-US" w:eastAsia="zh-CN" w:bidi="ar"/>
                    </w:rPr>
                    <w:t>危险废物贮存分区标志标签</w:t>
                  </w:r>
                </w:p>
              </w:tc>
              <w:tc>
                <w:tcPr>
                  <w:tcW w:w="1769" w:type="pct"/>
                  <w:tcBorders>
                    <w:tl2br w:val="nil"/>
                    <w:tr2bl w:val="nil"/>
                  </w:tcBorders>
                  <w:shd w:val="clear" w:color="auto" w:fill="auto"/>
                  <w:vAlign w:val="center"/>
                </w:tcPr>
                <w:p w14:paraId="47BACEB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kern w:val="0"/>
                      <w:highlight w:val="none"/>
                      <w:lang w:val="en-US"/>
                    </w:rPr>
                  </w:pPr>
                  <w:r>
                    <w:rPr>
                      <w:rFonts w:hint="eastAsia" w:ascii="宋体" w:hAnsi="宋体" w:eastAsia="宋体" w:cs="宋体"/>
                      <w:color w:val="auto"/>
                      <w:kern w:val="0"/>
                      <w:sz w:val="21"/>
                      <w:szCs w:val="24"/>
                      <w:highlight w:val="none"/>
                      <w:lang w:val="en-US" w:eastAsia="zh-CN" w:bidi="ar"/>
                    </w:rPr>
                    <w:drawing>
                      <wp:inline distT="0" distB="0" distL="114300" distR="114300">
                        <wp:extent cx="1295400" cy="1076325"/>
                        <wp:effectExtent l="0" t="0" r="0" b="9525"/>
                        <wp:docPr id="30" name="图片 22" descr="危废贮存分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危废贮存分区标志"/>
                                <pic:cNvPicPr>
                                  <a:picLocks noChangeAspect="1"/>
                                </pic:cNvPicPr>
                              </pic:nvPicPr>
                              <pic:blipFill>
                                <a:blip r:embed="rId32"/>
                                <a:stretch>
                                  <a:fillRect/>
                                </a:stretch>
                              </pic:blipFill>
                              <pic:spPr>
                                <a:xfrm>
                                  <a:off x="0" y="0"/>
                                  <a:ext cx="1295400" cy="1076325"/>
                                </a:xfrm>
                                <a:prstGeom prst="rect">
                                  <a:avLst/>
                                </a:prstGeom>
                                <a:noFill/>
                                <a:ln>
                                  <a:noFill/>
                                </a:ln>
                              </pic:spPr>
                            </pic:pic>
                          </a:graphicData>
                        </a:graphic>
                      </wp:inline>
                    </w:drawing>
                  </w:r>
                </w:p>
              </w:tc>
              <w:tc>
                <w:tcPr>
                  <w:tcW w:w="2185" w:type="pct"/>
                  <w:tcBorders>
                    <w:tl2br w:val="nil"/>
                    <w:tr2bl w:val="nil"/>
                  </w:tcBorders>
                  <w:shd w:val="clear" w:color="auto" w:fill="auto"/>
                  <w:vAlign w:val="center"/>
                </w:tcPr>
                <w:p w14:paraId="260DC58B">
                  <w:pPr>
                    <w:keepNext w:val="0"/>
                    <w:keepLines w:val="0"/>
                    <w:widowControl/>
                    <w:suppressLineNumbers w:val="0"/>
                    <w:adjustRightInd w:val="0"/>
                    <w:snapToGrid w:val="0"/>
                    <w:spacing w:before="0" w:beforeAutospacing="0" w:after="0" w:afterAutospacing="0"/>
                    <w:ind w:left="0" w:right="0"/>
                    <w:jc w:val="both"/>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危险废物贮存分区的划分应满足</w:t>
                  </w:r>
                  <w:r>
                    <w:rPr>
                      <w:rFonts w:hint="default" w:ascii="Times New Roman" w:hAnsi="Times New Roman" w:eastAsia="宋体" w:cs="Times New Roman"/>
                      <w:color w:val="auto"/>
                      <w:kern w:val="0"/>
                      <w:sz w:val="21"/>
                      <w:szCs w:val="24"/>
                      <w:highlight w:val="none"/>
                      <w:lang w:val="en-US" w:eastAsia="zh-CN" w:bidi="ar"/>
                    </w:rPr>
                    <w:t>GB 18597</w:t>
                  </w:r>
                  <w:r>
                    <w:rPr>
                      <w:rFonts w:hint="eastAsia" w:ascii="Times New Roman" w:hAnsi="Times New Roman" w:eastAsia="宋体" w:cs="宋体"/>
                      <w:color w:val="auto"/>
                      <w:kern w:val="0"/>
                      <w:sz w:val="21"/>
                      <w:szCs w:val="24"/>
                      <w:highlight w:val="none"/>
                      <w:lang w:val="en-US" w:eastAsia="zh-CN" w:bidi="ar"/>
                    </w:rPr>
                    <w:t>中的有关规定。宜在危险废物贮存设施内的每一个贮存分区处设置危险废物贮存分区标志。贮存分区标志宜设置在该贮存分区前的通道位置或墙壁、栏杆等易于观察的位置。</w:t>
                  </w:r>
                </w:p>
              </w:tc>
            </w:tr>
            <w:tr w14:paraId="58C0190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c>
                <w:tcPr>
                  <w:tcW w:w="271" w:type="pct"/>
                  <w:vMerge w:val="restart"/>
                  <w:tcBorders>
                    <w:tl2br w:val="nil"/>
                    <w:tr2bl w:val="nil"/>
                  </w:tcBorders>
                  <w:shd w:val="clear" w:color="auto" w:fill="auto"/>
                  <w:vAlign w:val="center"/>
                </w:tcPr>
                <w:p w14:paraId="1A57235B">
                  <w:pPr>
                    <w:keepNext w:val="0"/>
                    <w:keepLines w:val="0"/>
                    <w:widowControl w:val="0"/>
                    <w:suppressLineNumbers w:val="0"/>
                    <w:adjustRightInd w:val="0"/>
                    <w:snapToGrid w:val="0"/>
                    <w:spacing w:before="0" w:beforeAutospacing="0" w:after="0" w:afterAutospacing="0"/>
                    <w:ind w:left="0" w:right="0"/>
                    <w:jc w:val="center"/>
                    <w:rPr>
                      <w:color w:val="auto"/>
                      <w:kern w:val="0"/>
                      <w:highlight w:val="none"/>
                      <w:lang w:val="en-US"/>
                    </w:rPr>
                  </w:pPr>
                  <w:r>
                    <w:rPr>
                      <w:rFonts w:hint="default" w:ascii="Times New Roman" w:hAnsi="Times New Roman" w:eastAsia="宋体" w:cs="Times New Roman"/>
                      <w:color w:val="auto"/>
                      <w:kern w:val="0"/>
                      <w:sz w:val="21"/>
                      <w:szCs w:val="24"/>
                      <w:highlight w:val="none"/>
                      <w:lang w:val="en-US" w:eastAsia="zh-CN" w:bidi="ar"/>
                    </w:rPr>
                    <w:t>3</w:t>
                  </w:r>
                </w:p>
              </w:tc>
              <w:tc>
                <w:tcPr>
                  <w:tcW w:w="308" w:type="pct"/>
                  <w:vMerge w:val="restart"/>
                  <w:tcBorders>
                    <w:tl2br w:val="nil"/>
                    <w:tr2bl w:val="nil"/>
                  </w:tcBorders>
                  <w:shd w:val="clear" w:color="auto" w:fill="auto"/>
                  <w:vAlign w:val="center"/>
                </w:tcPr>
                <w:p w14:paraId="6D4886D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highlight w:val="none"/>
                      <w:lang w:val="en-US"/>
                    </w:rPr>
                  </w:pPr>
                  <w:r>
                    <w:rPr>
                      <w:rFonts w:hint="eastAsia" w:ascii="宋体" w:hAnsi="宋体" w:eastAsia="宋体" w:cs="宋体"/>
                      <w:color w:val="auto"/>
                      <w:kern w:val="0"/>
                      <w:sz w:val="21"/>
                      <w:szCs w:val="24"/>
                      <w:highlight w:val="none"/>
                      <w:lang w:val="en-US" w:eastAsia="zh-CN" w:bidi="ar"/>
                    </w:rPr>
                    <w:t>危险废物设施标志示意图</w:t>
                  </w:r>
                </w:p>
              </w:tc>
              <w:tc>
                <w:tcPr>
                  <w:tcW w:w="464" w:type="pct"/>
                  <w:tcBorders>
                    <w:tl2br w:val="nil"/>
                    <w:tr2bl w:val="nil"/>
                  </w:tcBorders>
                  <w:shd w:val="clear" w:color="auto" w:fill="auto"/>
                  <w:vAlign w:val="center"/>
                </w:tcPr>
                <w:p w14:paraId="0F91691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lang w:val="en-US" w:bidi="ar"/>
                    </w:rPr>
                  </w:pPr>
                  <w:r>
                    <w:rPr>
                      <w:rFonts w:hint="eastAsia" w:ascii="宋体" w:hAnsi="宋体" w:eastAsia="宋体" w:cs="宋体"/>
                      <w:color w:val="auto"/>
                      <w:kern w:val="0"/>
                      <w:sz w:val="21"/>
                      <w:szCs w:val="24"/>
                      <w:highlight w:val="none"/>
                      <w:lang w:val="en-US" w:eastAsia="zh-CN" w:bidi="ar"/>
                    </w:rPr>
                    <w:t>横板危险废物</w:t>
                  </w:r>
                  <w:r>
                    <w:rPr>
                      <w:rFonts w:hint="eastAsia" w:ascii="Times New Roman" w:hAnsi="Times New Roman" w:eastAsia="宋体" w:cs="宋体"/>
                      <w:color w:val="auto"/>
                      <w:kern w:val="2"/>
                      <w:sz w:val="21"/>
                      <w:szCs w:val="24"/>
                      <w:highlight w:val="none"/>
                      <w:lang w:val="en-US" w:eastAsia="zh-CN" w:bidi="ar"/>
                    </w:rPr>
                    <w:t>贮存设施、贮存点标志</w:t>
                  </w:r>
                </w:p>
              </w:tc>
              <w:tc>
                <w:tcPr>
                  <w:tcW w:w="1769" w:type="pct"/>
                  <w:tcBorders>
                    <w:tl2br w:val="nil"/>
                    <w:tr2bl w:val="nil"/>
                  </w:tcBorders>
                  <w:shd w:val="clear" w:color="auto" w:fill="auto"/>
                  <w:vAlign w:val="center"/>
                </w:tcPr>
                <w:p w14:paraId="7051AE73">
                  <w:pPr>
                    <w:keepNext w:val="0"/>
                    <w:keepLines w:val="0"/>
                    <w:widowControl/>
                    <w:suppressLineNumbers w:val="0"/>
                    <w:adjustRightInd w:val="0"/>
                    <w:snapToGrid w:val="0"/>
                    <w:spacing w:before="0" w:beforeAutospacing="0" w:after="0" w:afterAutospacing="0"/>
                    <w:ind w:left="0" w:right="0"/>
                    <w:jc w:val="center"/>
                    <w:rPr>
                      <w:color w:val="auto"/>
                      <w:highlight w:val="none"/>
                      <w:lang w:val="en-US"/>
                    </w:rPr>
                  </w:pPr>
                  <w:r>
                    <w:rPr>
                      <w:rFonts w:hint="default" w:ascii="Times New Roman" w:hAnsi="Times New Roman" w:eastAsia="宋体" w:cs="Times New Roman"/>
                      <w:color w:val="auto"/>
                      <w:kern w:val="2"/>
                      <w:sz w:val="21"/>
                      <w:szCs w:val="24"/>
                      <w:highlight w:val="none"/>
                      <w:lang w:val="en-US" w:eastAsia="zh-CN" w:bidi="ar"/>
                    </w:rPr>
                    <w:drawing>
                      <wp:inline distT="0" distB="0" distL="114300" distR="114300">
                        <wp:extent cx="1428750" cy="876300"/>
                        <wp:effectExtent l="0" t="0" r="0" b="0"/>
                        <wp:docPr id="83" name="图片 1" descr="QQ截图2023061506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descr="QQ截图20230615065110"/>
                                <pic:cNvPicPr>
                                  <a:picLocks noChangeAspect="1"/>
                                </pic:cNvPicPr>
                              </pic:nvPicPr>
                              <pic:blipFill>
                                <a:blip r:embed="rId33"/>
                                <a:stretch>
                                  <a:fillRect/>
                                </a:stretch>
                              </pic:blipFill>
                              <pic:spPr>
                                <a:xfrm>
                                  <a:off x="0" y="0"/>
                                  <a:ext cx="1428750" cy="876300"/>
                                </a:xfrm>
                                <a:prstGeom prst="rect">
                                  <a:avLst/>
                                </a:prstGeom>
                                <a:noFill/>
                                <a:ln>
                                  <a:noFill/>
                                </a:ln>
                              </pic:spPr>
                            </pic:pic>
                          </a:graphicData>
                        </a:graphic>
                      </wp:inline>
                    </w:drawing>
                  </w:r>
                </w:p>
                <w:p w14:paraId="21AD1C51">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kern w:val="0"/>
                      <w:highlight w:val="none"/>
                      <w:lang w:val="en-US"/>
                    </w:rPr>
                  </w:pPr>
                  <w:r>
                    <w:rPr>
                      <w:rFonts w:hint="default" w:ascii="Times New Roman" w:hAnsi="Times New Roman" w:eastAsia="宋体" w:cs="Times New Roman"/>
                      <w:color w:val="auto"/>
                      <w:kern w:val="2"/>
                      <w:sz w:val="21"/>
                      <w:szCs w:val="24"/>
                      <w:highlight w:val="none"/>
                      <w:lang w:val="en-US" w:eastAsia="zh-CN" w:bidi="ar"/>
                    </w:rPr>
                    <w:drawing>
                      <wp:inline distT="0" distB="0" distL="114300" distR="114300">
                        <wp:extent cx="1457325" cy="889635"/>
                        <wp:effectExtent l="0" t="0" r="9525" b="5715"/>
                        <wp:docPr id="1" name="图片 9" descr="QQ截图2023061506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QQ截图20230615065126"/>
                                <pic:cNvPicPr>
                                  <a:picLocks noChangeAspect="1"/>
                                </pic:cNvPicPr>
                              </pic:nvPicPr>
                              <pic:blipFill>
                                <a:blip r:embed="rId34"/>
                                <a:stretch>
                                  <a:fillRect/>
                                </a:stretch>
                              </pic:blipFill>
                              <pic:spPr>
                                <a:xfrm>
                                  <a:off x="0" y="0"/>
                                  <a:ext cx="1457325" cy="889635"/>
                                </a:xfrm>
                                <a:prstGeom prst="rect">
                                  <a:avLst/>
                                </a:prstGeom>
                                <a:noFill/>
                                <a:ln>
                                  <a:noFill/>
                                </a:ln>
                              </pic:spPr>
                            </pic:pic>
                          </a:graphicData>
                        </a:graphic>
                      </wp:inline>
                    </w:drawing>
                  </w:r>
                </w:p>
              </w:tc>
              <w:tc>
                <w:tcPr>
                  <w:tcW w:w="2185" w:type="pct"/>
                  <w:vMerge w:val="restart"/>
                  <w:tcBorders>
                    <w:tl2br w:val="nil"/>
                    <w:tr2bl w:val="nil"/>
                  </w:tcBorders>
                  <w:shd w:val="clear" w:color="auto" w:fill="auto"/>
                  <w:vAlign w:val="center"/>
                </w:tcPr>
                <w:p w14:paraId="3D3F9BFA">
                  <w:pPr>
                    <w:keepNext w:val="0"/>
                    <w:keepLines w:val="0"/>
                    <w:widowControl/>
                    <w:suppressLineNumbers w:val="0"/>
                    <w:spacing w:before="0" w:beforeAutospacing="0" w:after="0" w:afterAutospacing="0"/>
                    <w:ind w:left="0" w:right="0"/>
                    <w:jc w:val="both"/>
                    <w:rPr>
                      <w:color w:val="auto"/>
                      <w:sz w:val="22"/>
                      <w:szCs w:val="24"/>
                      <w:highlight w:val="none"/>
                      <w:lang w:val="en-US"/>
                    </w:rPr>
                  </w:pPr>
                  <w:r>
                    <w:rPr>
                      <w:rFonts w:hint="eastAsia" w:ascii="宋体" w:hAnsi="宋体" w:eastAsia="宋体" w:cs="宋体"/>
                      <w:color w:val="auto"/>
                      <w:kern w:val="0"/>
                      <w:sz w:val="21"/>
                      <w:szCs w:val="20"/>
                      <w:highlight w:val="none"/>
                      <w:lang w:val="en-US" w:eastAsia="zh-CN" w:bidi="ar"/>
                    </w:rPr>
                    <w:t>对于有独立场所的危险废物贮存、利用、处置设施，应在场所外入口处的墙壁或栏杆显著位置设置相应的设施标志。</w:t>
                  </w:r>
                </w:p>
                <w:p w14:paraId="67E73128">
                  <w:pPr>
                    <w:keepNext w:val="0"/>
                    <w:keepLines w:val="0"/>
                    <w:widowControl/>
                    <w:suppressLineNumbers w:val="0"/>
                    <w:spacing w:before="0" w:beforeAutospacing="0" w:after="0" w:afterAutospacing="0"/>
                    <w:ind w:left="0" w:right="0"/>
                    <w:jc w:val="both"/>
                    <w:rPr>
                      <w:color w:val="auto"/>
                      <w:sz w:val="22"/>
                      <w:szCs w:val="24"/>
                      <w:highlight w:val="none"/>
                      <w:lang w:val="en-US"/>
                    </w:rPr>
                  </w:pPr>
                  <w:r>
                    <w:rPr>
                      <w:rFonts w:hint="eastAsia" w:ascii="宋体" w:hAnsi="宋体" w:eastAsia="宋体" w:cs="宋体"/>
                      <w:color w:val="auto"/>
                      <w:kern w:val="0"/>
                      <w:sz w:val="21"/>
                      <w:szCs w:val="20"/>
                      <w:highlight w:val="none"/>
                      <w:lang w:val="en-US" w:eastAsia="zh-CN" w:bidi="ar"/>
                    </w:rPr>
                    <w:t>位于建筑物内局部区域的危险废物贮存、利用、处置设施，应在其区域边界或入口处显著位置设置相应的标志。</w:t>
                  </w:r>
                </w:p>
                <w:p w14:paraId="2A549823">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highlight w:val="none"/>
                      <w:lang w:val="en-US"/>
                    </w:rPr>
                  </w:pPr>
                  <w:r>
                    <w:rPr>
                      <w:rFonts w:hint="eastAsia" w:ascii="宋体" w:hAnsi="宋体" w:eastAsia="宋体" w:cs="宋体"/>
                      <w:color w:val="auto"/>
                      <w:kern w:val="0"/>
                      <w:sz w:val="21"/>
                      <w:szCs w:val="20"/>
                      <w:highlight w:val="none"/>
                      <w:lang w:val="en-US" w:eastAsia="zh-CN" w:bidi="ar"/>
                    </w:rPr>
                    <w:t>对于危险废物填埋场等开放式的危险废物相关设施，除了固定的入口处之外，还可根据环境管理需要在相关位置设置更多的标志。</w:t>
                  </w:r>
                </w:p>
              </w:tc>
            </w:tr>
            <w:tr w14:paraId="64BC75D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c>
                <w:tcPr>
                  <w:tcW w:w="271" w:type="pct"/>
                  <w:vMerge w:val="continue"/>
                  <w:tcBorders>
                    <w:tl2br w:val="nil"/>
                    <w:tr2bl w:val="nil"/>
                  </w:tcBorders>
                  <w:shd w:val="clear" w:color="auto" w:fill="auto"/>
                  <w:vAlign w:val="center"/>
                </w:tcPr>
                <w:p w14:paraId="449D924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08" w:type="pct"/>
                  <w:vMerge w:val="continue"/>
                  <w:tcBorders>
                    <w:tl2br w:val="nil"/>
                    <w:tr2bl w:val="nil"/>
                  </w:tcBorders>
                  <w:shd w:val="clear" w:color="auto" w:fill="auto"/>
                  <w:vAlign w:val="center"/>
                </w:tcPr>
                <w:p w14:paraId="6A94DCB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464" w:type="pct"/>
                  <w:tcBorders>
                    <w:tl2br w:val="nil"/>
                    <w:tr2bl w:val="nil"/>
                  </w:tcBorders>
                  <w:shd w:val="clear" w:color="auto" w:fill="auto"/>
                  <w:vAlign w:val="center"/>
                </w:tcPr>
                <w:p w14:paraId="5CFA070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lang w:val="en-US"/>
                    </w:rPr>
                  </w:pPr>
                  <w:r>
                    <w:rPr>
                      <w:rFonts w:hint="eastAsia" w:ascii="宋体" w:hAnsi="宋体" w:eastAsia="宋体" w:cs="宋体"/>
                      <w:color w:val="auto"/>
                      <w:kern w:val="0"/>
                      <w:sz w:val="21"/>
                      <w:szCs w:val="24"/>
                      <w:highlight w:val="none"/>
                      <w:lang w:val="en-US" w:eastAsia="zh-CN" w:bidi="ar"/>
                    </w:rPr>
                    <w:t>竖版危险废物</w:t>
                  </w:r>
                  <w:r>
                    <w:rPr>
                      <w:rFonts w:hint="eastAsia" w:ascii="Times New Roman" w:hAnsi="Times New Roman" w:eastAsia="宋体" w:cs="宋体"/>
                      <w:color w:val="auto"/>
                      <w:kern w:val="2"/>
                      <w:sz w:val="21"/>
                      <w:szCs w:val="24"/>
                      <w:highlight w:val="none"/>
                      <w:lang w:val="en-US" w:eastAsia="zh-CN" w:bidi="ar"/>
                    </w:rPr>
                    <w:t>贮存设施、贮存点标志</w:t>
                  </w:r>
                </w:p>
              </w:tc>
              <w:tc>
                <w:tcPr>
                  <w:tcW w:w="1769" w:type="pct"/>
                  <w:tcBorders>
                    <w:tl2br w:val="nil"/>
                    <w:tr2bl w:val="nil"/>
                  </w:tcBorders>
                  <w:shd w:val="clear" w:color="auto" w:fill="auto"/>
                  <w:vAlign w:val="center"/>
                </w:tcPr>
                <w:p w14:paraId="739461B1">
                  <w:pPr>
                    <w:keepNext w:val="0"/>
                    <w:keepLines w:val="0"/>
                    <w:widowControl/>
                    <w:suppressLineNumbers w:val="0"/>
                    <w:adjustRightInd w:val="0"/>
                    <w:snapToGrid w:val="0"/>
                    <w:spacing w:before="0" w:beforeAutospacing="0" w:after="0" w:afterAutospacing="0"/>
                    <w:ind w:left="0" w:right="0"/>
                    <w:jc w:val="center"/>
                    <w:rPr>
                      <w:color w:val="auto"/>
                      <w:highlight w:val="none"/>
                    </w:rPr>
                  </w:pPr>
                  <w:r>
                    <w:rPr>
                      <w:rFonts w:hint="default" w:ascii="Times New Roman" w:hAnsi="Times New Roman" w:eastAsia="宋体" w:cs="Times New Roman"/>
                      <w:color w:val="auto"/>
                      <w:kern w:val="2"/>
                      <w:sz w:val="21"/>
                      <w:szCs w:val="24"/>
                      <w:highlight w:val="none"/>
                      <w:lang w:val="en-US" w:eastAsia="zh-CN" w:bidi="ar"/>
                    </w:rPr>
                    <w:drawing>
                      <wp:inline distT="0" distB="0" distL="114300" distR="114300">
                        <wp:extent cx="800100" cy="1304925"/>
                        <wp:effectExtent l="0" t="0" r="0" b="9525"/>
                        <wp:docPr id="2" name="图片 10" descr="QQ截图2023061506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QQ截图20230615065144"/>
                                <pic:cNvPicPr>
                                  <a:picLocks noChangeAspect="1"/>
                                </pic:cNvPicPr>
                              </pic:nvPicPr>
                              <pic:blipFill>
                                <a:blip r:embed="rId35"/>
                                <a:stretch>
                                  <a:fillRect/>
                                </a:stretch>
                              </pic:blipFill>
                              <pic:spPr>
                                <a:xfrm>
                                  <a:off x="0" y="0"/>
                                  <a:ext cx="800100" cy="1304925"/>
                                </a:xfrm>
                                <a:prstGeom prst="rect">
                                  <a:avLst/>
                                </a:prstGeom>
                                <a:noFill/>
                                <a:ln>
                                  <a:noFill/>
                                </a:ln>
                              </pic:spPr>
                            </pic:pic>
                          </a:graphicData>
                        </a:graphic>
                      </wp:inline>
                    </w:drawing>
                  </w:r>
                  <w:r>
                    <w:rPr>
                      <w:rFonts w:hint="default" w:ascii="Times New Roman" w:hAnsi="Times New Roman" w:eastAsia="宋体" w:cs="Times New Roman"/>
                      <w:color w:val="auto"/>
                      <w:kern w:val="2"/>
                      <w:sz w:val="21"/>
                      <w:szCs w:val="24"/>
                      <w:highlight w:val="none"/>
                      <w:lang w:val="en-US" w:eastAsia="zh-CN" w:bidi="ar"/>
                    </w:rPr>
                    <w:drawing>
                      <wp:inline distT="0" distB="0" distL="114300" distR="114300">
                        <wp:extent cx="819150" cy="1304925"/>
                        <wp:effectExtent l="0" t="0" r="0" b="9525"/>
                        <wp:docPr id="80" name="图片 11" descr="QQ截图2023061506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descr="QQ截图20230615065155"/>
                                <pic:cNvPicPr>
                                  <a:picLocks noChangeAspect="1"/>
                                </pic:cNvPicPr>
                              </pic:nvPicPr>
                              <pic:blipFill>
                                <a:blip r:embed="rId36"/>
                                <a:stretch>
                                  <a:fillRect/>
                                </a:stretch>
                              </pic:blipFill>
                              <pic:spPr>
                                <a:xfrm>
                                  <a:off x="0" y="0"/>
                                  <a:ext cx="819150" cy="1304925"/>
                                </a:xfrm>
                                <a:prstGeom prst="rect">
                                  <a:avLst/>
                                </a:prstGeom>
                                <a:noFill/>
                                <a:ln>
                                  <a:noFill/>
                                </a:ln>
                              </pic:spPr>
                            </pic:pic>
                          </a:graphicData>
                        </a:graphic>
                      </wp:inline>
                    </w:drawing>
                  </w:r>
                </w:p>
              </w:tc>
              <w:tc>
                <w:tcPr>
                  <w:tcW w:w="2185" w:type="pct"/>
                  <w:vMerge w:val="continue"/>
                  <w:tcBorders>
                    <w:tl2br w:val="nil"/>
                    <w:tr2bl w:val="nil"/>
                  </w:tcBorders>
                  <w:shd w:val="clear" w:color="auto" w:fill="auto"/>
                  <w:vAlign w:val="center"/>
                </w:tcPr>
                <w:p w14:paraId="4FA3BCE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bl>
          <w:p w14:paraId="204578A5">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textAlignment w:val="auto"/>
              <w:rPr>
                <w:color w:val="auto"/>
                <w:highlight w:val="none"/>
              </w:rPr>
            </w:pPr>
            <w:r>
              <w:rPr>
                <w:rFonts w:hint="eastAsia"/>
                <w:b/>
                <w:bCs/>
                <w:color w:val="auto"/>
                <w:szCs w:val="21"/>
                <w:highlight w:val="none"/>
                <w:lang w:val="en-US" w:eastAsia="zh-CN"/>
              </w:rPr>
              <w:t>五、</w:t>
            </w:r>
            <w:r>
              <w:rPr>
                <w:rFonts w:hint="eastAsia"/>
                <w:b/>
                <w:bCs/>
                <w:color w:val="auto"/>
                <w:szCs w:val="21"/>
                <w:highlight w:val="none"/>
              </w:rPr>
              <w:t>地下水</w:t>
            </w:r>
            <w:r>
              <w:rPr>
                <w:rStyle w:val="39"/>
                <w:rFonts w:hint="eastAsia"/>
                <w:b/>
                <w:bCs/>
                <w:color w:val="auto"/>
                <w:kern w:val="0"/>
                <w:szCs w:val="20"/>
                <w:highlight w:val="none"/>
              </w:rPr>
              <w:t>、土壤</w:t>
            </w:r>
          </w:p>
          <w:p w14:paraId="250E4046">
            <w:pPr>
              <w:widowControl/>
              <w:spacing w:line="360" w:lineRule="auto"/>
              <w:ind w:firstLine="420" w:firstLineChars="200"/>
              <w:jc w:val="left"/>
              <w:rPr>
                <w:rFonts w:ascii="宋体" w:hAnsi="宋体" w:cs="宋体"/>
                <w:color w:val="auto"/>
                <w:kern w:val="0"/>
                <w:szCs w:val="21"/>
                <w:highlight w:val="none"/>
                <w:lang w:bidi="ar"/>
              </w:rPr>
            </w:pPr>
            <w:r>
              <w:rPr>
                <w:color w:val="auto"/>
                <w:kern w:val="0"/>
                <w:szCs w:val="21"/>
                <w:highlight w:val="none"/>
                <w:lang w:bidi="ar"/>
              </w:rPr>
              <w:t>根据项目工程分析、原辅材料存在状态和污染物产生情况，营运期能造成土壤及地下水的污染途径主要包括：</w:t>
            </w:r>
            <w:r>
              <w:rPr>
                <w:rFonts w:hint="eastAsia"/>
                <w:color w:val="auto"/>
                <w:kern w:val="0"/>
                <w:szCs w:val="21"/>
                <w:highlight w:val="none"/>
                <w:lang w:bidi="ar"/>
              </w:rPr>
              <w:t>原料仓库、</w:t>
            </w:r>
            <w:r>
              <w:rPr>
                <w:rFonts w:hint="eastAsia"/>
                <w:color w:val="auto"/>
                <w:kern w:val="0"/>
                <w:szCs w:val="21"/>
                <w:highlight w:val="none"/>
                <w:lang w:val="en-US" w:eastAsia="zh-CN" w:bidi="ar"/>
              </w:rPr>
              <w:t>生产</w:t>
            </w:r>
            <w:r>
              <w:rPr>
                <w:rFonts w:hint="eastAsia"/>
                <w:color w:val="auto"/>
                <w:kern w:val="0"/>
                <w:szCs w:val="21"/>
                <w:highlight w:val="none"/>
                <w:lang w:bidi="ar"/>
              </w:rPr>
              <w:t>车间</w:t>
            </w:r>
            <w:r>
              <w:rPr>
                <w:color w:val="auto"/>
                <w:kern w:val="0"/>
                <w:szCs w:val="21"/>
                <w:highlight w:val="none"/>
                <w:lang w:bidi="ar"/>
              </w:rPr>
              <w:t>、危废暂存间、</w:t>
            </w:r>
            <w:r>
              <w:rPr>
                <w:rFonts w:hint="eastAsia"/>
                <w:color w:val="auto"/>
                <w:kern w:val="0"/>
                <w:szCs w:val="21"/>
                <w:highlight w:val="none"/>
                <w:lang w:val="en-US" w:eastAsia="zh-CN" w:bidi="ar"/>
              </w:rPr>
              <w:t>废气处理设施、废水处理设施</w:t>
            </w:r>
            <w:r>
              <w:rPr>
                <w:rFonts w:hint="eastAsia" w:ascii="宋体" w:hAnsi="宋体" w:cs="宋体"/>
                <w:color w:val="auto"/>
                <w:kern w:val="0"/>
                <w:szCs w:val="21"/>
                <w:highlight w:val="none"/>
                <w:lang w:bidi="ar"/>
              </w:rPr>
              <w:t>等。在这些区域，使用或存储不当引起泄漏或渗漏，有可能会污染土壤和地下水。</w:t>
            </w:r>
          </w:p>
          <w:p w14:paraId="3F957AFE">
            <w:pPr>
              <w:widowControl/>
              <w:spacing w:line="360" w:lineRule="auto"/>
              <w:ind w:firstLine="420" w:firstLineChars="200"/>
              <w:jc w:val="left"/>
              <w:rPr>
                <w:rFonts w:ascii="宋体" w:hAnsi="宋体" w:cs="宋体"/>
                <w:color w:val="auto"/>
                <w:szCs w:val="21"/>
                <w:highlight w:val="none"/>
                <w:lang w:bidi="ar"/>
              </w:rPr>
            </w:pPr>
            <w:r>
              <w:rPr>
                <w:rFonts w:hint="eastAsia" w:ascii="宋体" w:hAnsi="宋体" w:cs="宋体"/>
                <w:color w:val="auto"/>
                <w:kern w:val="0"/>
                <w:szCs w:val="21"/>
                <w:highlight w:val="none"/>
                <w:lang w:bidi="ar"/>
              </w:rPr>
              <w:t>正常状况下，</w:t>
            </w:r>
            <w:r>
              <w:rPr>
                <w:rFonts w:hint="eastAsia"/>
                <w:color w:val="auto"/>
                <w:kern w:val="0"/>
                <w:szCs w:val="21"/>
                <w:highlight w:val="none"/>
                <w:lang w:bidi="ar"/>
              </w:rPr>
              <w:t>原料仓库、</w:t>
            </w:r>
            <w:r>
              <w:rPr>
                <w:rFonts w:hint="eastAsia"/>
                <w:color w:val="auto"/>
                <w:kern w:val="0"/>
                <w:szCs w:val="21"/>
                <w:highlight w:val="none"/>
                <w:lang w:val="en-US" w:eastAsia="zh-CN" w:bidi="ar"/>
              </w:rPr>
              <w:t>生产</w:t>
            </w:r>
            <w:r>
              <w:rPr>
                <w:rFonts w:hint="eastAsia"/>
                <w:color w:val="auto"/>
                <w:kern w:val="0"/>
                <w:szCs w:val="21"/>
                <w:highlight w:val="none"/>
                <w:lang w:bidi="ar"/>
              </w:rPr>
              <w:t>车间</w:t>
            </w:r>
            <w:r>
              <w:rPr>
                <w:color w:val="auto"/>
                <w:kern w:val="0"/>
                <w:szCs w:val="21"/>
                <w:highlight w:val="none"/>
                <w:lang w:bidi="ar"/>
              </w:rPr>
              <w:t>、危废暂存间、</w:t>
            </w:r>
            <w:r>
              <w:rPr>
                <w:rFonts w:hint="eastAsia"/>
                <w:color w:val="auto"/>
                <w:kern w:val="0"/>
                <w:szCs w:val="21"/>
                <w:highlight w:val="none"/>
                <w:lang w:val="en-US" w:eastAsia="zh-CN" w:bidi="ar"/>
              </w:rPr>
              <w:t>废气处理设施、废水处理设施</w:t>
            </w:r>
            <w:r>
              <w:rPr>
                <w:rFonts w:hint="eastAsia" w:ascii="宋体" w:hAnsi="宋体" w:cs="宋体"/>
                <w:color w:val="auto"/>
                <w:kern w:val="0"/>
                <w:szCs w:val="21"/>
                <w:highlight w:val="none"/>
                <w:lang w:bidi="ar"/>
              </w:rPr>
              <w:t>等按要求进行防渗、防溢流、防泄漏、防腐蚀等设计，在措施未发生破坏、正常运行情况，不会有污染物进入土壤和地下水。非正常状况下，如防渗措施因老化造成局部失效、雨水等进入危废仓库，危废包装破损等情况同时发生时，危废库内的污染物可能会下渗影响土壤和地下水。</w:t>
            </w:r>
            <w:r>
              <w:rPr>
                <w:rFonts w:hint="eastAsia" w:ascii="宋体" w:hAnsi="宋体" w:cs="宋体"/>
                <w:color w:val="auto"/>
                <w:kern w:val="0"/>
                <w:szCs w:val="21"/>
                <w:highlight w:val="none"/>
                <w:lang w:val="en-US" w:eastAsia="zh-CN" w:bidi="ar"/>
              </w:rPr>
              <w:t>废气处理措施、废水处理设施</w:t>
            </w:r>
            <w:r>
              <w:rPr>
                <w:rFonts w:hint="eastAsia" w:ascii="宋体" w:hAnsi="宋体" w:cs="宋体"/>
                <w:color w:val="auto"/>
                <w:kern w:val="0"/>
                <w:szCs w:val="21"/>
                <w:highlight w:val="none"/>
                <w:lang w:bidi="ar"/>
              </w:rPr>
              <w:t>防渗措施破损时，污染物也可能下渗影响土壤和地下水。</w:t>
            </w:r>
          </w:p>
          <w:p w14:paraId="0A05B26A">
            <w:pPr>
              <w:pStyle w:val="10"/>
              <w:spacing w:before="0" w:after="0" w:line="360" w:lineRule="auto"/>
              <w:ind w:right="0" w:firstLine="420" w:firstLineChars="200"/>
              <w:rPr>
                <w:color w:val="auto"/>
                <w:sz w:val="21"/>
                <w:szCs w:val="21"/>
                <w:highlight w:val="none"/>
              </w:rPr>
            </w:pPr>
            <w:r>
              <w:rPr>
                <w:rFonts w:hint="eastAsia"/>
                <w:color w:val="auto"/>
                <w:sz w:val="21"/>
                <w:szCs w:val="21"/>
                <w:highlight w:val="none"/>
              </w:rPr>
              <w:t>A、源头控制</w:t>
            </w:r>
          </w:p>
          <w:p w14:paraId="07BE9798">
            <w:pPr>
              <w:widowControl/>
              <w:spacing w:line="360" w:lineRule="auto"/>
              <w:ind w:firstLine="420" w:firstLineChars="200"/>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①定期对</w:t>
            </w:r>
            <w:r>
              <w:rPr>
                <w:rFonts w:hint="eastAsia"/>
                <w:color w:val="auto"/>
                <w:kern w:val="0"/>
                <w:szCs w:val="21"/>
                <w:highlight w:val="none"/>
                <w:lang w:bidi="ar"/>
              </w:rPr>
              <w:t>原料仓库、</w:t>
            </w:r>
            <w:r>
              <w:rPr>
                <w:rFonts w:hint="eastAsia"/>
                <w:color w:val="auto"/>
                <w:kern w:val="0"/>
                <w:szCs w:val="21"/>
                <w:highlight w:val="none"/>
                <w:lang w:val="en-US" w:eastAsia="zh-CN" w:bidi="ar"/>
              </w:rPr>
              <w:t>生产</w:t>
            </w:r>
            <w:r>
              <w:rPr>
                <w:rFonts w:hint="eastAsia"/>
                <w:color w:val="auto"/>
                <w:kern w:val="0"/>
                <w:szCs w:val="21"/>
                <w:highlight w:val="none"/>
                <w:lang w:bidi="ar"/>
              </w:rPr>
              <w:t>车间</w:t>
            </w:r>
            <w:r>
              <w:rPr>
                <w:color w:val="auto"/>
                <w:kern w:val="0"/>
                <w:szCs w:val="21"/>
                <w:highlight w:val="none"/>
                <w:lang w:bidi="ar"/>
              </w:rPr>
              <w:t>、危废暂存间、</w:t>
            </w:r>
            <w:r>
              <w:rPr>
                <w:rFonts w:hint="eastAsia"/>
                <w:color w:val="auto"/>
                <w:kern w:val="0"/>
                <w:szCs w:val="21"/>
                <w:highlight w:val="none"/>
                <w:lang w:val="en-US" w:eastAsia="zh-CN" w:bidi="ar"/>
              </w:rPr>
              <w:t>废气处理设施、废水处理设施</w:t>
            </w:r>
            <w:r>
              <w:rPr>
                <w:rFonts w:hint="eastAsia" w:ascii="宋体" w:hAnsi="宋体" w:cs="宋体"/>
                <w:color w:val="auto"/>
                <w:kern w:val="0"/>
                <w:szCs w:val="21"/>
                <w:highlight w:val="none"/>
                <w:lang w:bidi="ar"/>
              </w:rPr>
              <w:t xml:space="preserve">进行检修维护，防止和降低污染物跑、冒、滴、漏，将污染物泄漏的环境风险事故降到最低程度； </w:t>
            </w:r>
          </w:p>
          <w:p w14:paraId="46E79F32">
            <w:pPr>
              <w:widowControl/>
              <w:spacing w:line="360" w:lineRule="auto"/>
              <w:ind w:firstLine="420" w:firstLineChars="200"/>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②管线敷设尽量采用“可视化”原则，即管道尽可能地上敷设，做到污染物“早发现、早处理”，减少由于埋地管道泄漏而造成的地下水污染。</w:t>
            </w:r>
          </w:p>
          <w:p w14:paraId="655AED83">
            <w:pPr>
              <w:pStyle w:val="10"/>
              <w:spacing w:before="0" w:after="0" w:line="360" w:lineRule="auto"/>
              <w:ind w:right="0" w:firstLine="420" w:firstLineChars="20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③定期检查</w:t>
            </w:r>
            <w:r>
              <w:rPr>
                <w:rFonts w:hint="eastAsia"/>
                <w:color w:val="auto"/>
                <w:kern w:val="0"/>
                <w:sz w:val="21"/>
                <w:szCs w:val="21"/>
                <w:highlight w:val="none"/>
                <w:lang w:bidi="ar"/>
              </w:rPr>
              <w:t>原料仓库、</w:t>
            </w:r>
            <w:r>
              <w:rPr>
                <w:rFonts w:hint="eastAsia"/>
                <w:color w:val="auto"/>
                <w:kern w:val="0"/>
                <w:sz w:val="21"/>
                <w:szCs w:val="21"/>
                <w:highlight w:val="none"/>
                <w:lang w:val="en-US" w:eastAsia="zh-CN" w:bidi="ar"/>
              </w:rPr>
              <w:t>生产</w:t>
            </w:r>
            <w:r>
              <w:rPr>
                <w:rFonts w:hint="eastAsia"/>
                <w:color w:val="auto"/>
                <w:kern w:val="0"/>
                <w:sz w:val="21"/>
                <w:szCs w:val="21"/>
                <w:highlight w:val="none"/>
                <w:lang w:bidi="ar"/>
              </w:rPr>
              <w:t>车间</w:t>
            </w:r>
            <w:r>
              <w:rPr>
                <w:color w:val="auto"/>
                <w:kern w:val="0"/>
                <w:sz w:val="21"/>
                <w:szCs w:val="21"/>
                <w:highlight w:val="none"/>
                <w:lang w:bidi="ar"/>
              </w:rPr>
              <w:t>、危废暂存间、</w:t>
            </w:r>
            <w:r>
              <w:rPr>
                <w:rFonts w:hint="eastAsia"/>
                <w:color w:val="auto"/>
                <w:kern w:val="0"/>
                <w:sz w:val="21"/>
                <w:szCs w:val="21"/>
                <w:highlight w:val="none"/>
                <w:lang w:val="en-US" w:eastAsia="zh-CN" w:bidi="ar"/>
              </w:rPr>
              <w:t>废气处理设施</w:t>
            </w:r>
            <w:r>
              <w:rPr>
                <w:rFonts w:hint="eastAsia" w:ascii="宋体" w:hAnsi="宋体" w:cs="宋体"/>
                <w:color w:val="auto"/>
                <w:sz w:val="21"/>
                <w:szCs w:val="21"/>
                <w:highlight w:val="none"/>
                <w:lang w:bidi="ar"/>
              </w:rPr>
              <w:t>防渗层，一旦发现破损情渗层，一旦发现破损情况，及时修复。</w:t>
            </w:r>
          </w:p>
          <w:p w14:paraId="6A3AD603">
            <w:pPr>
              <w:pStyle w:val="10"/>
              <w:spacing w:before="0" w:after="0" w:line="360" w:lineRule="auto"/>
              <w:ind w:right="0" w:firstLine="420" w:firstLineChars="200"/>
              <w:rPr>
                <w:color w:val="auto"/>
                <w:sz w:val="21"/>
                <w:szCs w:val="21"/>
                <w:highlight w:val="none"/>
              </w:rPr>
            </w:pPr>
            <w:r>
              <w:rPr>
                <w:rFonts w:hint="eastAsia"/>
                <w:color w:val="auto"/>
                <w:sz w:val="21"/>
                <w:szCs w:val="21"/>
                <w:highlight w:val="none"/>
              </w:rPr>
              <w:t>B、分区防治措施</w:t>
            </w:r>
          </w:p>
          <w:p w14:paraId="1C76D7C7">
            <w:pPr>
              <w:spacing w:line="360" w:lineRule="auto"/>
              <w:ind w:firstLine="420" w:firstLineChars="200"/>
              <w:rPr>
                <w:color w:val="auto"/>
                <w:szCs w:val="21"/>
                <w:highlight w:val="none"/>
              </w:rPr>
            </w:pPr>
            <w:r>
              <w:rPr>
                <w:rFonts w:hint="eastAsia"/>
                <w:color w:val="auto"/>
                <w:szCs w:val="21"/>
                <w:highlight w:val="none"/>
              </w:rPr>
              <w:t>针对项目特点，厂区污染防渗措施参照《环境影响评价技术导则 地下水环境》（HJ610-2016）规定的防渗标准，结合目前施工过程中的可操作性和技术水平，针对本项目厂区不同区域，划分为重点防渗区、一般防渗区和简单防渗区。重点防渗区包括</w:t>
            </w:r>
            <w:r>
              <w:rPr>
                <w:rFonts w:hint="eastAsia"/>
                <w:color w:val="auto"/>
                <w:kern w:val="0"/>
                <w:szCs w:val="21"/>
                <w:highlight w:val="none"/>
                <w:lang w:bidi="ar"/>
              </w:rPr>
              <w:t>原料仓库、</w:t>
            </w:r>
            <w:r>
              <w:rPr>
                <w:rFonts w:hint="eastAsia"/>
                <w:color w:val="auto"/>
                <w:kern w:val="0"/>
                <w:szCs w:val="21"/>
                <w:highlight w:val="none"/>
                <w:lang w:val="en-US" w:eastAsia="zh-CN" w:bidi="ar"/>
              </w:rPr>
              <w:t>生产</w:t>
            </w:r>
            <w:r>
              <w:rPr>
                <w:rFonts w:hint="eastAsia"/>
                <w:color w:val="auto"/>
                <w:kern w:val="0"/>
                <w:szCs w:val="21"/>
                <w:highlight w:val="none"/>
                <w:lang w:bidi="ar"/>
              </w:rPr>
              <w:t>车间</w:t>
            </w:r>
            <w:r>
              <w:rPr>
                <w:color w:val="auto"/>
                <w:kern w:val="0"/>
                <w:szCs w:val="21"/>
                <w:highlight w:val="none"/>
                <w:lang w:bidi="ar"/>
              </w:rPr>
              <w:t>、危废暂存间</w:t>
            </w:r>
            <w:r>
              <w:rPr>
                <w:rFonts w:hint="eastAsia"/>
                <w:color w:val="auto"/>
                <w:kern w:val="0"/>
                <w:szCs w:val="21"/>
                <w:highlight w:val="none"/>
                <w:lang w:eastAsia="zh-CN" w:bidi="ar"/>
              </w:rPr>
              <w:t>、</w:t>
            </w:r>
            <w:r>
              <w:rPr>
                <w:rFonts w:hint="eastAsia"/>
                <w:color w:val="auto"/>
                <w:kern w:val="0"/>
                <w:szCs w:val="21"/>
                <w:highlight w:val="none"/>
                <w:lang w:val="en-US" w:eastAsia="zh-CN" w:bidi="ar"/>
              </w:rPr>
              <w:t>废水处理设施</w:t>
            </w:r>
            <w:r>
              <w:rPr>
                <w:rFonts w:hint="eastAsia"/>
                <w:color w:val="auto"/>
                <w:szCs w:val="21"/>
                <w:highlight w:val="none"/>
              </w:rPr>
              <w:t>，一般防渗区包括仓库成品区、</w:t>
            </w:r>
            <w:r>
              <w:rPr>
                <w:rFonts w:hint="eastAsia"/>
                <w:color w:val="auto"/>
                <w:kern w:val="0"/>
                <w:szCs w:val="21"/>
                <w:highlight w:val="none"/>
                <w:lang w:val="en-US" w:eastAsia="zh-CN" w:bidi="ar"/>
              </w:rPr>
              <w:t>废气处理设施</w:t>
            </w:r>
            <w:r>
              <w:rPr>
                <w:rFonts w:hint="eastAsia"/>
                <w:color w:val="auto"/>
                <w:szCs w:val="21"/>
                <w:highlight w:val="none"/>
              </w:rPr>
              <w:t>区域，道路及主体工程为简单防渗区。本项目防渗工程污染防治分区如下表。</w:t>
            </w:r>
          </w:p>
          <w:p w14:paraId="2E9448B9">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b/>
                <w:bCs/>
                <w:color w:val="auto"/>
                <w:szCs w:val="21"/>
                <w:highlight w:val="none"/>
              </w:rPr>
            </w:pPr>
            <w:r>
              <w:rPr>
                <w:b/>
                <w:bCs/>
                <w:color w:val="auto"/>
                <w:szCs w:val="21"/>
                <w:highlight w:val="none"/>
              </w:rPr>
              <w:t>表4-</w:t>
            </w:r>
            <w:r>
              <w:rPr>
                <w:rFonts w:hint="eastAsia"/>
                <w:b/>
                <w:bCs/>
                <w:color w:val="auto"/>
                <w:szCs w:val="21"/>
                <w:highlight w:val="none"/>
                <w:lang w:val="en-US" w:eastAsia="zh-CN"/>
              </w:rPr>
              <w:t>36</w:t>
            </w:r>
            <w:r>
              <w:rPr>
                <w:rFonts w:hint="eastAsia"/>
                <w:b/>
                <w:bCs/>
                <w:color w:val="auto"/>
                <w:szCs w:val="21"/>
                <w:highlight w:val="none"/>
              </w:rPr>
              <w:t xml:space="preserve"> </w:t>
            </w:r>
            <w:r>
              <w:rPr>
                <w:b/>
                <w:bCs/>
                <w:color w:val="auto"/>
                <w:szCs w:val="21"/>
                <w:highlight w:val="none"/>
              </w:rPr>
              <w:t>项目分区防渗方案及防渗措施表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74"/>
              <w:gridCol w:w="3700"/>
              <w:gridCol w:w="3524"/>
            </w:tblGrid>
            <w:tr w14:paraId="077B9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5" w:type="dxa"/>
                  <w:vAlign w:val="center"/>
                </w:tcPr>
                <w:p w14:paraId="2D7BBF08">
                  <w:pPr>
                    <w:jc w:val="center"/>
                    <w:rPr>
                      <w:color w:val="auto"/>
                      <w:szCs w:val="21"/>
                      <w:highlight w:val="none"/>
                    </w:rPr>
                  </w:pPr>
                  <w:r>
                    <w:rPr>
                      <w:color w:val="auto"/>
                      <w:szCs w:val="21"/>
                      <w:highlight w:val="none"/>
                    </w:rPr>
                    <w:t>防渗分区</w:t>
                  </w:r>
                </w:p>
              </w:tc>
              <w:tc>
                <w:tcPr>
                  <w:tcW w:w="3700" w:type="dxa"/>
                  <w:vAlign w:val="center"/>
                </w:tcPr>
                <w:p w14:paraId="2E81180B">
                  <w:pPr>
                    <w:jc w:val="center"/>
                    <w:rPr>
                      <w:color w:val="auto"/>
                      <w:szCs w:val="21"/>
                      <w:highlight w:val="none"/>
                    </w:rPr>
                  </w:pPr>
                  <w:r>
                    <w:rPr>
                      <w:color w:val="auto"/>
                      <w:szCs w:val="21"/>
                      <w:highlight w:val="none"/>
                    </w:rPr>
                    <w:t>分区位置</w:t>
                  </w:r>
                </w:p>
              </w:tc>
              <w:tc>
                <w:tcPr>
                  <w:tcW w:w="3524" w:type="dxa"/>
                  <w:vAlign w:val="center"/>
                </w:tcPr>
                <w:p w14:paraId="4C48FF99">
                  <w:pPr>
                    <w:jc w:val="center"/>
                    <w:rPr>
                      <w:color w:val="auto"/>
                      <w:szCs w:val="21"/>
                      <w:highlight w:val="none"/>
                    </w:rPr>
                  </w:pPr>
                  <w:r>
                    <w:rPr>
                      <w:color w:val="auto"/>
                      <w:szCs w:val="21"/>
                      <w:highlight w:val="none"/>
                    </w:rPr>
                    <w:t>防渗技术要求</w:t>
                  </w:r>
                </w:p>
              </w:tc>
            </w:tr>
            <w:tr w14:paraId="167DF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5" w:type="dxa"/>
                  <w:vAlign w:val="center"/>
                </w:tcPr>
                <w:p w14:paraId="36EB6CA4">
                  <w:pPr>
                    <w:jc w:val="center"/>
                    <w:rPr>
                      <w:color w:val="auto"/>
                      <w:szCs w:val="21"/>
                      <w:highlight w:val="none"/>
                    </w:rPr>
                  </w:pPr>
                  <w:r>
                    <w:rPr>
                      <w:color w:val="auto"/>
                      <w:szCs w:val="21"/>
                      <w:highlight w:val="none"/>
                    </w:rPr>
                    <w:t>重点防渗区</w:t>
                  </w:r>
                </w:p>
              </w:tc>
              <w:tc>
                <w:tcPr>
                  <w:tcW w:w="3700" w:type="dxa"/>
                  <w:vAlign w:val="center"/>
                </w:tcPr>
                <w:p w14:paraId="79B21111">
                  <w:pPr>
                    <w:jc w:val="center"/>
                    <w:rPr>
                      <w:rFonts w:hint="default" w:eastAsia="宋体"/>
                      <w:color w:val="auto"/>
                      <w:szCs w:val="21"/>
                      <w:highlight w:val="none"/>
                      <w:lang w:val="en-US" w:eastAsia="zh-CN"/>
                    </w:rPr>
                  </w:pPr>
                  <w:r>
                    <w:rPr>
                      <w:rFonts w:hint="eastAsia"/>
                      <w:color w:val="auto"/>
                      <w:kern w:val="0"/>
                      <w:szCs w:val="21"/>
                      <w:highlight w:val="none"/>
                      <w:lang w:bidi="ar"/>
                    </w:rPr>
                    <w:t>原料仓库、</w:t>
                  </w:r>
                  <w:r>
                    <w:rPr>
                      <w:rFonts w:hint="eastAsia"/>
                      <w:color w:val="auto"/>
                      <w:kern w:val="0"/>
                      <w:szCs w:val="21"/>
                      <w:highlight w:val="none"/>
                      <w:lang w:val="en-US" w:eastAsia="zh-CN" w:bidi="ar"/>
                    </w:rPr>
                    <w:t>生产</w:t>
                  </w:r>
                  <w:r>
                    <w:rPr>
                      <w:rFonts w:hint="eastAsia"/>
                      <w:color w:val="auto"/>
                      <w:kern w:val="0"/>
                      <w:szCs w:val="21"/>
                      <w:highlight w:val="none"/>
                      <w:lang w:bidi="ar"/>
                    </w:rPr>
                    <w:t>车间</w:t>
                  </w:r>
                  <w:r>
                    <w:rPr>
                      <w:color w:val="auto"/>
                      <w:kern w:val="0"/>
                      <w:szCs w:val="21"/>
                      <w:highlight w:val="none"/>
                      <w:lang w:bidi="ar"/>
                    </w:rPr>
                    <w:t>、危废暂存间</w:t>
                  </w:r>
                  <w:r>
                    <w:rPr>
                      <w:rFonts w:hint="eastAsia"/>
                      <w:color w:val="auto"/>
                      <w:kern w:val="0"/>
                      <w:szCs w:val="21"/>
                      <w:highlight w:val="none"/>
                      <w:lang w:eastAsia="zh-CN" w:bidi="ar"/>
                    </w:rPr>
                    <w:t>、</w:t>
                  </w:r>
                  <w:r>
                    <w:rPr>
                      <w:rFonts w:hint="eastAsia"/>
                      <w:color w:val="auto"/>
                      <w:kern w:val="0"/>
                      <w:szCs w:val="21"/>
                      <w:highlight w:val="none"/>
                      <w:lang w:val="en-US" w:eastAsia="zh-CN" w:bidi="ar"/>
                    </w:rPr>
                    <w:t>废水处理设施</w:t>
                  </w:r>
                </w:p>
              </w:tc>
              <w:tc>
                <w:tcPr>
                  <w:tcW w:w="3524" w:type="dxa"/>
                  <w:vAlign w:val="center"/>
                </w:tcPr>
                <w:p w14:paraId="69FDFA8E">
                  <w:pPr>
                    <w:widowControl/>
                    <w:jc w:val="center"/>
                    <w:rPr>
                      <w:color w:val="auto"/>
                      <w:szCs w:val="21"/>
                      <w:highlight w:val="none"/>
                    </w:rPr>
                  </w:pPr>
                  <w:r>
                    <w:rPr>
                      <w:color w:val="auto"/>
                      <w:szCs w:val="21"/>
                      <w:highlight w:val="none"/>
                    </w:rPr>
                    <w:t>等效黏土防渗层</w:t>
                  </w:r>
                  <w:r>
                    <w:rPr>
                      <w:color w:val="auto"/>
                      <w:kern w:val="0"/>
                      <w:szCs w:val="21"/>
                      <w:highlight w:val="none"/>
                      <w:lang w:bidi="ar"/>
                    </w:rPr>
                    <w:t>Mb≥6.0m</w:t>
                  </w:r>
                  <w:r>
                    <w:rPr>
                      <w:rFonts w:hint="eastAsia"/>
                      <w:color w:val="auto"/>
                      <w:kern w:val="0"/>
                      <w:szCs w:val="21"/>
                      <w:highlight w:val="none"/>
                      <w:lang w:bidi="ar"/>
                    </w:rPr>
                    <w:t>，</w:t>
                  </w:r>
                  <w:r>
                    <w:rPr>
                      <w:color w:val="auto"/>
                      <w:kern w:val="0"/>
                      <w:szCs w:val="21"/>
                      <w:highlight w:val="none"/>
                      <w:lang w:bidi="ar"/>
                    </w:rPr>
                    <w:t>K≤1×10</w:t>
                  </w:r>
                  <w:r>
                    <w:rPr>
                      <w:color w:val="auto"/>
                      <w:kern w:val="0"/>
                      <w:szCs w:val="21"/>
                      <w:highlight w:val="none"/>
                      <w:vertAlign w:val="superscript"/>
                      <w:lang w:bidi="ar"/>
                    </w:rPr>
                    <w:t>-7</w:t>
                  </w:r>
                  <w:r>
                    <w:rPr>
                      <w:color w:val="auto"/>
                      <w:kern w:val="0"/>
                      <w:szCs w:val="21"/>
                      <w:highlight w:val="none"/>
                      <w:lang w:bidi="ar"/>
                    </w:rPr>
                    <w:t>cm/s；或参照GB18598执行</w:t>
                  </w:r>
                </w:p>
              </w:tc>
            </w:tr>
            <w:tr w14:paraId="30A60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5" w:type="dxa"/>
                  <w:vAlign w:val="center"/>
                </w:tcPr>
                <w:p w14:paraId="0C930008">
                  <w:pPr>
                    <w:jc w:val="center"/>
                    <w:rPr>
                      <w:color w:val="auto"/>
                      <w:szCs w:val="21"/>
                      <w:highlight w:val="none"/>
                    </w:rPr>
                  </w:pPr>
                  <w:r>
                    <w:rPr>
                      <w:color w:val="auto"/>
                      <w:szCs w:val="21"/>
                      <w:highlight w:val="none"/>
                    </w:rPr>
                    <w:t>一般防渗区</w:t>
                  </w:r>
                </w:p>
              </w:tc>
              <w:tc>
                <w:tcPr>
                  <w:tcW w:w="3700" w:type="dxa"/>
                  <w:vAlign w:val="center"/>
                </w:tcPr>
                <w:p w14:paraId="58B9C2D5">
                  <w:pPr>
                    <w:jc w:val="center"/>
                    <w:rPr>
                      <w:color w:val="auto"/>
                      <w:szCs w:val="21"/>
                      <w:highlight w:val="none"/>
                    </w:rPr>
                  </w:pPr>
                  <w:r>
                    <w:rPr>
                      <w:rFonts w:hint="eastAsia"/>
                      <w:color w:val="auto"/>
                      <w:szCs w:val="21"/>
                      <w:highlight w:val="none"/>
                    </w:rPr>
                    <w:t>仓库成品区、废气处理设施区域</w:t>
                  </w:r>
                </w:p>
              </w:tc>
              <w:tc>
                <w:tcPr>
                  <w:tcW w:w="3524" w:type="dxa"/>
                  <w:vAlign w:val="center"/>
                </w:tcPr>
                <w:p w14:paraId="1AA6C7FE">
                  <w:pPr>
                    <w:widowControl/>
                    <w:jc w:val="center"/>
                    <w:rPr>
                      <w:color w:val="auto"/>
                      <w:highlight w:val="none"/>
                    </w:rPr>
                  </w:pPr>
                  <w:r>
                    <w:rPr>
                      <w:color w:val="auto"/>
                      <w:kern w:val="0"/>
                      <w:szCs w:val="21"/>
                      <w:highlight w:val="none"/>
                      <w:lang w:bidi="ar"/>
                    </w:rPr>
                    <w:t>等效黏土防渗层Mb≥1.5m，</w:t>
                  </w:r>
                </w:p>
                <w:p w14:paraId="76DC8392">
                  <w:pPr>
                    <w:widowControl/>
                    <w:jc w:val="center"/>
                    <w:rPr>
                      <w:color w:val="auto"/>
                      <w:szCs w:val="21"/>
                      <w:highlight w:val="none"/>
                    </w:rPr>
                  </w:pPr>
                  <w:r>
                    <w:rPr>
                      <w:color w:val="auto"/>
                      <w:kern w:val="0"/>
                      <w:szCs w:val="21"/>
                      <w:highlight w:val="none"/>
                      <w:lang w:bidi="ar"/>
                    </w:rPr>
                    <w:t>K≤1×10</w:t>
                  </w:r>
                  <w:r>
                    <w:rPr>
                      <w:color w:val="auto"/>
                      <w:kern w:val="0"/>
                      <w:szCs w:val="21"/>
                      <w:highlight w:val="none"/>
                      <w:vertAlign w:val="superscript"/>
                      <w:lang w:bidi="ar"/>
                    </w:rPr>
                    <w:t>-7</w:t>
                  </w:r>
                  <w:r>
                    <w:rPr>
                      <w:color w:val="auto"/>
                      <w:kern w:val="0"/>
                      <w:szCs w:val="21"/>
                      <w:highlight w:val="none"/>
                      <w:lang w:bidi="ar"/>
                    </w:rPr>
                    <w:t>cm/s；或参照GB16889执行</w:t>
                  </w:r>
                </w:p>
              </w:tc>
            </w:tr>
            <w:tr w14:paraId="59583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75" w:type="dxa"/>
                  <w:vAlign w:val="center"/>
                </w:tcPr>
                <w:p w14:paraId="4F6ED7BF">
                  <w:pPr>
                    <w:jc w:val="center"/>
                    <w:rPr>
                      <w:color w:val="auto"/>
                      <w:szCs w:val="21"/>
                      <w:highlight w:val="none"/>
                    </w:rPr>
                  </w:pPr>
                  <w:r>
                    <w:rPr>
                      <w:color w:val="auto"/>
                      <w:szCs w:val="21"/>
                      <w:highlight w:val="none"/>
                    </w:rPr>
                    <w:t>简单防渗区</w:t>
                  </w:r>
                </w:p>
              </w:tc>
              <w:tc>
                <w:tcPr>
                  <w:tcW w:w="3700" w:type="dxa"/>
                  <w:vAlign w:val="center"/>
                </w:tcPr>
                <w:p w14:paraId="7E3F6781">
                  <w:pPr>
                    <w:jc w:val="center"/>
                    <w:rPr>
                      <w:color w:val="auto"/>
                      <w:szCs w:val="21"/>
                      <w:highlight w:val="none"/>
                    </w:rPr>
                  </w:pPr>
                  <w:r>
                    <w:rPr>
                      <w:rFonts w:hint="eastAsia"/>
                      <w:color w:val="auto"/>
                      <w:szCs w:val="21"/>
                      <w:highlight w:val="none"/>
                    </w:rPr>
                    <w:t>其他区域</w:t>
                  </w:r>
                </w:p>
              </w:tc>
              <w:tc>
                <w:tcPr>
                  <w:tcW w:w="3524" w:type="dxa"/>
                  <w:vAlign w:val="center"/>
                </w:tcPr>
                <w:p w14:paraId="5D596832">
                  <w:pPr>
                    <w:widowControl/>
                    <w:jc w:val="center"/>
                    <w:rPr>
                      <w:color w:val="auto"/>
                      <w:kern w:val="0"/>
                      <w:szCs w:val="21"/>
                      <w:highlight w:val="none"/>
                      <w:lang w:bidi="ar"/>
                    </w:rPr>
                  </w:pPr>
                  <w:r>
                    <w:rPr>
                      <w:color w:val="auto"/>
                      <w:kern w:val="0"/>
                      <w:szCs w:val="21"/>
                      <w:highlight w:val="none"/>
                      <w:lang w:bidi="ar"/>
                    </w:rPr>
                    <w:t>一般地面硬化</w:t>
                  </w:r>
                </w:p>
              </w:tc>
            </w:tr>
          </w:tbl>
          <w:p w14:paraId="538DA011">
            <w:pPr>
              <w:keepNext w:val="0"/>
              <w:keepLines w:val="0"/>
              <w:pageBreakBefore w:val="0"/>
              <w:widowControl/>
              <w:kinsoku/>
              <w:wordWrap/>
              <w:overflowPunct/>
              <w:topLinePunct w:val="0"/>
              <w:autoSpaceDE/>
              <w:autoSpaceDN/>
              <w:bidi w:val="0"/>
              <w:adjustRightInd/>
              <w:snapToGrid/>
              <w:spacing w:before="157" w:beforeLines="50" w:line="360" w:lineRule="auto"/>
              <w:ind w:firstLine="420" w:firstLineChars="200"/>
              <w:jc w:val="left"/>
              <w:textAlignment w:val="auto"/>
              <w:rPr>
                <w:color w:val="auto"/>
                <w:kern w:val="0"/>
                <w:szCs w:val="21"/>
                <w:highlight w:val="none"/>
                <w:lang w:bidi="ar"/>
              </w:rPr>
            </w:pPr>
            <w:r>
              <w:rPr>
                <w:rFonts w:hint="eastAsia"/>
                <w:color w:val="auto"/>
                <w:kern w:val="0"/>
                <w:szCs w:val="21"/>
                <w:highlight w:val="none"/>
                <w:lang w:bidi="ar"/>
              </w:rPr>
              <w:t>综上，本项目在正常工况下不会对区域地下水造成污染，事故情况下可能会发生有毒有害物质泄漏而造成浅层地下水污染。本次评价认为，本项目在按照本次环评要求做好地下水污染单元防渗工作、建立有效的事故防范和应急机制并加强生产管理的前提下，本项目对区域地下水的环境造成污染的可能性很小，项目地下水环境影响水平可接受。</w:t>
            </w:r>
          </w:p>
          <w:p w14:paraId="7F1A5771">
            <w:pPr>
              <w:spacing w:line="360" w:lineRule="auto"/>
              <w:ind w:firstLine="420" w:firstLineChars="200"/>
              <w:rPr>
                <w:color w:val="auto"/>
                <w:szCs w:val="21"/>
                <w:highlight w:val="none"/>
              </w:rPr>
            </w:pPr>
            <w:r>
              <w:rPr>
                <w:color w:val="auto"/>
                <w:szCs w:val="21"/>
                <w:highlight w:val="none"/>
              </w:rPr>
              <w:t>（4）跟踪监测计划</w:t>
            </w:r>
          </w:p>
          <w:p w14:paraId="6CAB7943">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420" w:firstLineChars="200"/>
              <w:jc w:val="both"/>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《工业企业土壤及地下水自行监测技术指南（试行）》（HJ1209-2021），</w:t>
            </w:r>
            <w:r>
              <w:rPr>
                <w:rFonts w:ascii="Times New Roman" w:hAnsi="Times New Roman" w:eastAsia="宋体" w:cs="Times New Roman"/>
                <w:color w:val="auto"/>
                <w:kern w:val="2"/>
                <w:sz w:val="21"/>
                <w:szCs w:val="21"/>
                <w:highlight w:val="none"/>
                <w:lang w:val="en-US" w:eastAsia="zh-CN" w:bidi="ar-SA"/>
              </w:rPr>
              <w:t>建设单位地下水和土壤跟踪监测计划见</w:t>
            </w:r>
            <w:r>
              <w:rPr>
                <w:rFonts w:hint="eastAsia" w:ascii="Times New Roman" w:hAnsi="Times New Roman" w:eastAsia="宋体" w:cs="Times New Roman"/>
                <w:color w:val="auto"/>
                <w:kern w:val="2"/>
                <w:sz w:val="21"/>
                <w:szCs w:val="21"/>
                <w:highlight w:val="none"/>
                <w:lang w:val="en-US" w:eastAsia="zh-CN" w:bidi="ar-SA"/>
              </w:rPr>
              <w:t>下表</w:t>
            </w:r>
            <w:r>
              <w:rPr>
                <w:rFonts w:ascii="Times New Roman" w:hAnsi="Times New Roman" w:eastAsia="宋体" w:cs="Times New Roman"/>
                <w:color w:val="auto"/>
                <w:kern w:val="2"/>
                <w:sz w:val="21"/>
                <w:szCs w:val="21"/>
                <w:highlight w:val="none"/>
                <w:lang w:val="en-US" w:eastAsia="zh-CN" w:bidi="ar-SA"/>
              </w:rPr>
              <w:t>。</w:t>
            </w:r>
          </w:p>
          <w:p w14:paraId="5B0BA225">
            <w:pPr>
              <w:keepNext w:val="0"/>
              <w:keepLines w:val="0"/>
              <w:pageBreakBefore w:val="0"/>
              <w:widowControl w:val="0"/>
              <w:kinsoku/>
              <w:wordWrap/>
              <w:overflowPunct/>
              <w:topLinePunct w:val="0"/>
              <w:autoSpaceDE/>
              <w:autoSpaceDN/>
              <w:bidi w:val="0"/>
              <w:adjustRightInd w:val="0"/>
              <w:snapToGrid w:val="0"/>
              <w:spacing w:before="157" w:beforeLines="50"/>
              <w:ind w:left="0" w:leftChars="0"/>
              <w:jc w:val="center"/>
              <w:textAlignment w:val="auto"/>
              <w:rPr>
                <w:rFonts w:ascii="Times New Roman" w:hAnsi="Times New Roman" w:eastAsia="宋体" w:cs="Times New Roman"/>
                <w:b/>
                <w:snapToGrid w:val="0"/>
                <w:color w:val="auto"/>
                <w:kern w:val="2"/>
                <w:sz w:val="21"/>
                <w:szCs w:val="21"/>
                <w:highlight w:val="none"/>
                <w:lang w:val="en-US" w:eastAsia="zh-CN" w:bidi="ar-SA"/>
              </w:rPr>
            </w:pPr>
            <w:r>
              <w:rPr>
                <w:rFonts w:ascii="Times New Roman" w:hAnsi="Times New Roman" w:eastAsia="宋体" w:cs="Times New Roman"/>
                <w:b/>
                <w:snapToGrid w:val="0"/>
                <w:color w:val="auto"/>
                <w:kern w:val="2"/>
                <w:sz w:val="21"/>
                <w:szCs w:val="21"/>
                <w:highlight w:val="none"/>
                <w:lang w:val="en-US" w:eastAsia="zh-CN" w:bidi="ar-SA"/>
              </w:rPr>
              <w:t>表</w:t>
            </w:r>
            <w:r>
              <w:rPr>
                <w:rFonts w:hint="eastAsia" w:ascii="Times New Roman" w:hAnsi="Times New Roman" w:eastAsia="宋体" w:cs="Times New Roman"/>
                <w:b/>
                <w:snapToGrid w:val="0"/>
                <w:color w:val="auto"/>
                <w:kern w:val="2"/>
                <w:sz w:val="21"/>
                <w:szCs w:val="21"/>
                <w:highlight w:val="none"/>
                <w:lang w:val="en-US" w:eastAsia="zh-CN" w:bidi="ar-SA"/>
              </w:rPr>
              <w:t>4</w:t>
            </w:r>
            <w:r>
              <w:rPr>
                <w:rFonts w:hint="eastAsia" w:cs="Times New Roman"/>
                <w:b/>
                <w:snapToGrid w:val="0"/>
                <w:color w:val="auto"/>
                <w:kern w:val="2"/>
                <w:sz w:val="21"/>
                <w:szCs w:val="21"/>
                <w:highlight w:val="none"/>
                <w:lang w:val="en-US" w:eastAsia="zh-CN" w:bidi="ar-SA"/>
              </w:rPr>
              <w:t xml:space="preserve">-37 </w:t>
            </w:r>
            <w:r>
              <w:rPr>
                <w:rFonts w:ascii="Times New Roman" w:hAnsi="Times New Roman" w:eastAsia="宋体" w:cs="Times New Roman"/>
                <w:b/>
                <w:snapToGrid w:val="0"/>
                <w:color w:val="auto"/>
                <w:kern w:val="2"/>
                <w:sz w:val="21"/>
                <w:szCs w:val="21"/>
                <w:highlight w:val="none"/>
                <w:lang w:val="en-US" w:eastAsia="zh-CN" w:bidi="ar-SA"/>
              </w:rPr>
              <w:t>地下水和土壤跟踪监测计划</w:t>
            </w:r>
          </w:p>
          <w:tbl>
            <w:tblPr>
              <w:tblStyle w:val="32"/>
              <w:tblW w:w="48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20"/>
              <w:gridCol w:w="1524"/>
              <w:gridCol w:w="5354"/>
              <w:gridCol w:w="629"/>
            </w:tblGrid>
            <w:tr w14:paraId="18DCA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37" w:type="pct"/>
                  <w:tcBorders>
                    <w:tl2br w:val="nil"/>
                    <w:tr2bl w:val="nil"/>
                  </w:tcBorders>
                  <w:noWrap w:val="0"/>
                  <w:vAlign w:val="center"/>
                </w:tcPr>
                <w:p w14:paraId="674E420E">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环境要素</w:t>
                  </w:r>
                </w:p>
              </w:tc>
              <w:tc>
                <w:tcPr>
                  <w:tcW w:w="926" w:type="pct"/>
                  <w:tcBorders>
                    <w:tl2br w:val="nil"/>
                    <w:tr2bl w:val="nil"/>
                  </w:tcBorders>
                  <w:noWrap w:val="0"/>
                  <w:vAlign w:val="center"/>
                </w:tcPr>
                <w:p w14:paraId="08D64B04">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监测点位</w:t>
                  </w:r>
                </w:p>
              </w:tc>
              <w:tc>
                <w:tcPr>
                  <w:tcW w:w="3253" w:type="pct"/>
                  <w:tcBorders>
                    <w:tl2br w:val="nil"/>
                    <w:tr2bl w:val="nil"/>
                  </w:tcBorders>
                  <w:noWrap w:val="0"/>
                  <w:vAlign w:val="center"/>
                </w:tcPr>
                <w:p w14:paraId="5A21895E">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监测指标</w:t>
                  </w:r>
                </w:p>
              </w:tc>
              <w:tc>
                <w:tcPr>
                  <w:tcW w:w="382" w:type="pct"/>
                  <w:tcBorders>
                    <w:tl2br w:val="nil"/>
                    <w:tr2bl w:val="nil"/>
                  </w:tcBorders>
                  <w:noWrap w:val="0"/>
                  <w:vAlign w:val="center"/>
                </w:tcPr>
                <w:p w14:paraId="7E555F8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监测频次</w:t>
                  </w:r>
                </w:p>
              </w:tc>
            </w:tr>
            <w:tr w14:paraId="40A1E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37" w:type="pct"/>
                  <w:tcBorders>
                    <w:tl2br w:val="nil"/>
                    <w:tr2bl w:val="nil"/>
                  </w:tcBorders>
                  <w:noWrap w:val="0"/>
                  <w:vAlign w:val="center"/>
                </w:tcPr>
                <w:p w14:paraId="723E258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地下水环境</w:t>
                  </w:r>
                </w:p>
              </w:tc>
              <w:tc>
                <w:tcPr>
                  <w:tcW w:w="926" w:type="pct"/>
                  <w:tcBorders>
                    <w:tl2br w:val="nil"/>
                    <w:tr2bl w:val="nil"/>
                  </w:tcBorders>
                  <w:noWrap w:val="0"/>
                  <w:vAlign w:val="center"/>
                </w:tcPr>
                <w:p w14:paraId="4FD8FCD6">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污水处理站附近（</w:t>
                  </w:r>
                  <w:r>
                    <w:rPr>
                      <w:rFonts w:hint="eastAsia" w:ascii="Times New Roman" w:hAnsi="Times New Roman" w:eastAsia="宋体" w:cs="Times New Roman"/>
                      <w:color w:val="auto"/>
                      <w:kern w:val="0"/>
                      <w:sz w:val="21"/>
                      <w:szCs w:val="21"/>
                      <w:highlight w:val="none"/>
                      <w:lang w:val="en-US" w:eastAsia="zh-CN" w:bidi="ar-SA"/>
                    </w:rPr>
                    <w:t>下</w:t>
                  </w:r>
                  <w:r>
                    <w:rPr>
                      <w:rFonts w:ascii="Times New Roman" w:hAnsi="Times New Roman" w:eastAsia="宋体" w:cs="Times New Roman"/>
                      <w:color w:val="auto"/>
                      <w:kern w:val="0"/>
                      <w:sz w:val="21"/>
                      <w:szCs w:val="21"/>
                      <w:highlight w:val="none"/>
                      <w:lang w:val="en-US" w:eastAsia="zh-CN" w:bidi="ar-SA"/>
                    </w:rPr>
                    <w:t>游</w:t>
                  </w:r>
                  <w:r>
                    <w:rPr>
                      <w:rFonts w:hint="eastAsia" w:ascii="Times New Roman" w:hAnsi="Times New Roman" w:eastAsia="宋体" w:cs="Times New Roman"/>
                      <w:color w:val="auto"/>
                      <w:kern w:val="0"/>
                      <w:sz w:val="21"/>
                      <w:szCs w:val="21"/>
                      <w:highlight w:val="none"/>
                      <w:lang w:val="en-US" w:eastAsia="zh-CN" w:bidi="ar-SA"/>
                    </w:rPr>
                    <w:t>、潜水</w:t>
                  </w:r>
                  <w:r>
                    <w:rPr>
                      <w:rFonts w:ascii="Times New Roman" w:hAnsi="Times New Roman" w:eastAsia="宋体" w:cs="Times New Roman"/>
                      <w:color w:val="auto"/>
                      <w:kern w:val="0"/>
                      <w:sz w:val="21"/>
                      <w:szCs w:val="21"/>
                      <w:highlight w:val="none"/>
                      <w:lang w:val="en-US" w:eastAsia="zh-CN" w:bidi="ar-SA"/>
                    </w:rPr>
                    <w:t>）</w:t>
                  </w:r>
                </w:p>
              </w:tc>
              <w:tc>
                <w:tcPr>
                  <w:tcW w:w="3253" w:type="pct"/>
                  <w:tcBorders>
                    <w:tl2br w:val="nil"/>
                    <w:tr2bl w:val="nil"/>
                  </w:tcBorders>
                  <w:noWrap w:val="0"/>
                  <w:vAlign w:val="center"/>
                </w:tcPr>
                <w:p w14:paraId="62B239A7">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K</w:t>
                  </w:r>
                  <w:r>
                    <w:rPr>
                      <w:rFonts w:ascii="Times New Roman" w:hAnsi="Times New Roman" w:eastAsia="宋体" w:cs="Times New Roman"/>
                      <w:color w:val="auto"/>
                      <w:kern w:val="0"/>
                      <w:sz w:val="21"/>
                      <w:szCs w:val="21"/>
                      <w:highlight w:val="none"/>
                      <w:vertAlign w:val="superscript"/>
                      <w:lang w:val="en-US" w:eastAsia="zh-CN" w:bidi="ar-SA"/>
                    </w:rPr>
                    <w:t>+</w:t>
                  </w:r>
                  <w:r>
                    <w:rPr>
                      <w:rFonts w:ascii="Times New Roman" w:hAnsi="Times New Roman" w:eastAsia="宋体" w:cs="Times New Roman"/>
                      <w:color w:val="auto"/>
                      <w:kern w:val="0"/>
                      <w:sz w:val="21"/>
                      <w:szCs w:val="21"/>
                      <w:highlight w:val="none"/>
                      <w:lang w:val="en-US" w:eastAsia="zh-CN" w:bidi="ar-SA"/>
                    </w:rPr>
                    <w:t>、Na</w:t>
                  </w:r>
                  <w:r>
                    <w:rPr>
                      <w:rFonts w:ascii="Times New Roman" w:hAnsi="Times New Roman" w:eastAsia="宋体" w:cs="Times New Roman"/>
                      <w:color w:val="auto"/>
                      <w:kern w:val="0"/>
                      <w:sz w:val="21"/>
                      <w:szCs w:val="21"/>
                      <w:highlight w:val="none"/>
                      <w:vertAlign w:val="superscript"/>
                      <w:lang w:val="en-US" w:eastAsia="zh-CN" w:bidi="ar-SA"/>
                    </w:rPr>
                    <w:t>+</w:t>
                  </w:r>
                  <w:r>
                    <w:rPr>
                      <w:rFonts w:ascii="Times New Roman" w:hAnsi="Times New Roman" w:eastAsia="宋体" w:cs="Times New Roman"/>
                      <w:color w:val="auto"/>
                      <w:kern w:val="0"/>
                      <w:sz w:val="21"/>
                      <w:szCs w:val="21"/>
                      <w:highlight w:val="none"/>
                      <w:lang w:val="en-US" w:eastAsia="zh-CN" w:bidi="ar-SA"/>
                    </w:rPr>
                    <w:t>、Ca</w:t>
                  </w:r>
                  <w:r>
                    <w:rPr>
                      <w:rFonts w:ascii="Times New Roman" w:hAnsi="Times New Roman" w:eastAsia="宋体" w:cs="Times New Roman"/>
                      <w:color w:val="auto"/>
                      <w:kern w:val="0"/>
                      <w:sz w:val="21"/>
                      <w:szCs w:val="21"/>
                      <w:highlight w:val="none"/>
                      <w:vertAlign w:val="superscript"/>
                      <w:lang w:val="en-US" w:eastAsia="zh-CN" w:bidi="ar-SA"/>
                    </w:rPr>
                    <w:t>2+</w:t>
                  </w:r>
                  <w:r>
                    <w:rPr>
                      <w:rFonts w:ascii="Times New Roman" w:hAnsi="Times New Roman" w:eastAsia="宋体" w:cs="Times New Roman"/>
                      <w:color w:val="auto"/>
                      <w:kern w:val="0"/>
                      <w:sz w:val="21"/>
                      <w:szCs w:val="21"/>
                      <w:highlight w:val="none"/>
                      <w:lang w:val="en-US" w:eastAsia="zh-CN" w:bidi="ar-SA"/>
                    </w:rPr>
                    <w:t>、Mg</w:t>
                  </w:r>
                  <w:r>
                    <w:rPr>
                      <w:rFonts w:ascii="Times New Roman" w:hAnsi="Times New Roman" w:eastAsia="宋体" w:cs="Times New Roman"/>
                      <w:color w:val="auto"/>
                      <w:kern w:val="0"/>
                      <w:sz w:val="21"/>
                      <w:szCs w:val="21"/>
                      <w:highlight w:val="none"/>
                      <w:vertAlign w:val="superscript"/>
                      <w:lang w:val="en-US" w:eastAsia="zh-CN" w:bidi="ar-SA"/>
                    </w:rPr>
                    <w:t>2+</w:t>
                  </w:r>
                  <w:r>
                    <w:rPr>
                      <w:rFonts w:ascii="Times New Roman" w:hAnsi="Times New Roman" w:eastAsia="宋体" w:cs="Times New Roman"/>
                      <w:color w:val="auto"/>
                      <w:kern w:val="0"/>
                      <w:sz w:val="21"/>
                      <w:szCs w:val="21"/>
                      <w:highlight w:val="none"/>
                      <w:lang w:val="en-US" w:eastAsia="zh-CN" w:bidi="ar-SA"/>
                    </w:rPr>
                    <w:t>、CO</w:t>
                  </w:r>
                  <w:r>
                    <w:rPr>
                      <w:rFonts w:ascii="Times New Roman" w:hAnsi="Times New Roman" w:eastAsia="宋体" w:cs="Times New Roman"/>
                      <w:color w:val="auto"/>
                      <w:kern w:val="0"/>
                      <w:sz w:val="21"/>
                      <w:szCs w:val="21"/>
                      <w:highlight w:val="none"/>
                      <w:vertAlign w:val="subscript"/>
                      <w:lang w:val="en-US" w:eastAsia="zh-CN" w:bidi="ar-SA"/>
                    </w:rPr>
                    <w:t>3</w:t>
                  </w:r>
                  <w:r>
                    <w:rPr>
                      <w:rFonts w:ascii="Times New Roman" w:hAnsi="Times New Roman" w:eastAsia="宋体" w:cs="Times New Roman"/>
                      <w:color w:val="auto"/>
                      <w:kern w:val="0"/>
                      <w:sz w:val="21"/>
                      <w:szCs w:val="21"/>
                      <w:highlight w:val="none"/>
                      <w:vertAlign w:val="superscript"/>
                      <w:lang w:val="en-US" w:eastAsia="zh-CN" w:bidi="ar-SA"/>
                    </w:rPr>
                    <w:t>2-</w:t>
                  </w:r>
                  <w:r>
                    <w:rPr>
                      <w:rFonts w:ascii="Times New Roman" w:hAnsi="Times New Roman" w:eastAsia="宋体" w:cs="Times New Roman"/>
                      <w:color w:val="auto"/>
                      <w:kern w:val="0"/>
                      <w:sz w:val="21"/>
                      <w:szCs w:val="21"/>
                      <w:highlight w:val="none"/>
                      <w:lang w:val="en-US" w:eastAsia="zh-CN" w:bidi="ar-SA"/>
                    </w:rPr>
                    <w:t>、HCO</w:t>
                  </w:r>
                  <w:r>
                    <w:rPr>
                      <w:rFonts w:ascii="Times New Roman" w:hAnsi="Times New Roman" w:eastAsia="宋体" w:cs="Times New Roman"/>
                      <w:color w:val="auto"/>
                      <w:kern w:val="0"/>
                      <w:sz w:val="21"/>
                      <w:szCs w:val="21"/>
                      <w:highlight w:val="none"/>
                      <w:vertAlign w:val="subscript"/>
                      <w:lang w:val="en-US" w:eastAsia="zh-CN" w:bidi="ar-SA"/>
                    </w:rPr>
                    <w:t>3</w:t>
                  </w:r>
                  <w:r>
                    <w:rPr>
                      <w:rFonts w:ascii="Times New Roman" w:hAnsi="Times New Roman" w:eastAsia="宋体" w:cs="Times New Roman"/>
                      <w:color w:val="auto"/>
                      <w:kern w:val="0"/>
                      <w:sz w:val="21"/>
                      <w:szCs w:val="21"/>
                      <w:highlight w:val="none"/>
                      <w:vertAlign w:val="superscript"/>
                      <w:lang w:val="en-US" w:eastAsia="zh-CN" w:bidi="ar-SA"/>
                    </w:rPr>
                    <w:t>-</w:t>
                  </w:r>
                  <w:r>
                    <w:rPr>
                      <w:rFonts w:ascii="Times New Roman" w:hAnsi="Times New Roman" w:eastAsia="宋体" w:cs="Times New Roman"/>
                      <w:color w:val="auto"/>
                      <w:kern w:val="0"/>
                      <w:sz w:val="21"/>
                      <w:szCs w:val="21"/>
                      <w:highlight w:val="none"/>
                      <w:lang w:val="en-US" w:eastAsia="zh-CN" w:bidi="ar-SA"/>
                    </w:rPr>
                    <w:t>、Cl</w:t>
                  </w:r>
                  <w:r>
                    <w:rPr>
                      <w:rFonts w:ascii="Times New Roman" w:hAnsi="Times New Roman" w:eastAsia="宋体" w:cs="Times New Roman"/>
                      <w:color w:val="auto"/>
                      <w:kern w:val="0"/>
                      <w:sz w:val="21"/>
                      <w:szCs w:val="21"/>
                      <w:highlight w:val="none"/>
                      <w:vertAlign w:val="superscript"/>
                      <w:lang w:val="en-US" w:eastAsia="zh-CN" w:bidi="ar-SA"/>
                    </w:rPr>
                    <w:t>-</w:t>
                  </w:r>
                  <w:r>
                    <w:rPr>
                      <w:rFonts w:ascii="Times New Roman" w:hAnsi="Times New Roman" w:eastAsia="宋体" w:cs="Times New Roman"/>
                      <w:color w:val="auto"/>
                      <w:kern w:val="0"/>
                      <w:sz w:val="21"/>
                      <w:szCs w:val="21"/>
                      <w:highlight w:val="none"/>
                      <w:lang w:val="en-US" w:eastAsia="zh-CN" w:bidi="ar-SA"/>
                    </w:rPr>
                    <w:t>、SO</w:t>
                  </w:r>
                  <w:r>
                    <w:rPr>
                      <w:rFonts w:ascii="Times New Roman" w:hAnsi="Times New Roman" w:eastAsia="宋体" w:cs="Times New Roman"/>
                      <w:color w:val="auto"/>
                      <w:kern w:val="0"/>
                      <w:sz w:val="21"/>
                      <w:szCs w:val="21"/>
                      <w:highlight w:val="none"/>
                      <w:vertAlign w:val="subscript"/>
                      <w:lang w:val="en-US" w:eastAsia="zh-CN" w:bidi="ar-SA"/>
                    </w:rPr>
                    <w:t>4</w:t>
                  </w:r>
                  <w:r>
                    <w:rPr>
                      <w:rFonts w:ascii="Times New Roman" w:hAnsi="Times New Roman" w:eastAsia="宋体" w:cs="Times New Roman"/>
                      <w:color w:val="auto"/>
                      <w:kern w:val="0"/>
                      <w:sz w:val="21"/>
                      <w:szCs w:val="21"/>
                      <w:highlight w:val="none"/>
                      <w:vertAlign w:val="superscript"/>
                      <w:lang w:val="en-US" w:eastAsia="zh-CN" w:bidi="ar-SA"/>
                    </w:rPr>
                    <w:t>2-</w:t>
                  </w:r>
                  <w:r>
                    <w:rPr>
                      <w:rFonts w:ascii="Times New Roman" w:hAnsi="Times New Roman" w:eastAsia="宋体" w:cs="Times New Roman"/>
                      <w:color w:val="auto"/>
                      <w:kern w:val="0"/>
                      <w:sz w:val="21"/>
                      <w:szCs w:val="21"/>
                      <w:highlight w:val="none"/>
                      <w:lang w:val="en-US" w:eastAsia="zh-CN" w:bidi="ar-SA"/>
                    </w:rPr>
                    <w:t>、pH、总硬度、溶解性总固体、耗氧量、氨氮、硝酸盐、亚硝酸盐、铁、锰、砷、汞、铬（六价）、铅、氟、镉、氰化物、银、铜、镍、锌、石油类并测定水位</w:t>
                  </w:r>
                </w:p>
              </w:tc>
              <w:tc>
                <w:tcPr>
                  <w:tcW w:w="382" w:type="pct"/>
                  <w:tcBorders>
                    <w:tl2br w:val="nil"/>
                    <w:tr2bl w:val="nil"/>
                  </w:tcBorders>
                  <w:noWrap w:val="0"/>
                  <w:vAlign w:val="center"/>
                </w:tcPr>
                <w:p w14:paraId="5808CE4C">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1年</w:t>
                  </w:r>
                </w:p>
              </w:tc>
            </w:tr>
            <w:tr w14:paraId="55C77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437" w:type="pct"/>
                  <w:vMerge w:val="restart"/>
                  <w:tcBorders>
                    <w:tl2br w:val="nil"/>
                    <w:tr2bl w:val="nil"/>
                  </w:tcBorders>
                  <w:noWrap w:val="0"/>
                  <w:vAlign w:val="center"/>
                </w:tcPr>
                <w:p w14:paraId="6C47A4BD">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土壤环境</w:t>
                  </w:r>
                </w:p>
              </w:tc>
              <w:tc>
                <w:tcPr>
                  <w:tcW w:w="926" w:type="pct"/>
                  <w:tcBorders>
                    <w:tl2br w:val="nil"/>
                    <w:tr2bl w:val="nil"/>
                  </w:tcBorders>
                  <w:noWrap w:val="0"/>
                  <w:vAlign w:val="center"/>
                </w:tcPr>
                <w:p w14:paraId="78EC06E3">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污水处理站附近</w:t>
                  </w:r>
                  <w:r>
                    <w:rPr>
                      <w:rFonts w:hint="eastAsia" w:ascii="Times New Roman" w:hAnsi="Times New Roman" w:eastAsia="宋体" w:cs="Times New Roman"/>
                      <w:color w:val="auto"/>
                      <w:kern w:val="0"/>
                      <w:sz w:val="21"/>
                      <w:szCs w:val="21"/>
                      <w:highlight w:val="none"/>
                      <w:lang w:val="en-US" w:eastAsia="zh-CN" w:bidi="ar-SA"/>
                    </w:rPr>
                    <w:t>（0~0.5m、0.5~1.5m、1.5~3m分别取样）</w:t>
                  </w:r>
                </w:p>
              </w:tc>
              <w:tc>
                <w:tcPr>
                  <w:tcW w:w="3253" w:type="pct"/>
                  <w:vMerge w:val="restart"/>
                  <w:tcBorders>
                    <w:tl2br w:val="nil"/>
                    <w:tr2bl w:val="nil"/>
                  </w:tcBorders>
                  <w:noWrap w:val="0"/>
                  <w:vAlign w:val="center"/>
                </w:tcPr>
                <w:p w14:paraId="72207E58">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重金属和无机物：砷、镉、铬（六价）、铜、铅、汞、镍；</w:t>
                  </w:r>
                </w:p>
                <w:p w14:paraId="697EDD0E">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14:paraId="501806A6">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半挥发性有机物：硝基苯、苯胺、2-氯酚、苯并[a]蒽、苯并[a]芘、苯并[b]荧蒽、苯并[k]荧蒽、䓛、二苯并[a,h]蒽、茚并[1,2,3-cd]芘、萘、石油烃（C</w:t>
                  </w:r>
                  <w:r>
                    <w:rPr>
                      <w:rFonts w:ascii="Times New Roman" w:hAnsi="Times New Roman" w:eastAsia="宋体" w:cs="Times New Roman"/>
                      <w:color w:val="auto"/>
                      <w:kern w:val="0"/>
                      <w:sz w:val="21"/>
                      <w:szCs w:val="21"/>
                      <w:highlight w:val="none"/>
                      <w:vertAlign w:val="subscript"/>
                      <w:lang w:val="en-US" w:eastAsia="zh-CN" w:bidi="ar-SA"/>
                    </w:rPr>
                    <w:t>10</w:t>
                  </w:r>
                  <w:r>
                    <w:rPr>
                      <w:rFonts w:ascii="Times New Roman" w:hAnsi="Times New Roman" w:eastAsia="宋体" w:cs="Times New Roman"/>
                      <w:color w:val="auto"/>
                      <w:kern w:val="0"/>
                      <w:sz w:val="21"/>
                      <w:szCs w:val="21"/>
                      <w:highlight w:val="none"/>
                      <w:lang w:val="en-US" w:eastAsia="zh-CN" w:bidi="ar-SA"/>
                    </w:rPr>
                    <w:t>-C</w:t>
                  </w:r>
                  <w:r>
                    <w:rPr>
                      <w:rFonts w:ascii="Times New Roman" w:hAnsi="Times New Roman" w:eastAsia="宋体" w:cs="Times New Roman"/>
                      <w:color w:val="auto"/>
                      <w:kern w:val="0"/>
                      <w:sz w:val="21"/>
                      <w:szCs w:val="21"/>
                      <w:highlight w:val="none"/>
                      <w:vertAlign w:val="subscript"/>
                      <w:lang w:val="en-US" w:eastAsia="zh-CN" w:bidi="ar-SA"/>
                    </w:rPr>
                    <w:t>40</w:t>
                  </w:r>
                  <w:r>
                    <w:rPr>
                      <w:rFonts w:ascii="Times New Roman" w:hAnsi="Times New Roman" w:eastAsia="宋体" w:cs="Times New Roman"/>
                      <w:color w:val="auto"/>
                      <w:kern w:val="0"/>
                      <w:sz w:val="21"/>
                      <w:szCs w:val="21"/>
                      <w:highlight w:val="none"/>
                      <w:lang w:val="en-US" w:eastAsia="zh-CN" w:bidi="ar-SA"/>
                    </w:rPr>
                    <w:t>）；</w:t>
                  </w:r>
                </w:p>
              </w:tc>
              <w:tc>
                <w:tcPr>
                  <w:tcW w:w="382" w:type="pct"/>
                  <w:vMerge w:val="restart"/>
                  <w:tcBorders>
                    <w:tl2br w:val="nil"/>
                    <w:tr2bl w:val="nil"/>
                  </w:tcBorders>
                  <w:noWrap w:val="0"/>
                  <w:vAlign w:val="center"/>
                </w:tcPr>
                <w:p w14:paraId="631BD46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3年</w:t>
                  </w:r>
                </w:p>
              </w:tc>
            </w:tr>
            <w:tr w14:paraId="54171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37" w:type="pct"/>
                  <w:vMerge w:val="continue"/>
                  <w:tcBorders>
                    <w:tl2br w:val="nil"/>
                    <w:tr2bl w:val="nil"/>
                  </w:tcBorders>
                  <w:noWrap w:val="0"/>
                  <w:vAlign w:val="center"/>
                </w:tcPr>
                <w:p w14:paraId="65B2C39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p>
              </w:tc>
              <w:tc>
                <w:tcPr>
                  <w:tcW w:w="926" w:type="pct"/>
                  <w:tcBorders>
                    <w:tl2br w:val="nil"/>
                    <w:tr2bl w:val="nil"/>
                  </w:tcBorders>
                  <w:noWrap w:val="0"/>
                  <w:vAlign w:val="center"/>
                </w:tcPr>
                <w:p w14:paraId="4007CCB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污水处理站附近表层（0~0.2m取样）</w:t>
                  </w:r>
                </w:p>
              </w:tc>
              <w:tc>
                <w:tcPr>
                  <w:tcW w:w="3253" w:type="pct"/>
                  <w:vMerge w:val="continue"/>
                  <w:tcBorders>
                    <w:tl2br w:val="nil"/>
                    <w:tr2bl w:val="nil"/>
                  </w:tcBorders>
                  <w:noWrap w:val="0"/>
                  <w:vAlign w:val="center"/>
                </w:tcPr>
                <w:p w14:paraId="11FB70C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p>
              </w:tc>
              <w:tc>
                <w:tcPr>
                  <w:tcW w:w="382" w:type="pct"/>
                  <w:vMerge w:val="continue"/>
                  <w:tcBorders>
                    <w:tl2br w:val="nil"/>
                    <w:tr2bl w:val="nil"/>
                  </w:tcBorders>
                  <w:noWrap w:val="0"/>
                  <w:vAlign w:val="center"/>
                </w:tcPr>
                <w:p w14:paraId="2379CB77">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p>
              </w:tc>
            </w:tr>
            <w:tr w14:paraId="529EF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5" w:hRule="atLeast"/>
                <w:jc w:val="center"/>
              </w:trPr>
              <w:tc>
                <w:tcPr>
                  <w:tcW w:w="437" w:type="pct"/>
                  <w:vMerge w:val="continue"/>
                  <w:tcBorders>
                    <w:tl2br w:val="nil"/>
                    <w:tr2bl w:val="nil"/>
                  </w:tcBorders>
                  <w:noWrap w:val="0"/>
                  <w:vAlign w:val="center"/>
                </w:tcPr>
                <w:p w14:paraId="4AF18695">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p>
              </w:tc>
              <w:tc>
                <w:tcPr>
                  <w:tcW w:w="926" w:type="pct"/>
                  <w:tcBorders>
                    <w:tl2br w:val="nil"/>
                    <w:tr2bl w:val="nil"/>
                  </w:tcBorders>
                  <w:noWrap w:val="0"/>
                  <w:vAlign w:val="center"/>
                </w:tcPr>
                <w:p w14:paraId="12C82C9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西</w:t>
                  </w:r>
                  <w:r>
                    <w:rPr>
                      <w:rFonts w:hint="eastAsia" w:ascii="Times New Roman" w:hAnsi="Times New Roman" w:eastAsia="宋体" w:cs="Times New Roman"/>
                      <w:color w:val="auto"/>
                      <w:kern w:val="0"/>
                      <w:sz w:val="21"/>
                      <w:szCs w:val="21"/>
                      <w:highlight w:val="none"/>
                      <w:lang w:val="en-US" w:eastAsia="zh-CN" w:bidi="ar-SA"/>
                    </w:rPr>
                    <w:t>侧</w:t>
                  </w:r>
                  <w:r>
                    <w:rPr>
                      <w:rFonts w:hint="eastAsia" w:cs="Times New Roman"/>
                      <w:color w:val="auto"/>
                      <w:kern w:val="0"/>
                      <w:sz w:val="21"/>
                      <w:szCs w:val="21"/>
                      <w:highlight w:val="none"/>
                      <w:lang w:val="en-US" w:eastAsia="zh-CN" w:bidi="ar-SA"/>
                    </w:rPr>
                    <w:t>空地</w:t>
                  </w:r>
                </w:p>
              </w:tc>
              <w:tc>
                <w:tcPr>
                  <w:tcW w:w="3253" w:type="pct"/>
                  <w:vMerge w:val="continue"/>
                  <w:tcBorders>
                    <w:tl2br w:val="nil"/>
                    <w:tr2bl w:val="nil"/>
                  </w:tcBorders>
                  <w:noWrap w:val="0"/>
                  <w:vAlign w:val="center"/>
                </w:tcPr>
                <w:p w14:paraId="19763F48">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ascii="Times New Roman" w:hAnsi="Times New Roman" w:eastAsia="宋体" w:cs="Times New Roman"/>
                      <w:color w:val="auto"/>
                      <w:kern w:val="0"/>
                      <w:sz w:val="21"/>
                      <w:szCs w:val="21"/>
                      <w:highlight w:val="none"/>
                      <w:lang w:val="en-US" w:eastAsia="zh-CN" w:bidi="ar-SA"/>
                    </w:rPr>
                  </w:pPr>
                </w:p>
              </w:tc>
              <w:tc>
                <w:tcPr>
                  <w:tcW w:w="382" w:type="pct"/>
                  <w:vMerge w:val="continue"/>
                  <w:tcBorders>
                    <w:tl2br w:val="nil"/>
                    <w:tr2bl w:val="nil"/>
                  </w:tcBorders>
                  <w:noWrap w:val="0"/>
                  <w:vAlign w:val="center"/>
                </w:tcPr>
                <w:p w14:paraId="48E463FB">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ascii="Times New Roman" w:hAnsi="Times New Roman" w:eastAsia="宋体" w:cs="Times New Roman"/>
                      <w:color w:val="auto"/>
                      <w:kern w:val="0"/>
                      <w:sz w:val="21"/>
                      <w:szCs w:val="21"/>
                      <w:highlight w:val="none"/>
                      <w:lang w:val="en-US" w:eastAsia="zh-CN" w:bidi="ar-SA"/>
                    </w:rPr>
                  </w:pPr>
                </w:p>
              </w:tc>
            </w:tr>
          </w:tbl>
          <w:p w14:paraId="3D53B5AD">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textAlignment w:val="auto"/>
              <w:rPr>
                <w:b/>
                <w:bCs/>
                <w:color w:val="auto"/>
                <w:szCs w:val="21"/>
                <w:highlight w:val="none"/>
              </w:rPr>
            </w:pPr>
            <w:r>
              <w:rPr>
                <w:rFonts w:hint="eastAsia"/>
                <w:b/>
                <w:bCs/>
                <w:color w:val="auto"/>
                <w:szCs w:val="21"/>
                <w:highlight w:val="none"/>
                <w:lang w:val="en-US" w:eastAsia="zh-CN"/>
              </w:rPr>
              <w:t>六、</w:t>
            </w:r>
            <w:r>
              <w:rPr>
                <w:rFonts w:hint="eastAsia"/>
                <w:b/>
                <w:bCs/>
                <w:color w:val="auto"/>
                <w:szCs w:val="21"/>
                <w:highlight w:val="none"/>
              </w:rPr>
              <w:t>环境风险分析</w:t>
            </w:r>
          </w:p>
          <w:p w14:paraId="650656AF">
            <w:pPr>
              <w:numPr>
                <w:ilvl w:val="0"/>
                <w:numId w:val="7"/>
              </w:numPr>
              <w:tabs>
                <w:tab w:val="left" w:pos="2655"/>
              </w:tabs>
              <w:spacing w:line="360" w:lineRule="auto"/>
              <w:ind w:firstLine="420" w:firstLineChars="200"/>
              <w:rPr>
                <w:color w:val="auto"/>
                <w:szCs w:val="21"/>
                <w:highlight w:val="none"/>
              </w:rPr>
            </w:pPr>
            <w:r>
              <w:rPr>
                <w:color w:val="auto"/>
                <w:szCs w:val="21"/>
                <w:highlight w:val="none"/>
              </w:rPr>
              <w:t>评价依据</w:t>
            </w:r>
          </w:p>
          <w:p w14:paraId="27F3A829">
            <w:pPr>
              <w:tabs>
                <w:tab w:val="left" w:pos="2655"/>
              </w:tabs>
              <w:spacing w:line="360" w:lineRule="auto"/>
              <w:ind w:firstLine="420" w:firstLineChars="200"/>
              <w:rPr>
                <w:color w:val="auto"/>
                <w:szCs w:val="21"/>
                <w:highlight w:val="none"/>
              </w:rPr>
            </w:pPr>
            <w:r>
              <w:rPr>
                <w:color w:val="auto"/>
                <w:szCs w:val="21"/>
                <w:highlight w:val="none"/>
              </w:rPr>
              <w:t>1）风险调查</w:t>
            </w:r>
          </w:p>
          <w:p w14:paraId="1D6843A4">
            <w:pPr>
              <w:pStyle w:val="10"/>
              <w:spacing w:before="0" w:after="0" w:line="360" w:lineRule="auto"/>
              <w:ind w:right="0" w:firstLine="420" w:firstLineChars="200"/>
              <w:rPr>
                <w:color w:val="auto"/>
                <w:sz w:val="21"/>
                <w:szCs w:val="21"/>
                <w:highlight w:val="none"/>
              </w:rPr>
            </w:pPr>
            <w:r>
              <w:rPr>
                <w:rFonts w:hint="eastAsia"/>
                <w:color w:val="auto"/>
                <w:sz w:val="21"/>
                <w:szCs w:val="21"/>
                <w:highlight w:val="none"/>
                <w:lang w:val="en-US" w:eastAsia="zh-CN"/>
              </w:rPr>
              <w:t>本项目原料仓库依托现有项目原料仓库，危废暂存间依托吸纳有项目。</w:t>
            </w:r>
            <w:r>
              <w:rPr>
                <w:color w:val="auto"/>
                <w:sz w:val="21"/>
                <w:szCs w:val="21"/>
                <w:highlight w:val="none"/>
              </w:rPr>
              <w:t>根据《建设项目环境风险评价技术导则》（HJ169-2018）中附录B中所列物质</w:t>
            </w:r>
            <w:r>
              <w:rPr>
                <w:rFonts w:hint="eastAsia"/>
                <w:color w:val="auto"/>
                <w:sz w:val="21"/>
                <w:szCs w:val="21"/>
                <w:highlight w:val="none"/>
              </w:rPr>
              <w:t>，</w:t>
            </w:r>
            <w:r>
              <w:rPr>
                <w:rFonts w:hint="eastAsia"/>
                <w:color w:val="auto"/>
                <w:sz w:val="21"/>
                <w:szCs w:val="21"/>
                <w:highlight w:val="none"/>
                <w:lang w:val="en-US" w:eastAsia="zh-CN"/>
              </w:rPr>
              <w:t>本项目</w:t>
            </w:r>
            <w:r>
              <w:rPr>
                <w:rFonts w:hint="eastAsia"/>
                <w:color w:val="auto"/>
                <w:sz w:val="21"/>
                <w:szCs w:val="21"/>
                <w:highlight w:val="none"/>
              </w:rPr>
              <w:t>主要涉及环境风险物质主要为</w:t>
            </w:r>
            <w:r>
              <w:rPr>
                <w:rFonts w:hint="eastAsia"/>
                <w:color w:val="auto"/>
                <w:sz w:val="21"/>
                <w:szCs w:val="21"/>
                <w:highlight w:val="none"/>
                <w:lang w:val="en-US" w:eastAsia="zh-CN"/>
              </w:rPr>
              <w:t>天然气、</w:t>
            </w:r>
            <w:bookmarkStart w:id="26" w:name="OLE_LINK6"/>
            <w:r>
              <w:rPr>
                <w:rFonts w:hint="eastAsia"/>
                <w:color w:val="auto"/>
                <w:sz w:val="21"/>
                <w:szCs w:val="21"/>
                <w:highlight w:val="none"/>
                <w:lang w:val="en-US" w:eastAsia="zh-CN"/>
              </w:rPr>
              <w:t>脱脂粉、表调剂、皮膜液、片碱、生石灰、脱脂剂、塑粉、润滑油</w:t>
            </w:r>
            <w:bookmarkEnd w:id="26"/>
            <w:r>
              <w:rPr>
                <w:rFonts w:hint="eastAsia"/>
                <w:color w:val="auto"/>
                <w:sz w:val="21"/>
                <w:szCs w:val="21"/>
                <w:highlight w:val="none"/>
              </w:rPr>
              <w:t>及危险废物。</w:t>
            </w:r>
          </w:p>
          <w:p w14:paraId="71F9678E">
            <w:pPr>
              <w:tabs>
                <w:tab w:val="left" w:pos="2655"/>
              </w:tabs>
              <w:spacing w:line="360" w:lineRule="auto"/>
              <w:ind w:firstLine="420" w:firstLineChars="200"/>
              <w:rPr>
                <w:color w:val="auto"/>
                <w:szCs w:val="21"/>
                <w:highlight w:val="none"/>
              </w:rPr>
            </w:pPr>
            <w:r>
              <w:rPr>
                <w:rFonts w:hint="eastAsia"/>
                <w:color w:val="auto"/>
                <w:szCs w:val="21"/>
                <w:highlight w:val="none"/>
              </w:rPr>
              <w:t>2）危险物质数量与临界量比值（Q）</w:t>
            </w:r>
          </w:p>
          <w:p w14:paraId="180A082F">
            <w:pPr>
              <w:pStyle w:val="10"/>
              <w:spacing w:before="0" w:after="0" w:line="360" w:lineRule="auto"/>
              <w:ind w:right="0" w:firstLine="420" w:firstLineChars="200"/>
              <w:rPr>
                <w:color w:val="auto"/>
                <w:sz w:val="21"/>
                <w:szCs w:val="21"/>
                <w:highlight w:val="none"/>
              </w:rPr>
            </w:pPr>
            <w:r>
              <w:rPr>
                <w:color w:val="auto"/>
                <w:sz w:val="21"/>
                <w:szCs w:val="21"/>
                <w:highlight w:val="none"/>
              </w:rPr>
              <w:t>计算所涉及的每种危险物质在厂界内的最大存在总量与其在附录</w:t>
            </w:r>
            <w:r>
              <w:rPr>
                <w:rFonts w:hint="eastAsia"/>
                <w:color w:val="auto"/>
                <w:sz w:val="21"/>
                <w:szCs w:val="21"/>
                <w:highlight w:val="none"/>
              </w:rPr>
              <w:t>B</w:t>
            </w:r>
            <w:r>
              <w:rPr>
                <w:color w:val="auto"/>
                <w:sz w:val="21"/>
                <w:szCs w:val="21"/>
                <w:highlight w:val="none"/>
              </w:rPr>
              <w:t>中对应临界量的比值Q。在不同厂区的同一种物质</w:t>
            </w:r>
            <w:r>
              <w:rPr>
                <w:rFonts w:hint="eastAsia"/>
                <w:color w:val="auto"/>
                <w:sz w:val="21"/>
                <w:szCs w:val="21"/>
                <w:highlight w:val="none"/>
              </w:rPr>
              <w:t>，</w:t>
            </w:r>
            <w:r>
              <w:rPr>
                <w:color w:val="auto"/>
                <w:sz w:val="21"/>
                <w:szCs w:val="21"/>
                <w:highlight w:val="none"/>
              </w:rPr>
              <w:t>按其在厂界内的最大存在总量计算。当只涉及一种危险物质时</w:t>
            </w:r>
            <w:r>
              <w:rPr>
                <w:rFonts w:hint="eastAsia"/>
                <w:color w:val="auto"/>
                <w:sz w:val="21"/>
                <w:szCs w:val="21"/>
                <w:highlight w:val="none"/>
              </w:rPr>
              <w:t>，</w:t>
            </w:r>
            <w:r>
              <w:rPr>
                <w:color w:val="auto"/>
                <w:sz w:val="21"/>
                <w:szCs w:val="21"/>
                <w:highlight w:val="none"/>
              </w:rPr>
              <w:t>计算该物质的总量与其临界量比值</w:t>
            </w:r>
            <w:r>
              <w:rPr>
                <w:rFonts w:hint="eastAsia"/>
                <w:color w:val="auto"/>
                <w:sz w:val="21"/>
                <w:szCs w:val="21"/>
                <w:highlight w:val="none"/>
              </w:rPr>
              <w:t>，</w:t>
            </w:r>
            <w:r>
              <w:rPr>
                <w:color w:val="auto"/>
                <w:sz w:val="21"/>
                <w:szCs w:val="21"/>
                <w:highlight w:val="none"/>
              </w:rPr>
              <w:t>即为Q；当存在多种危险物质时</w:t>
            </w:r>
            <w:r>
              <w:rPr>
                <w:rFonts w:hint="eastAsia"/>
                <w:color w:val="auto"/>
                <w:sz w:val="21"/>
                <w:szCs w:val="21"/>
                <w:highlight w:val="none"/>
              </w:rPr>
              <w:t>，</w:t>
            </w:r>
            <w:r>
              <w:rPr>
                <w:color w:val="auto"/>
                <w:sz w:val="21"/>
                <w:szCs w:val="21"/>
                <w:highlight w:val="none"/>
              </w:rPr>
              <w:t>则按式</w:t>
            </w:r>
            <w:r>
              <w:rPr>
                <w:rFonts w:hint="eastAsia"/>
                <w:color w:val="auto"/>
                <w:sz w:val="21"/>
                <w:szCs w:val="21"/>
                <w:highlight w:val="none"/>
              </w:rPr>
              <w:t>（</w:t>
            </w:r>
            <w:r>
              <w:rPr>
                <w:color w:val="auto"/>
                <w:sz w:val="21"/>
                <w:szCs w:val="21"/>
                <w:highlight w:val="none"/>
              </w:rPr>
              <w:t>C.1</w:t>
            </w:r>
            <w:r>
              <w:rPr>
                <w:rFonts w:hint="eastAsia"/>
                <w:color w:val="auto"/>
                <w:sz w:val="21"/>
                <w:szCs w:val="21"/>
                <w:highlight w:val="none"/>
              </w:rPr>
              <w:t>）</w:t>
            </w:r>
            <w:r>
              <w:rPr>
                <w:color w:val="auto"/>
                <w:sz w:val="21"/>
                <w:szCs w:val="21"/>
                <w:highlight w:val="none"/>
              </w:rPr>
              <w:t>计算物质总量与其临界量比值</w:t>
            </w:r>
            <w:r>
              <w:rPr>
                <w:rFonts w:hint="eastAsia"/>
                <w:color w:val="auto"/>
                <w:sz w:val="21"/>
                <w:szCs w:val="21"/>
                <w:highlight w:val="none"/>
              </w:rPr>
              <w:t>（</w:t>
            </w:r>
            <w:r>
              <w:rPr>
                <w:color w:val="auto"/>
                <w:sz w:val="21"/>
                <w:szCs w:val="21"/>
                <w:highlight w:val="none"/>
              </w:rPr>
              <w:t>Q</w:t>
            </w:r>
            <w:r>
              <w:rPr>
                <w:rFonts w:hint="eastAsia"/>
                <w:color w:val="auto"/>
                <w:sz w:val="21"/>
                <w:szCs w:val="21"/>
                <w:highlight w:val="none"/>
              </w:rPr>
              <w:t>）</w:t>
            </w:r>
            <w:r>
              <w:rPr>
                <w:color w:val="auto"/>
                <w:sz w:val="21"/>
                <w:szCs w:val="21"/>
                <w:highlight w:val="none"/>
              </w:rPr>
              <w:t>：</w:t>
            </w:r>
          </w:p>
          <w:p w14:paraId="5AA655DE">
            <w:pPr>
              <w:pStyle w:val="10"/>
              <w:spacing w:before="0" w:after="0" w:line="360" w:lineRule="auto"/>
              <w:ind w:right="0"/>
              <w:jc w:val="center"/>
              <w:rPr>
                <w:color w:val="auto"/>
                <w:sz w:val="21"/>
                <w:szCs w:val="21"/>
                <w:highlight w:val="none"/>
              </w:rPr>
            </w:pPr>
            <w:r>
              <w:rPr>
                <w:rFonts w:hint="eastAsia"/>
                <w:color w:val="auto"/>
                <w:position w:val="-30"/>
                <w:sz w:val="21"/>
                <w:szCs w:val="21"/>
                <w:highlight w:val="none"/>
              </w:rPr>
              <w:object>
                <v:shape id="_x0000_i1031" o:spt="75" type="#_x0000_t75" style="height:33.75pt;width:117pt;" o:ole="t"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1" r:id="rId37">
                  <o:LockedField>false</o:LockedField>
                </o:OLEObject>
              </w:object>
            </w:r>
          </w:p>
          <w:p w14:paraId="7DFB6297">
            <w:pPr>
              <w:pStyle w:val="10"/>
              <w:spacing w:before="0" w:after="0" w:line="360" w:lineRule="auto"/>
              <w:ind w:right="0" w:firstLine="420" w:firstLineChars="200"/>
              <w:rPr>
                <w:color w:val="auto"/>
                <w:sz w:val="21"/>
                <w:szCs w:val="21"/>
                <w:highlight w:val="none"/>
              </w:rPr>
            </w:pPr>
            <w:r>
              <w:rPr>
                <w:color w:val="auto"/>
                <w:sz w:val="21"/>
                <w:szCs w:val="21"/>
                <w:highlight w:val="none"/>
              </w:rPr>
              <w:t>式中</w:t>
            </w:r>
            <w:r>
              <w:rPr>
                <w:rFonts w:hint="eastAsia"/>
                <w:color w:val="auto"/>
                <w:sz w:val="21"/>
                <w:szCs w:val="21"/>
                <w:highlight w:val="none"/>
              </w:rPr>
              <w:t>，</w:t>
            </w:r>
            <w:r>
              <w:rPr>
                <w:color w:val="auto"/>
                <w:sz w:val="21"/>
                <w:szCs w:val="21"/>
                <w:highlight w:val="none"/>
              </w:rPr>
              <w:t>q</w:t>
            </w:r>
            <w:r>
              <w:rPr>
                <w:color w:val="auto"/>
                <w:sz w:val="21"/>
                <w:szCs w:val="21"/>
                <w:highlight w:val="none"/>
                <w:vertAlign w:val="subscript"/>
              </w:rPr>
              <w:t>1</w:t>
            </w:r>
            <w:r>
              <w:rPr>
                <w:rFonts w:hint="eastAsia"/>
                <w:color w:val="auto"/>
                <w:sz w:val="21"/>
                <w:szCs w:val="21"/>
                <w:highlight w:val="none"/>
              </w:rPr>
              <w:t>，</w:t>
            </w:r>
            <w:r>
              <w:rPr>
                <w:color w:val="auto"/>
                <w:sz w:val="21"/>
                <w:szCs w:val="21"/>
                <w:highlight w:val="none"/>
              </w:rPr>
              <w:t>q</w:t>
            </w:r>
            <w:r>
              <w:rPr>
                <w:color w:val="auto"/>
                <w:sz w:val="21"/>
                <w:szCs w:val="21"/>
                <w:highlight w:val="none"/>
                <w:vertAlign w:val="subscript"/>
              </w:rPr>
              <w:t>2</w:t>
            </w:r>
            <w:r>
              <w:rPr>
                <w:color w:val="auto"/>
                <w:sz w:val="21"/>
                <w:szCs w:val="21"/>
                <w:highlight w:val="none"/>
              </w:rPr>
              <w:t>…</w:t>
            </w:r>
            <w:r>
              <w:rPr>
                <w:rFonts w:hint="eastAsia"/>
                <w:color w:val="auto"/>
                <w:sz w:val="21"/>
                <w:szCs w:val="21"/>
                <w:highlight w:val="none"/>
              </w:rPr>
              <w:t>，</w:t>
            </w:r>
            <w:r>
              <w:rPr>
                <w:color w:val="auto"/>
                <w:sz w:val="21"/>
                <w:szCs w:val="21"/>
                <w:highlight w:val="none"/>
              </w:rPr>
              <w:t>q</w:t>
            </w:r>
            <w:r>
              <w:rPr>
                <w:color w:val="auto"/>
                <w:sz w:val="21"/>
                <w:szCs w:val="21"/>
                <w:highlight w:val="none"/>
                <w:vertAlign w:val="subscript"/>
              </w:rPr>
              <w:t>n</w:t>
            </w:r>
            <w:r>
              <w:rPr>
                <w:color w:val="auto"/>
                <w:sz w:val="21"/>
                <w:szCs w:val="21"/>
                <w:highlight w:val="none"/>
              </w:rPr>
              <w:t>—每种危险物质的最大存在总量</w:t>
            </w:r>
            <w:r>
              <w:rPr>
                <w:rFonts w:hint="eastAsia"/>
                <w:color w:val="auto"/>
                <w:sz w:val="21"/>
                <w:szCs w:val="21"/>
                <w:highlight w:val="none"/>
              </w:rPr>
              <w:t>，</w:t>
            </w:r>
            <w:r>
              <w:rPr>
                <w:color w:val="auto"/>
                <w:sz w:val="21"/>
                <w:szCs w:val="21"/>
                <w:highlight w:val="none"/>
              </w:rPr>
              <w:t>t。</w:t>
            </w:r>
          </w:p>
          <w:p w14:paraId="4A553319">
            <w:pPr>
              <w:pStyle w:val="10"/>
              <w:spacing w:before="0" w:after="0" w:line="360" w:lineRule="auto"/>
              <w:ind w:right="0" w:firstLine="1050" w:firstLineChars="500"/>
              <w:rPr>
                <w:color w:val="auto"/>
                <w:sz w:val="21"/>
                <w:szCs w:val="21"/>
                <w:highlight w:val="none"/>
              </w:rPr>
            </w:pPr>
            <w:r>
              <w:rPr>
                <w:color w:val="auto"/>
                <w:sz w:val="21"/>
                <w:szCs w:val="21"/>
                <w:highlight w:val="none"/>
              </w:rPr>
              <w:t>Q</w:t>
            </w:r>
            <w:r>
              <w:rPr>
                <w:color w:val="auto"/>
                <w:sz w:val="21"/>
                <w:szCs w:val="21"/>
                <w:highlight w:val="none"/>
                <w:vertAlign w:val="subscript"/>
              </w:rPr>
              <w:t>1</w:t>
            </w:r>
            <w:r>
              <w:rPr>
                <w:rFonts w:hint="eastAsia"/>
                <w:color w:val="auto"/>
                <w:sz w:val="21"/>
                <w:szCs w:val="21"/>
                <w:highlight w:val="none"/>
              </w:rPr>
              <w:t>，</w:t>
            </w:r>
            <w:r>
              <w:rPr>
                <w:color w:val="auto"/>
                <w:sz w:val="21"/>
                <w:szCs w:val="21"/>
                <w:highlight w:val="none"/>
              </w:rPr>
              <w:t>Q</w:t>
            </w:r>
            <w:r>
              <w:rPr>
                <w:color w:val="auto"/>
                <w:sz w:val="21"/>
                <w:szCs w:val="21"/>
                <w:highlight w:val="none"/>
                <w:vertAlign w:val="subscript"/>
              </w:rPr>
              <w:t>2</w:t>
            </w:r>
            <w:r>
              <w:rPr>
                <w:color w:val="auto"/>
                <w:sz w:val="21"/>
                <w:szCs w:val="21"/>
                <w:highlight w:val="none"/>
              </w:rPr>
              <w:t>…Q</w:t>
            </w:r>
            <w:r>
              <w:rPr>
                <w:color w:val="auto"/>
                <w:sz w:val="21"/>
                <w:szCs w:val="21"/>
                <w:highlight w:val="none"/>
                <w:vertAlign w:val="subscript"/>
              </w:rPr>
              <w:t>n</w:t>
            </w:r>
            <w:r>
              <w:rPr>
                <w:color w:val="auto"/>
                <w:sz w:val="21"/>
                <w:szCs w:val="21"/>
                <w:highlight w:val="none"/>
              </w:rPr>
              <w:t>—每种危险物质的临界量</w:t>
            </w:r>
            <w:r>
              <w:rPr>
                <w:rFonts w:hint="eastAsia"/>
                <w:color w:val="auto"/>
                <w:sz w:val="21"/>
                <w:szCs w:val="21"/>
                <w:highlight w:val="none"/>
              </w:rPr>
              <w:t>，</w:t>
            </w:r>
            <w:r>
              <w:rPr>
                <w:color w:val="auto"/>
                <w:sz w:val="21"/>
                <w:szCs w:val="21"/>
                <w:highlight w:val="none"/>
              </w:rPr>
              <w:t>t。</w:t>
            </w:r>
          </w:p>
          <w:p w14:paraId="12C8D8B7">
            <w:pPr>
              <w:pStyle w:val="10"/>
              <w:spacing w:before="0" w:after="0" w:line="360" w:lineRule="auto"/>
              <w:ind w:right="0" w:firstLine="1050" w:firstLineChars="500"/>
              <w:rPr>
                <w:color w:val="auto"/>
                <w:sz w:val="21"/>
                <w:szCs w:val="21"/>
                <w:highlight w:val="none"/>
              </w:rPr>
            </w:pPr>
            <w:r>
              <w:rPr>
                <w:color w:val="auto"/>
                <w:sz w:val="21"/>
                <w:szCs w:val="21"/>
                <w:highlight w:val="none"/>
              </w:rPr>
              <w:t>当Q＜1时</w:t>
            </w:r>
            <w:r>
              <w:rPr>
                <w:rFonts w:hint="eastAsia"/>
                <w:color w:val="auto"/>
                <w:sz w:val="21"/>
                <w:szCs w:val="21"/>
                <w:highlight w:val="none"/>
              </w:rPr>
              <w:t>，</w:t>
            </w:r>
            <w:r>
              <w:rPr>
                <w:color w:val="auto"/>
                <w:sz w:val="21"/>
                <w:szCs w:val="21"/>
                <w:highlight w:val="none"/>
              </w:rPr>
              <w:t>该项目环境风险潜势为Ⅰ。</w:t>
            </w:r>
          </w:p>
          <w:p w14:paraId="7236FDFB">
            <w:pPr>
              <w:pStyle w:val="10"/>
              <w:spacing w:before="0" w:after="0" w:line="360" w:lineRule="auto"/>
              <w:ind w:right="0" w:firstLine="630" w:firstLineChars="300"/>
              <w:rPr>
                <w:color w:val="auto"/>
                <w:sz w:val="21"/>
                <w:szCs w:val="21"/>
                <w:highlight w:val="none"/>
              </w:rPr>
            </w:pPr>
            <w:r>
              <w:rPr>
                <w:color w:val="auto"/>
                <w:sz w:val="21"/>
                <w:szCs w:val="21"/>
                <w:highlight w:val="none"/>
              </w:rPr>
              <w:t>当Q≥1时</w:t>
            </w:r>
            <w:r>
              <w:rPr>
                <w:rFonts w:hint="eastAsia"/>
                <w:color w:val="auto"/>
                <w:sz w:val="21"/>
                <w:szCs w:val="21"/>
                <w:highlight w:val="none"/>
              </w:rPr>
              <w:t>，</w:t>
            </w:r>
            <w:r>
              <w:rPr>
                <w:color w:val="auto"/>
                <w:sz w:val="21"/>
                <w:szCs w:val="21"/>
                <w:highlight w:val="none"/>
              </w:rPr>
              <w:t>将Q值划分为：（1）1≤Q＜10；（2）10≤Q＜100；（3）Q≥100。</w:t>
            </w:r>
          </w:p>
          <w:p w14:paraId="46F25166">
            <w:pPr>
              <w:pStyle w:val="10"/>
              <w:spacing w:before="0" w:after="0" w:line="360" w:lineRule="auto"/>
              <w:ind w:right="0" w:firstLine="420" w:firstLineChars="200"/>
              <w:rPr>
                <w:color w:val="auto"/>
                <w:sz w:val="21"/>
                <w:szCs w:val="21"/>
                <w:highlight w:val="none"/>
              </w:rPr>
            </w:pPr>
            <w:r>
              <w:rPr>
                <w:rFonts w:hint="eastAsia"/>
                <w:color w:val="auto"/>
                <w:sz w:val="21"/>
                <w:szCs w:val="21"/>
                <w:highlight w:val="none"/>
              </w:rPr>
              <w:t>参考《建设项目环境风险评价技术导则》（HJ169-2018）附录 B中各物质选取临界量并计算q/Q值，详见表4-</w:t>
            </w:r>
            <w:r>
              <w:rPr>
                <w:rFonts w:hint="eastAsia"/>
                <w:color w:val="auto"/>
                <w:sz w:val="21"/>
                <w:szCs w:val="21"/>
                <w:highlight w:val="none"/>
                <w:lang w:val="en-US" w:eastAsia="zh-CN"/>
              </w:rPr>
              <w:t>38</w:t>
            </w:r>
            <w:r>
              <w:rPr>
                <w:rFonts w:hint="eastAsia"/>
                <w:color w:val="auto"/>
                <w:sz w:val="21"/>
                <w:szCs w:val="21"/>
                <w:highlight w:val="none"/>
              </w:rPr>
              <w:t>。</w:t>
            </w:r>
          </w:p>
          <w:p w14:paraId="529FA7B5">
            <w:pPr>
              <w:pStyle w:val="10"/>
              <w:keepNext w:val="0"/>
              <w:keepLines w:val="0"/>
              <w:pageBreakBefore w:val="0"/>
              <w:widowControl/>
              <w:kinsoku/>
              <w:wordWrap/>
              <w:overflowPunct/>
              <w:topLinePunct w:val="0"/>
              <w:autoSpaceDE/>
              <w:autoSpaceDN/>
              <w:bidi w:val="0"/>
              <w:adjustRightInd/>
              <w:snapToGrid w:val="0"/>
              <w:spacing w:before="157" w:beforeLines="50" w:after="0" w:line="240" w:lineRule="auto"/>
              <w:ind w:right="0"/>
              <w:jc w:val="center"/>
              <w:textAlignment w:val="auto"/>
              <w:rPr>
                <w:b/>
                <w:bCs/>
                <w:color w:val="auto"/>
                <w:sz w:val="21"/>
                <w:szCs w:val="21"/>
                <w:highlight w:val="none"/>
              </w:rPr>
            </w:pPr>
            <w:r>
              <w:rPr>
                <w:rFonts w:hint="eastAsia"/>
                <w:b/>
                <w:bCs/>
                <w:color w:val="auto"/>
                <w:sz w:val="21"/>
                <w:szCs w:val="21"/>
                <w:highlight w:val="none"/>
              </w:rPr>
              <w:t>表4-</w:t>
            </w:r>
            <w:r>
              <w:rPr>
                <w:rFonts w:hint="eastAsia"/>
                <w:b/>
                <w:bCs/>
                <w:color w:val="auto"/>
                <w:sz w:val="21"/>
                <w:szCs w:val="21"/>
                <w:highlight w:val="none"/>
                <w:lang w:val="en-US" w:eastAsia="zh-CN"/>
              </w:rPr>
              <w:t>38</w:t>
            </w:r>
            <w:r>
              <w:rPr>
                <w:rFonts w:hint="eastAsia"/>
                <w:b/>
                <w:bCs/>
                <w:color w:val="auto"/>
                <w:sz w:val="21"/>
                <w:szCs w:val="21"/>
                <w:highlight w:val="none"/>
              </w:rPr>
              <w:t xml:space="preserve"> 本项目涉及危险物质q/Q值计算（单位：t）</w:t>
            </w:r>
          </w:p>
          <w:tbl>
            <w:tblPr>
              <w:tblStyle w:val="30"/>
              <w:tblW w:w="82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4"/>
              <w:gridCol w:w="450"/>
              <w:gridCol w:w="736"/>
              <w:gridCol w:w="906"/>
              <w:gridCol w:w="906"/>
              <w:gridCol w:w="906"/>
              <w:gridCol w:w="1881"/>
              <w:gridCol w:w="1882"/>
            </w:tblGrid>
            <w:tr w14:paraId="0C438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554" w:type="dxa"/>
                  <w:noWrap/>
                  <w:vAlign w:val="center"/>
                </w:tcPr>
                <w:p w14:paraId="3CE4F464">
                  <w:pPr>
                    <w:widowControl/>
                    <w:jc w:val="center"/>
                    <w:rPr>
                      <w:b/>
                      <w:bCs/>
                      <w:color w:val="auto"/>
                      <w:szCs w:val="21"/>
                      <w:highlight w:val="none"/>
                      <w:lang w:bidi="ar"/>
                    </w:rPr>
                  </w:pPr>
                  <w:r>
                    <w:rPr>
                      <w:rFonts w:hint="eastAsia"/>
                      <w:b/>
                      <w:bCs/>
                      <w:color w:val="auto"/>
                      <w:szCs w:val="21"/>
                      <w:highlight w:val="none"/>
                      <w:lang w:bidi="ar"/>
                    </w:rPr>
                    <w:t>序号</w:t>
                  </w:r>
                </w:p>
              </w:tc>
              <w:tc>
                <w:tcPr>
                  <w:tcW w:w="1186" w:type="dxa"/>
                  <w:gridSpan w:val="2"/>
                  <w:noWrap/>
                  <w:vAlign w:val="center"/>
                </w:tcPr>
                <w:p w14:paraId="62D5DE61">
                  <w:pPr>
                    <w:widowControl/>
                    <w:jc w:val="center"/>
                    <w:rPr>
                      <w:b/>
                      <w:bCs/>
                      <w:color w:val="auto"/>
                      <w:szCs w:val="21"/>
                      <w:highlight w:val="none"/>
                    </w:rPr>
                  </w:pPr>
                  <w:r>
                    <w:rPr>
                      <w:rFonts w:hint="eastAsia"/>
                      <w:b/>
                      <w:bCs/>
                      <w:color w:val="auto"/>
                      <w:szCs w:val="21"/>
                      <w:highlight w:val="none"/>
                      <w:lang w:bidi="ar"/>
                    </w:rPr>
                    <w:t>物质名称</w:t>
                  </w:r>
                </w:p>
              </w:tc>
              <w:tc>
                <w:tcPr>
                  <w:tcW w:w="906" w:type="dxa"/>
                  <w:noWrap/>
                  <w:vAlign w:val="center"/>
                </w:tcPr>
                <w:p w14:paraId="731F6804">
                  <w:pPr>
                    <w:widowControl/>
                    <w:jc w:val="center"/>
                    <w:textAlignment w:val="center"/>
                    <w:rPr>
                      <w:b/>
                      <w:bCs/>
                      <w:color w:val="auto"/>
                      <w:szCs w:val="21"/>
                      <w:highlight w:val="none"/>
                    </w:rPr>
                  </w:pPr>
                  <w:r>
                    <w:rPr>
                      <w:rFonts w:hint="eastAsia" w:ascii="Times New Roman" w:eastAsia="宋体"/>
                      <w:b/>
                      <w:bCs/>
                      <w:color w:val="auto"/>
                      <w:highlight w:val="none"/>
                      <w:lang w:val="en-US" w:eastAsia="zh-CN"/>
                    </w:rPr>
                    <w:t>最大贮存量</w:t>
                  </w:r>
                  <w:r>
                    <w:rPr>
                      <w:rFonts w:hint="eastAsia"/>
                      <w:b/>
                      <w:bCs/>
                      <w:color w:val="auto"/>
                      <w:kern w:val="0"/>
                      <w:szCs w:val="21"/>
                      <w:highlight w:val="none"/>
                      <w:lang w:bidi="ar"/>
                    </w:rPr>
                    <w:t>（t）</w:t>
                  </w:r>
                </w:p>
              </w:tc>
              <w:tc>
                <w:tcPr>
                  <w:tcW w:w="906" w:type="dxa"/>
                  <w:noWrap/>
                  <w:vAlign w:val="center"/>
                </w:tcPr>
                <w:p w14:paraId="068A121C">
                  <w:pPr>
                    <w:widowControl/>
                    <w:jc w:val="center"/>
                    <w:textAlignment w:val="center"/>
                    <w:rPr>
                      <w:rFonts w:hint="eastAsia" w:eastAsia="宋体"/>
                      <w:b/>
                      <w:bCs/>
                      <w:color w:val="auto"/>
                      <w:kern w:val="0"/>
                      <w:szCs w:val="21"/>
                      <w:highlight w:val="none"/>
                      <w:lang w:val="en-US" w:eastAsia="zh-CN" w:bidi="ar"/>
                    </w:rPr>
                  </w:pPr>
                  <w:r>
                    <w:rPr>
                      <w:rFonts w:hint="eastAsia"/>
                      <w:b/>
                      <w:bCs/>
                      <w:color w:val="auto"/>
                      <w:kern w:val="0"/>
                      <w:szCs w:val="21"/>
                      <w:highlight w:val="none"/>
                      <w:lang w:val="en-US" w:eastAsia="zh-CN" w:bidi="ar"/>
                    </w:rPr>
                    <w:t>在线量</w:t>
                  </w:r>
                  <w:r>
                    <w:rPr>
                      <w:rFonts w:hint="eastAsia"/>
                      <w:b/>
                      <w:bCs/>
                      <w:color w:val="auto"/>
                      <w:kern w:val="0"/>
                      <w:szCs w:val="21"/>
                      <w:highlight w:val="none"/>
                      <w:lang w:bidi="ar"/>
                    </w:rPr>
                    <w:t>（t）</w:t>
                  </w:r>
                </w:p>
              </w:tc>
              <w:tc>
                <w:tcPr>
                  <w:tcW w:w="906" w:type="dxa"/>
                  <w:noWrap/>
                  <w:vAlign w:val="center"/>
                </w:tcPr>
                <w:p w14:paraId="238923AE">
                  <w:pPr>
                    <w:widowControl/>
                    <w:jc w:val="center"/>
                    <w:textAlignment w:val="center"/>
                    <w:rPr>
                      <w:b/>
                      <w:bCs/>
                      <w:color w:val="auto"/>
                      <w:kern w:val="0"/>
                      <w:szCs w:val="21"/>
                      <w:highlight w:val="none"/>
                      <w:lang w:bidi="ar"/>
                    </w:rPr>
                  </w:pPr>
                  <w:r>
                    <w:rPr>
                      <w:b/>
                      <w:bCs/>
                      <w:color w:val="auto"/>
                      <w:kern w:val="0"/>
                      <w:szCs w:val="21"/>
                      <w:highlight w:val="none"/>
                      <w:lang w:bidi="ar"/>
                    </w:rPr>
                    <w:t>最大</w:t>
                  </w:r>
                  <w:r>
                    <w:rPr>
                      <w:rFonts w:hint="eastAsia"/>
                      <w:b/>
                      <w:bCs/>
                      <w:color w:val="auto"/>
                      <w:kern w:val="0"/>
                      <w:szCs w:val="21"/>
                      <w:highlight w:val="none"/>
                      <w:lang w:val="en-US" w:eastAsia="zh-CN" w:bidi="ar"/>
                    </w:rPr>
                    <w:t>存在总</w:t>
                  </w:r>
                  <w:r>
                    <w:rPr>
                      <w:b/>
                      <w:bCs/>
                      <w:color w:val="auto"/>
                      <w:kern w:val="0"/>
                      <w:szCs w:val="21"/>
                      <w:highlight w:val="none"/>
                      <w:lang w:bidi="ar"/>
                    </w:rPr>
                    <w:t>量</w:t>
                  </w:r>
                  <w:r>
                    <w:rPr>
                      <w:rFonts w:hint="eastAsia"/>
                      <w:b/>
                      <w:bCs/>
                      <w:color w:val="auto"/>
                      <w:kern w:val="0"/>
                      <w:szCs w:val="21"/>
                      <w:highlight w:val="none"/>
                      <w:lang w:bidi="ar"/>
                    </w:rPr>
                    <w:t>（t）</w:t>
                  </w:r>
                </w:p>
              </w:tc>
              <w:tc>
                <w:tcPr>
                  <w:tcW w:w="1881" w:type="dxa"/>
                  <w:noWrap/>
                  <w:vAlign w:val="center"/>
                </w:tcPr>
                <w:p w14:paraId="74976901">
                  <w:pPr>
                    <w:widowControl/>
                    <w:jc w:val="center"/>
                    <w:textAlignment w:val="center"/>
                    <w:rPr>
                      <w:b/>
                      <w:bCs/>
                      <w:color w:val="auto"/>
                      <w:kern w:val="0"/>
                      <w:szCs w:val="21"/>
                      <w:highlight w:val="none"/>
                      <w:lang w:bidi="ar"/>
                    </w:rPr>
                  </w:pPr>
                  <w:r>
                    <w:rPr>
                      <w:rFonts w:hint="eastAsia"/>
                      <w:b/>
                      <w:bCs/>
                      <w:color w:val="auto"/>
                      <w:kern w:val="0"/>
                      <w:szCs w:val="21"/>
                      <w:highlight w:val="none"/>
                      <w:lang w:bidi="ar"/>
                    </w:rPr>
                    <w:t>临界量（t）</w:t>
                  </w:r>
                </w:p>
              </w:tc>
              <w:tc>
                <w:tcPr>
                  <w:tcW w:w="1882" w:type="dxa"/>
                  <w:noWrap/>
                  <w:vAlign w:val="center"/>
                </w:tcPr>
                <w:p w14:paraId="29020DD9">
                  <w:pPr>
                    <w:widowControl/>
                    <w:jc w:val="center"/>
                    <w:textAlignment w:val="center"/>
                    <w:rPr>
                      <w:b/>
                      <w:bCs/>
                      <w:color w:val="auto"/>
                      <w:kern w:val="0"/>
                      <w:szCs w:val="21"/>
                      <w:highlight w:val="none"/>
                      <w:lang w:bidi="ar"/>
                    </w:rPr>
                  </w:pPr>
                  <w:r>
                    <w:rPr>
                      <w:rFonts w:hint="eastAsia"/>
                      <w:b/>
                      <w:bCs/>
                      <w:color w:val="auto"/>
                      <w:szCs w:val="21"/>
                      <w:highlight w:val="none"/>
                    </w:rPr>
                    <w:t>q/Q</w:t>
                  </w:r>
                </w:p>
              </w:tc>
            </w:tr>
            <w:tr w14:paraId="6FD8B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6E759AD3">
                  <w:pPr>
                    <w:widowControl/>
                    <w:jc w:val="center"/>
                    <w:rPr>
                      <w:color w:val="auto"/>
                      <w:szCs w:val="21"/>
                      <w:highlight w:val="none"/>
                    </w:rPr>
                  </w:pPr>
                  <w:r>
                    <w:rPr>
                      <w:rFonts w:hint="eastAsia"/>
                      <w:color w:val="auto"/>
                      <w:szCs w:val="21"/>
                      <w:highlight w:val="none"/>
                    </w:rPr>
                    <w:t>1</w:t>
                  </w:r>
                </w:p>
              </w:tc>
              <w:tc>
                <w:tcPr>
                  <w:tcW w:w="1186" w:type="dxa"/>
                  <w:gridSpan w:val="2"/>
                  <w:noWrap/>
                  <w:vAlign w:val="center"/>
                </w:tcPr>
                <w:p w14:paraId="7E377427">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天然气</w:t>
                  </w:r>
                </w:p>
              </w:tc>
              <w:tc>
                <w:tcPr>
                  <w:tcW w:w="906" w:type="dxa"/>
                  <w:noWrap/>
                  <w:vAlign w:val="center"/>
                </w:tcPr>
                <w:p w14:paraId="227CCD9C">
                  <w:pPr>
                    <w:spacing w:line="0" w:lineRule="atLeast"/>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w:t>
                  </w:r>
                </w:p>
              </w:tc>
              <w:tc>
                <w:tcPr>
                  <w:tcW w:w="906" w:type="dxa"/>
                  <w:noWrap/>
                  <w:vAlign w:val="center"/>
                </w:tcPr>
                <w:p w14:paraId="7DE6A1D5">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0.002</w:t>
                  </w:r>
                </w:p>
              </w:tc>
              <w:tc>
                <w:tcPr>
                  <w:tcW w:w="906" w:type="dxa"/>
                  <w:noWrap/>
                  <w:vAlign w:val="center"/>
                </w:tcPr>
                <w:p w14:paraId="3C5AA6CB">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0.002</w:t>
                  </w:r>
                </w:p>
              </w:tc>
              <w:tc>
                <w:tcPr>
                  <w:tcW w:w="1881" w:type="dxa"/>
                  <w:noWrap/>
                  <w:vAlign w:val="center"/>
                </w:tcPr>
                <w:p w14:paraId="5580FA81">
                  <w:pPr>
                    <w:spacing w:line="0" w:lineRule="atLeas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1882" w:type="dxa"/>
                  <w:noWrap/>
                  <w:vAlign w:val="center"/>
                </w:tcPr>
                <w:p w14:paraId="24896F08">
                  <w:pPr>
                    <w:keepNext w:val="0"/>
                    <w:keepLines w:val="0"/>
                    <w:widowControl/>
                    <w:suppressLineNumbers w:val="0"/>
                    <w:jc w:val="center"/>
                    <w:textAlignment w:val="center"/>
                    <w:rPr>
                      <w:rFonts w:hint="default" w:eastAsia="宋体"/>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0.0002</w:t>
                  </w:r>
                </w:p>
              </w:tc>
            </w:tr>
            <w:tr w14:paraId="34204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7FD0BD23">
                  <w:pPr>
                    <w:widowControl/>
                    <w:jc w:val="center"/>
                    <w:rPr>
                      <w:color w:val="auto"/>
                      <w:szCs w:val="21"/>
                      <w:highlight w:val="none"/>
                    </w:rPr>
                  </w:pPr>
                  <w:r>
                    <w:rPr>
                      <w:rFonts w:hint="eastAsia"/>
                      <w:color w:val="auto"/>
                      <w:szCs w:val="21"/>
                      <w:highlight w:val="none"/>
                    </w:rPr>
                    <w:t>2</w:t>
                  </w:r>
                </w:p>
              </w:tc>
              <w:tc>
                <w:tcPr>
                  <w:tcW w:w="1186" w:type="dxa"/>
                  <w:gridSpan w:val="2"/>
                  <w:noWrap/>
                  <w:vAlign w:val="center"/>
                </w:tcPr>
                <w:p w14:paraId="6B49C98C">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脱脂粉</w:t>
                  </w:r>
                </w:p>
              </w:tc>
              <w:tc>
                <w:tcPr>
                  <w:tcW w:w="906" w:type="dxa"/>
                  <w:noWrap/>
                  <w:vAlign w:val="center"/>
                </w:tcPr>
                <w:p w14:paraId="41CB730B">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906" w:type="dxa"/>
                  <w:noWrap/>
                  <w:vAlign w:val="center"/>
                </w:tcPr>
                <w:p w14:paraId="5CB53BD8">
                  <w:pPr>
                    <w:spacing w:line="0" w:lineRule="atLeas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2.2</w:t>
                  </w:r>
                </w:p>
              </w:tc>
              <w:tc>
                <w:tcPr>
                  <w:tcW w:w="906" w:type="dxa"/>
                  <w:noWrap/>
                  <w:vAlign w:val="center"/>
                </w:tcPr>
                <w:p w14:paraId="48B258FB">
                  <w:pPr>
                    <w:spacing w:line="0" w:lineRule="atLeas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3.2</w:t>
                  </w:r>
                </w:p>
              </w:tc>
              <w:tc>
                <w:tcPr>
                  <w:tcW w:w="1881" w:type="dxa"/>
                  <w:noWrap/>
                  <w:vAlign w:val="center"/>
                </w:tcPr>
                <w:p w14:paraId="28124EFD">
                  <w:pPr>
                    <w:spacing w:line="0" w:lineRule="atLeas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100</w:t>
                  </w:r>
                </w:p>
              </w:tc>
              <w:tc>
                <w:tcPr>
                  <w:tcW w:w="1882" w:type="dxa"/>
                  <w:noWrap/>
                  <w:vAlign w:val="center"/>
                </w:tcPr>
                <w:p w14:paraId="7B989A2E">
                  <w:pPr>
                    <w:keepNext w:val="0"/>
                    <w:keepLines w:val="0"/>
                    <w:widowControl/>
                    <w:suppressLineNumbers w:val="0"/>
                    <w:jc w:val="center"/>
                    <w:textAlignment w:val="center"/>
                    <w:rPr>
                      <w:rFonts w:hint="default" w:eastAsia="宋体"/>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0.032</w:t>
                  </w:r>
                </w:p>
              </w:tc>
            </w:tr>
            <w:tr w14:paraId="518D9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0426FDF4">
                  <w:pPr>
                    <w:widowControl/>
                    <w:jc w:val="center"/>
                    <w:rPr>
                      <w:color w:val="auto"/>
                      <w:szCs w:val="21"/>
                      <w:highlight w:val="none"/>
                    </w:rPr>
                  </w:pPr>
                  <w:r>
                    <w:rPr>
                      <w:rFonts w:hint="eastAsia"/>
                      <w:color w:val="auto"/>
                      <w:szCs w:val="21"/>
                      <w:highlight w:val="none"/>
                    </w:rPr>
                    <w:t>3</w:t>
                  </w:r>
                </w:p>
              </w:tc>
              <w:tc>
                <w:tcPr>
                  <w:tcW w:w="1186" w:type="dxa"/>
                  <w:gridSpan w:val="2"/>
                  <w:noWrap/>
                  <w:vAlign w:val="center"/>
                </w:tcPr>
                <w:p w14:paraId="6DF78EBC">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表调剂</w:t>
                  </w:r>
                </w:p>
              </w:tc>
              <w:tc>
                <w:tcPr>
                  <w:tcW w:w="906" w:type="dxa"/>
                  <w:noWrap/>
                  <w:vAlign w:val="center"/>
                </w:tcPr>
                <w:p w14:paraId="0736852F">
                  <w:pPr>
                    <w:spacing w:line="0" w:lineRule="atLeas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0.08</w:t>
                  </w:r>
                </w:p>
              </w:tc>
              <w:tc>
                <w:tcPr>
                  <w:tcW w:w="906" w:type="dxa"/>
                  <w:noWrap/>
                  <w:vAlign w:val="center"/>
                </w:tcPr>
                <w:p w14:paraId="70EE4B90">
                  <w:pPr>
                    <w:spacing w:line="0" w:lineRule="atLeas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w:t>
                  </w:r>
                </w:p>
              </w:tc>
              <w:tc>
                <w:tcPr>
                  <w:tcW w:w="906" w:type="dxa"/>
                  <w:noWrap/>
                  <w:vAlign w:val="center"/>
                </w:tcPr>
                <w:p w14:paraId="0CC6E6C6">
                  <w:pPr>
                    <w:spacing w:line="0" w:lineRule="atLeas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0.18</w:t>
                  </w:r>
                </w:p>
              </w:tc>
              <w:tc>
                <w:tcPr>
                  <w:tcW w:w="1881" w:type="dxa"/>
                  <w:noWrap/>
                  <w:vAlign w:val="center"/>
                </w:tcPr>
                <w:p w14:paraId="4B5390BF">
                  <w:pPr>
                    <w:spacing w:line="0" w:lineRule="atLeas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100</w:t>
                  </w:r>
                </w:p>
              </w:tc>
              <w:tc>
                <w:tcPr>
                  <w:tcW w:w="1882" w:type="dxa"/>
                  <w:noWrap/>
                  <w:vAlign w:val="center"/>
                </w:tcPr>
                <w:p w14:paraId="03640C8F">
                  <w:pPr>
                    <w:keepNext w:val="0"/>
                    <w:keepLines w:val="0"/>
                    <w:widowControl/>
                    <w:suppressLineNumbers w:val="0"/>
                    <w:jc w:val="center"/>
                    <w:textAlignment w:val="center"/>
                    <w:rPr>
                      <w:rFonts w:hint="default" w:eastAsia="宋体"/>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0.0018</w:t>
                  </w:r>
                </w:p>
              </w:tc>
            </w:tr>
            <w:tr w14:paraId="00F83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265F0EFA">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1186" w:type="dxa"/>
                  <w:gridSpan w:val="2"/>
                  <w:noWrap/>
                  <w:vAlign w:val="center"/>
                </w:tcPr>
                <w:p w14:paraId="47E6DB9D">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皮膜剂</w:t>
                  </w:r>
                </w:p>
              </w:tc>
              <w:tc>
                <w:tcPr>
                  <w:tcW w:w="906" w:type="dxa"/>
                  <w:noWrap/>
                  <w:vAlign w:val="center"/>
                </w:tcPr>
                <w:p w14:paraId="0FCAF676">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w:t>
                  </w:r>
                </w:p>
              </w:tc>
              <w:tc>
                <w:tcPr>
                  <w:tcW w:w="906" w:type="dxa"/>
                  <w:noWrap/>
                  <w:vAlign w:val="center"/>
                </w:tcPr>
                <w:p w14:paraId="690B80BE">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1.5</w:t>
                  </w:r>
                </w:p>
              </w:tc>
              <w:tc>
                <w:tcPr>
                  <w:tcW w:w="906" w:type="dxa"/>
                  <w:noWrap/>
                  <w:vAlign w:val="center"/>
                </w:tcPr>
                <w:p w14:paraId="178CAC61">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2.5</w:t>
                  </w:r>
                </w:p>
              </w:tc>
              <w:tc>
                <w:tcPr>
                  <w:tcW w:w="1881" w:type="dxa"/>
                  <w:noWrap/>
                  <w:vAlign w:val="center"/>
                </w:tcPr>
                <w:p w14:paraId="69E698F3">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100</w:t>
                  </w:r>
                </w:p>
              </w:tc>
              <w:tc>
                <w:tcPr>
                  <w:tcW w:w="1882" w:type="dxa"/>
                  <w:noWrap/>
                  <w:vAlign w:val="center"/>
                </w:tcPr>
                <w:p w14:paraId="2F190245">
                  <w:pPr>
                    <w:keepNext w:val="0"/>
                    <w:keepLines w:val="0"/>
                    <w:widowControl/>
                    <w:suppressLineNumbers w:val="0"/>
                    <w:jc w:val="center"/>
                    <w:textAlignment w:val="center"/>
                    <w:rPr>
                      <w:rFonts w:hint="default" w:eastAsia="宋体"/>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w:t>
                  </w:r>
                </w:p>
              </w:tc>
            </w:tr>
            <w:tr w14:paraId="5CB7F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50CEF35B">
                  <w:pPr>
                    <w:widowControl/>
                    <w:jc w:val="center"/>
                    <w:rPr>
                      <w:rFonts w:hint="default"/>
                      <w:color w:val="auto"/>
                      <w:szCs w:val="21"/>
                      <w:highlight w:val="none"/>
                      <w:lang w:val="en-US" w:eastAsia="zh-CN"/>
                    </w:rPr>
                  </w:pPr>
                  <w:r>
                    <w:rPr>
                      <w:rFonts w:hint="eastAsia"/>
                      <w:color w:val="auto"/>
                      <w:szCs w:val="21"/>
                      <w:highlight w:val="none"/>
                      <w:lang w:val="en-US" w:eastAsia="zh-CN"/>
                    </w:rPr>
                    <w:t>5</w:t>
                  </w:r>
                </w:p>
              </w:tc>
              <w:tc>
                <w:tcPr>
                  <w:tcW w:w="450" w:type="dxa"/>
                  <w:vMerge w:val="restart"/>
                  <w:noWrap/>
                  <w:vAlign w:val="center"/>
                </w:tcPr>
                <w:p w14:paraId="41364DDA">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现有项目</w:t>
                  </w:r>
                </w:p>
              </w:tc>
              <w:tc>
                <w:tcPr>
                  <w:tcW w:w="736" w:type="dxa"/>
                  <w:noWrap/>
                  <w:vAlign w:val="center"/>
                </w:tcPr>
                <w:p w14:paraId="525D455F">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片碱</w:t>
                  </w:r>
                </w:p>
              </w:tc>
              <w:tc>
                <w:tcPr>
                  <w:tcW w:w="906" w:type="dxa"/>
                  <w:noWrap/>
                  <w:vAlign w:val="center"/>
                </w:tcPr>
                <w:p w14:paraId="62CEDB5B">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0.1</w:t>
                  </w:r>
                </w:p>
              </w:tc>
              <w:tc>
                <w:tcPr>
                  <w:tcW w:w="906" w:type="dxa"/>
                  <w:noWrap/>
                  <w:vAlign w:val="center"/>
                </w:tcPr>
                <w:p w14:paraId="423723B2">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906" w:type="dxa"/>
                  <w:shd w:val="clear" w:color="auto" w:fill="auto"/>
                  <w:noWrap/>
                  <w:vAlign w:val="center"/>
                </w:tcPr>
                <w:p w14:paraId="31240C7C">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0.1</w:t>
                  </w:r>
                </w:p>
              </w:tc>
              <w:tc>
                <w:tcPr>
                  <w:tcW w:w="1881" w:type="dxa"/>
                  <w:noWrap/>
                  <w:vAlign w:val="center"/>
                </w:tcPr>
                <w:p w14:paraId="7C207702">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100</w:t>
                  </w:r>
                </w:p>
              </w:tc>
              <w:tc>
                <w:tcPr>
                  <w:tcW w:w="1882" w:type="dxa"/>
                  <w:noWrap/>
                  <w:vAlign w:val="center"/>
                </w:tcPr>
                <w:p w14:paraId="36F13952">
                  <w:pPr>
                    <w:keepNext w:val="0"/>
                    <w:keepLines w:val="0"/>
                    <w:widowControl/>
                    <w:suppressLineNumbers w:val="0"/>
                    <w:jc w:val="center"/>
                    <w:textAlignment w:val="center"/>
                    <w:rPr>
                      <w:rFonts w:hint="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r>
            <w:tr w14:paraId="00760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540853E3">
                  <w:pPr>
                    <w:widowControl/>
                    <w:jc w:val="center"/>
                    <w:rPr>
                      <w:rFonts w:hint="default"/>
                      <w:color w:val="auto"/>
                      <w:szCs w:val="21"/>
                      <w:highlight w:val="none"/>
                      <w:lang w:val="en-US" w:eastAsia="zh-CN"/>
                    </w:rPr>
                  </w:pPr>
                  <w:r>
                    <w:rPr>
                      <w:rFonts w:hint="eastAsia"/>
                      <w:color w:val="auto"/>
                      <w:szCs w:val="21"/>
                      <w:highlight w:val="none"/>
                      <w:lang w:val="en-US" w:eastAsia="zh-CN"/>
                    </w:rPr>
                    <w:t>6</w:t>
                  </w:r>
                </w:p>
              </w:tc>
              <w:tc>
                <w:tcPr>
                  <w:tcW w:w="450" w:type="dxa"/>
                  <w:vMerge w:val="continue"/>
                  <w:noWrap/>
                  <w:vAlign w:val="center"/>
                </w:tcPr>
                <w:p w14:paraId="4F98CFC4">
                  <w:pPr>
                    <w:spacing w:line="0" w:lineRule="atLeast"/>
                    <w:jc w:val="center"/>
                    <w:rPr>
                      <w:rFonts w:hint="default"/>
                      <w:color w:val="auto"/>
                      <w:kern w:val="0"/>
                      <w:szCs w:val="21"/>
                      <w:highlight w:val="none"/>
                      <w:lang w:val="en-US" w:eastAsia="zh-CN"/>
                    </w:rPr>
                  </w:pPr>
                </w:p>
              </w:tc>
              <w:tc>
                <w:tcPr>
                  <w:tcW w:w="736" w:type="dxa"/>
                  <w:noWrap/>
                  <w:vAlign w:val="center"/>
                </w:tcPr>
                <w:p w14:paraId="44BDA32F">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生石灰</w:t>
                  </w:r>
                </w:p>
              </w:tc>
              <w:tc>
                <w:tcPr>
                  <w:tcW w:w="906" w:type="dxa"/>
                  <w:noWrap/>
                  <w:vAlign w:val="center"/>
                </w:tcPr>
                <w:p w14:paraId="0E696E96">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0.1</w:t>
                  </w:r>
                </w:p>
              </w:tc>
              <w:tc>
                <w:tcPr>
                  <w:tcW w:w="906" w:type="dxa"/>
                  <w:noWrap/>
                  <w:vAlign w:val="center"/>
                </w:tcPr>
                <w:p w14:paraId="559525B6">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906" w:type="dxa"/>
                  <w:shd w:val="clear" w:color="auto" w:fill="auto"/>
                  <w:noWrap/>
                  <w:vAlign w:val="center"/>
                </w:tcPr>
                <w:p w14:paraId="14BCF070">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0.1</w:t>
                  </w:r>
                </w:p>
              </w:tc>
              <w:tc>
                <w:tcPr>
                  <w:tcW w:w="1881" w:type="dxa"/>
                  <w:noWrap/>
                  <w:vAlign w:val="center"/>
                </w:tcPr>
                <w:p w14:paraId="17876D21">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100</w:t>
                  </w:r>
                </w:p>
              </w:tc>
              <w:tc>
                <w:tcPr>
                  <w:tcW w:w="1882" w:type="dxa"/>
                  <w:noWrap/>
                  <w:vAlign w:val="center"/>
                </w:tcPr>
                <w:p w14:paraId="28E04FEA">
                  <w:pPr>
                    <w:keepNext w:val="0"/>
                    <w:keepLines w:val="0"/>
                    <w:widowControl/>
                    <w:suppressLineNumbers w:val="0"/>
                    <w:jc w:val="center"/>
                    <w:textAlignment w:val="center"/>
                    <w:rPr>
                      <w:rFonts w:hint="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r>
            <w:tr w14:paraId="201C8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053CE0F0">
                  <w:pPr>
                    <w:widowControl/>
                    <w:jc w:val="center"/>
                    <w:rPr>
                      <w:rFonts w:hint="default"/>
                      <w:color w:val="auto"/>
                      <w:szCs w:val="21"/>
                      <w:highlight w:val="none"/>
                      <w:lang w:val="en-US" w:eastAsia="zh-CN"/>
                    </w:rPr>
                  </w:pPr>
                  <w:r>
                    <w:rPr>
                      <w:rFonts w:hint="eastAsia"/>
                      <w:color w:val="auto"/>
                      <w:szCs w:val="21"/>
                      <w:highlight w:val="none"/>
                      <w:lang w:val="en-US" w:eastAsia="zh-CN"/>
                    </w:rPr>
                    <w:t>7</w:t>
                  </w:r>
                </w:p>
              </w:tc>
              <w:tc>
                <w:tcPr>
                  <w:tcW w:w="450" w:type="dxa"/>
                  <w:vMerge w:val="continue"/>
                  <w:noWrap/>
                  <w:vAlign w:val="center"/>
                </w:tcPr>
                <w:p w14:paraId="3C23E946">
                  <w:pPr>
                    <w:spacing w:line="0" w:lineRule="atLeast"/>
                    <w:jc w:val="center"/>
                    <w:rPr>
                      <w:rFonts w:hint="default"/>
                      <w:color w:val="auto"/>
                      <w:kern w:val="0"/>
                      <w:szCs w:val="21"/>
                      <w:highlight w:val="none"/>
                      <w:lang w:val="en-US" w:eastAsia="zh-CN"/>
                    </w:rPr>
                  </w:pPr>
                </w:p>
              </w:tc>
              <w:tc>
                <w:tcPr>
                  <w:tcW w:w="736" w:type="dxa"/>
                  <w:noWrap/>
                  <w:vAlign w:val="center"/>
                </w:tcPr>
                <w:p w14:paraId="37345339">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脱脂剂</w:t>
                  </w:r>
                </w:p>
              </w:tc>
              <w:tc>
                <w:tcPr>
                  <w:tcW w:w="906" w:type="dxa"/>
                  <w:noWrap/>
                  <w:vAlign w:val="center"/>
                </w:tcPr>
                <w:p w14:paraId="73F5CE66">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0.6</w:t>
                  </w:r>
                </w:p>
              </w:tc>
              <w:tc>
                <w:tcPr>
                  <w:tcW w:w="906" w:type="dxa"/>
                  <w:noWrap/>
                  <w:vAlign w:val="center"/>
                </w:tcPr>
                <w:p w14:paraId="2B139442">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906" w:type="dxa"/>
                  <w:shd w:val="clear" w:color="auto" w:fill="auto"/>
                  <w:noWrap/>
                  <w:vAlign w:val="center"/>
                </w:tcPr>
                <w:p w14:paraId="69218C42">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0.6</w:t>
                  </w:r>
                </w:p>
              </w:tc>
              <w:tc>
                <w:tcPr>
                  <w:tcW w:w="1881" w:type="dxa"/>
                  <w:noWrap/>
                  <w:vAlign w:val="center"/>
                </w:tcPr>
                <w:p w14:paraId="086F47FE">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100</w:t>
                  </w:r>
                </w:p>
              </w:tc>
              <w:tc>
                <w:tcPr>
                  <w:tcW w:w="1882" w:type="dxa"/>
                  <w:noWrap/>
                  <w:vAlign w:val="center"/>
                </w:tcPr>
                <w:p w14:paraId="67A790C9">
                  <w:pPr>
                    <w:keepNext w:val="0"/>
                    <w:keepLines w:val="0"/>
                    <w:widowControl/>
                    <w:suppressLineNumbers w:val="0"/>
                    <w:jc w:val="center"/>
                    <w:textAlignment w:val="center"/>
                    <w:rPr>
                      <w:rFonts w:hint="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r>
            <w:tr w14:paraId="3B566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22F356D7">
                  <w:pPr>
                    <w:widowControl/>
                    <w:jc w:val="center"/>
                    <w:rPr>
                      <w:rFonts w:hint="default"/>
                      <w:color w:val="auto"/>
                      <w:szCs w:val="21"/>
                      <w:highlight w:val="none"/>
                      <w:lang w:val="en-US" w:eastAsia="zh-CN"/>
                    </w:rPr>
                  </w:pPr>
                  <w:r>
                    <w:rPr>
                      <w:rFonts w:hint="eastAsia"/>
                      <w:color w:val="auto"/>
                      <w:szCs w:val="21"/>
                      <w:highlight w:val="none"/>
                      <w:lang w:val="en-US" w:eastAsia="zh-CN"/>
                    </w:rPr>
                    <w:t>8</w:t>
                  </w:r>
                </w:p>
              </w:tc>
              <w:tc>
                <w:tcPr>
                  <w:tcW w:w="450" w:type="dxa"/>
                  <w:vMerge w:val="continue"/>
                  <w:shd w:val="clear" w:color="auto" w:fill="auto"/>
                  <w:noWrap/>
                  <w:vAlign w:val="center"/>
                </w:tcPr>
                <w:p w14:paraId="195EDFA1">
                  <w:pPr>
                    <w:jc w:val="center"/>
                    <w:rPr>
                      <w:rFonts w:hint="eastAsia" w:ascii="Times New Roman" w:hAnsi="Times New Roman" w:eastAsia="宋体" w:cs="Times New Roman"/>
                      <w:color w:val="auto"/>
                      <w:kern w:val="2"/>
                      <w:sz w:val="21"/>
                      <w:szCs w:val="21"/>
                      <w:highlight w:val="none"/>
                      <w:lang w:val="en-US" w:eastAsia="zh-CN" w:bidi="ar-SA"/>
                    </w:rPr>
                  </w:pPr>
                </w:p>
              </w:tc>
              <w:tc>
                <w:tcPr>
                  <w:tcW w:w="736" w:type="dxa"/>
                  <w:shd w:val="clear" w:color="auto" w:fill="auto"/>
                  <w:noWrap/>
                  <w:vAlign w:val="center"/>
                </w:tcPr>
                <w:p w14:paraId="610D0C00">
                  <w:pPr>
                    <w:jc w:val="center"/>
                    <w:rPr>
                      <w:rFonts w:hint="eastAsia"/>
                      <w:color w:val="auto"/>
                      <w:sz w:val="21"/>
                      <w:szCs w:val="21"/>
                      <w:highlight w:val="none"/>
                      <w:lang w:val="en-US" w:eastAsia="zh-CN"/>
                    </w:rPr>
                  </w:pPr>
                  <w:r>
                    <w:rPr>
                      <w:rFonts w:hint="eastAsia"/>
                      <w:color w:val="auto"/>
                      <w:sz w:val="21"/>
                      <w:szCs w:val="21"/>
                      <w:highlight w:val="none"/>
                      <w:lang w:val="en-US" w:eastAsia="zh-CN"/>
                    </w:rPr>
                    <w:t>表调剂</w:t>
                  </w:r>
                </w:p>
              </w:tc>
              <w:tc>
                <w:tcPr>
                  <w:tcW w:w="906" w:type="dxa"/>
                  <w:noWrap/>
                  <w:vAlign w:val="center"/>
                </w:tcPr>
                <w:p w14:paraId="02B799FC">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0.08</w:t>
                  </w:r>
                </w:p>
              </w:tc>
              <w:tc>
                <w:tcPr>
                  <w:tcW w:w="906" w:type="dxa"/>
                  <w:noWrap/>
                  <w:vAlign w:val="center"/>
                </w:tcPr>
                <w:p w14:paraId="4E8FB333">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906" w:type="dxa"/>
                  <w:shd w:val="clear" w:color="auto" w:fill="auto"/>
                  <w:noWrap/>
                  <w:vAlign w:val="center"/>
                </w:tcPr>
                <w:p w14:paraId="025BA5A0">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0.08</w:t>
                  </w:r>
                </w:p>
              </w:tc>
              <w:tc>
                <w:tcPr>
                  <w:tcW w:w="1881" w:type="dxa"/>
                  <w:noWrap/>
                  <w:vAlign w:val="center"/>
                </w:tcPr>
                <w:p w14:paraId="6A21658F">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100</w:t>
                  </w:r>
                </w:p>
              </w:tc>
              <w:tc>
                <w:tcPr>
                  <w:tcW w:w="1882" w:type="dxa"/>
                  <w:noWrap/>
                  <w:vAlign w:val="center"/>
                </w:tcPr>
                <w:p w14:paraId="7E9FF3F5">
                  <w:pPr>
                    <w:keepNext w:val="0"/>
                    <w:keepLines w:val="0"/>
                    <w:widowControl/>
                    <w:suppressLineNumbers w:val="0"/>
                    <w:jc w:val="center"/>
                    <w:textAlignment w:val="center"/>
                    <w:rPr>
                      <w:rFonts w:hint="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0.0008</w:t>
                  </w:r>
                </w:p>
              </w:tc>
            </w:tr>
            <w:tr w14:paraId="506E4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0EA09745">
                  <w:pPr>
                    <w:widowControl/>
                    <w:jc w:val="center"/>
                    <w:rPr>
                      <w:rFonts w:hint="default"/>
                      <w:color w:val="auto"/>
                      <w:szCs w:val="21"/>
                      <w:highlight w:val="none"/>
                      <w:lang w:val="en-US" w:eastAsia="zh-CN"/>
                    </w:rPr>
                  </w:pPr>
                  <w:r>
                    <w:rPr>
                      <w:rFonts w:hint="eastAsia"/>
                      <w:color w:val="auto"/>
                      <w:szCs w:val="21"/>
                      <w:highlight w:val="none"/>
                      <w:lang w:val="en-US" w:eastAsia="zh-CN"/>
                    </w:rPr>
                    <w:t>9</w:t>
                  </w:r>
                </w:p>
              </w:tc>
              <w:tc>
                <w:tcPr>
                  <w:tcW w:w="450" w:type="dxa"/>
                  <w:vMerge w:val="continue"/>
                  <w:shd w:val="clear" w:color="auto" w:fill="auto"/>
                  <w:noWrap/>
                  <w:vAlign w:val="center"/>
                </w:tcPr>
                <w:p w14:paraId="4FFC12B6">
                  <w:pPr>
                    <w:jc w:val="center"/>
                    <w:rPr>
                      <w:rFonts w:hint="eastAsia" w:ascii="Times New Roman" w:hAnsi="Times New Roman" w:eastAsia="宋体" w:cs="Times New Roman"/>
                      <w:color w:val="auto"/>
                      <w:kern w:val="2"/>
                      <w:sz w:val="21"/>
                      <w:szCs w:val="21"/>
                      <w:highlight w:val="none"/>
                      <w:lang w:val="en-US" w:eastAsia="zh-CN" w:bidi="ar-SA"/>
                    </w:rPr>
                  </w:pPr>
                </w:p>
              </w:tc>
              <w:tc>
                <w:tcPr>
                  <w:tcW w:w="736" w:type="dxa"/>
                  <w:shd w:val="clear" w:color="auto" w:fill="auto"/>
                  <w:noWrap/>
                  <w:vAlign w:val="center"/>
                </w:tcPr>
                <w:p w14:paraId="77680EAB">
                  <w:pPr>
                    <w:jc w:val="center"/>
                    <w:rPr>
                      <w:rFonts w:hint="eastAsia"/>
                      <w:color w:val="auto"/>
                      <w:sz w:val="21"/>
                      <w:szCs w:val="21"/>
                      <w:highlight w:val="none"/>
                      <w:lang w:val="en-US" w:eastAsia="zh-CN"/>
                    </w:rPr>
                  </w:pPr>
                  <w:r>
                    <w:rPr>
                      <w:rFonts w:hint="eastAsia"/>
                      <w:color w:val="auto"/>
                      <w:sz w:val="21"/>
                      <w:szCs w:val="21"/>
                      <w:highlight w:val="none"/>
                      <w:lang w:val="en-US" w:eastAsia="zh-CN"/>
                    </w:rPr>
                    <w:t>皮膜液</w:t>
                  </w:r>
                </w:p>
              </w:tc>
              <w:tc>
                <w:tcPr>
                  <w:tcW w:w="906" w:type="dxa"/>
                  <w:noWrap/>
                  <w:vAlign w:val="center"/>
                </w:tcPr>
                <w:p w14:paraId="18881CAC">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1</w:t>
                  </w:r>
                </w:p>
              </w:tc>
              <w:tc>
                <w:tcPr>
                  <w:tcW w:w="906" w:type="dxa"/>
                  <w:noWrap/>
                  <w:vAlign w:val="center"/>
                </w:tcPr>
                <w:p w14:paraId="713415C2">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906" w:type="dxa"/>
                  <w:shd w:val="clear" w:color="auto" w:fill="auto"/>
                  <w:noWrap/>
                  <w:vAlign w:val="center"/>
                </w:tcPr>
                <w:p w14:paraId="27F48446">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w:t>
                  </w:r>
                </w:p>
              </w:tc>
              <w:tc>
                <w:tcPr>
                  <w:tcW w:w="1881" w:type="dxa"/>
                  <w:noWrap/>
                  <w:vAlign w:val="center"/>
                </w:tcPr>
                <w:p w14:paraId="415E37CA">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100</w:t>
                  </w:r>
                </w:p>
              </w:tc>
              <w:tc>
                <w:tcPr>
                  <w:tcW w:w="1882" w:type="dxa"/>
                  <w:noWrap/>
                  <w:vAlign w:val="center"/>
                </w:tcPr>
                <w:p w14:paraId="54D238A3">
                  <w:pPr>
                    <w:keepNext w:val="0"/>
                    <w:keepLines w:val="0"/>
                    <w:widowControl/>
                    <w:suppressLineNumbers w:val="0"/>
                    <w:jc w:val="center"/>
                    <w:textAlignment w:val="center"/>
                    <w:rPr>
                      <w:rFonts w:hint="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6D0F7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679E4AE8">
                  <w:pPr>
                    <w:widowControl/>
                    <w:jc w:val="center"/>
                    <w:rPr>
                      <w:rFonts w:hint="default"/>
                      <w:color w:val="auto"/>
                      <w:szCs w:val="21"/>
                      <w:highlight w:val="none"/>
                      <w:lang w:val="en-US" w:eastAsia="zh-CN"/>
                    </w:rPr>
                  </w:pPr>
                  <w:r>
                    <w:rPr>
                      <w:rFonts w:hint="eastAsia"/>
                      <w:color w:val="auto"/>
                      <w:szCs w:val="21"/>
                      <w:highlight w:val="none"/>
                      <w:lang w:val="en-US" w:eastAsia="zh-CN"/>
                    </w:rPr>
                    <w:t>10</w:t>
                  </w:r>
                </w:p>
              </w:tc>
              <w:tc>
                <w:tcPr>
                  <w:tcW w:w="450" w:type="dxa"/>
                  <w:vMerge w:val="continue"/>
                  <w:noWrap/>
                  <w:vAlign w:val="center"/>
                </w:tcPr>
                <w:p w14:paraId="65516CAD">
                  <w:pPr>
                    <w:spacing w:line="0" w:lineRule="atLeast"/>
                    <w:jc w:val="center"/>
                    <w:rPr>
                      <w:rFonts w:hint="default"/>
                      <w:color w:val="auto"/>
                      <w:kern w:val="0"/>
                      <w:szCs w:val="21"/>
                      <w:highlight w:val="none"/>
                      <w:lang w:val="en-US" w:eastAsia="zh-CN"/>
                    </w:rPr>
                  </w:pPr>
                </w:p>
              </w:tc>
              <w:tc>
                <w:tcPr>
                  <w:tcW w:w="736" w:type="dxa"/>
                  <w:noWrap/>
                  <w:vAlign w:val="center"/>
                </w:tcPr>
                <w:p w14:paraId="35199D5C">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塑粉</w:t>
                  </w:r>
                </w:p>
              </w:tc>
              <w:tc>
                <w:tcPr>
                  <w:tcW w:w="906" w:type="dxa"/>
                  <w:noWrap/>
                  <w:vAlign w:val="center"/>
                </w:tcPr>
                <w:p w14:paraId="56711469">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3</w:t>
                  </w:r>
                </w:p>
              </w:tc>
              <w:tc>
                <w:tcPr>
                  <w:tcW w:w="906" w:type="dxa"/>
                  <w:noWrap/>
                  <w:vAlign w:val="center"/>
                </w:tcPr>
                <w:p w14:paraId="3EF1FAA2">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906" w:type="dxa"/>
                  <w:shd w:val="clear" w:color="auto" w:fill="auto"/>
                  <w:noWrap/>
                  <w:vAlign w:val="center"/>
                </w:tcPr>
                <w:p w14:paraId="79B591AC">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3</w:t>
                  </w:r>
                </w:p>
              </w:tc>
              <w:tc>
                <w:tcPr>
                  <w:tcW w:w="1881" w:type="dxa"/>
                  <w:noWrap/>
                  <w:vAlign w:val="center"/>
                </w:tcPr>
                <w:p w14:paraId="03A04A0F">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50</w:t>
                  </w:r>
                </w:p>
              </w:tc>
              <w:tc>
                <w:tcPr>
                  <w:tcW w:w="1882" w:type="dxa"/>
                  <w:noWrap/>
                  <w:vAlign w:val="center"/>
                </w:tcPr>
                <w:p w14:paraId="1E1A60AA">
                  <w:pPr>
                    <w:keepNext w:val="0"/>
                    <w:keepLines w:val="0"/>
                    <w:widowControl/>
                    <w:suppressLineNumbers w:val="0"/>
                    <w:jc w:val="center"/>
                    <w:textAlignment w:val="center"/>
                    <w:rPr>
                      <w:rFonts w:hint="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3F588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2F662546">
                  <w:pPr>
                    <w:widowControl/>
                    <w:jc w:val="center"/>
                    <w:rPr>
                      <w:rFonts w:hint="default"/>
                      <w:color w:val="auto"/>
                      <w:szCs w:val="21"/>
                      <w:highlight w:val="none"/>
                      <w:lang w:val="en-US" w:eastAsia="zh-CN"/>
                    </w:rPr>
                  </w:pPr>
                  <w:r>
                    <w:rPr>
                      <w:rFonts w:hint="eastAsia"/>
                      <w:color w:val="auto"/>
                      <w:szCs w:val="21"/>
                      <w:highlight w:val="none"/>
                      <w:lang w:val="en-US" w:eastAsia="zh-CN"/>
                    </w:rPr>
                    <w:t>11</w:t>
                  </w:r>
                </w:p>
              </w:tc>
              <w:tc>
                <w:tcPr>
                  <w:tcW w:w="450" w:type="dxa"/>
                  <w:vMerge w:val="continue"/>
                  <w:noWrap/>
                  <w:vAlign w:val="center"/>
                </w:tcPr>
                <w:p w14:paraId="74A0F5D7">
                  <w:pPr>
                    <w:spacing w:line="0" w:lineRule="atLeast"/>
                    <w:jc w:val="center"/>
                    <w:rPr>
                      <w:rFonts w:hint="default"/>
                      <w:color w:val="auto"/>
                      <w:kern w:val="0"/>
                      <w:szCs w:val="21"/>
                      <w:highlight w:val="none"/>
                      <w:lang w:val="en-US" w:eastAsia="zh-CN"/>
                    </w:rPr>
                  </w:pPr>
                </w:p>
              </w:tc>
              <w:tc>
                <w:tcPr>
                  <w:tcW w:w="736" w:type="dxa"/>
                  <w:noWrap/>
                  <w:vAlign w:val="center"/>
                </w:tcPr>
                <w:p w14:paraId="5E97CCFF">
                  <w:pPr>
                    <w:spacing w:line="0" w:lineRule="atLeast"/>
                    <w:jc w:val="center"/>
                    <w:rPr>
                      <w:rFonts w:hint="eastAsia"/>
                      <w:color w:val="auto"/>
                      <w:kern w:val="0"/>
                      <w:szCs w:val="21"/>
                      <w:highlight w:val="none"/>
                      <w:lang w:val="en-US" w:eastAsia="zh-CN"/>
                    </w:rPr>
                  </w:pPr>
                  <w:r>
                    <w:rPr>
                      <w:rFonts w:hint="eastAsia"/>
                      <w:color w:val="auto"/>
                      <w:kern w:val="0"/>
                      <w:szCs w:val="21"/>
                      <w:highlight w:val="none"/>
                      <w:lang w:val="en-US" w:eastAsia="zh-CN"/>
                    </w:rPr>
                    <w:t>润滑油</w:t>
                  </w:r>
                </w:p>
              </w:tc>
              <w:tc>
                <w:tcPr>
                  <w:tcW w:w="906" w:type="dxa"/>
                  <w:noWrap/>
                  <w:vAlign w:val="center"/>
                </w:tcPr>
                <w:p w14:paraId="5BECBC58">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0.15</w:t>
                  </w:r>
                </w:p>
              </w:tc>
              <w:tc>
                <w:tcPr>
                  <w:tcW w:w="906" w:type="dxa"/>
                  <w:noWrap/>
                  <w:vAlign w:val="center"/>
                </w:tcPr>
                <w:p w14:paraId="34C861A9">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906" w:type="dxa"/>
                  <w:shd w:val="clear" w:color="auto" w:fill="auto"/>
                  <w:noWrap/>
                  <w:vAlign w:val="center"/>
                </w:tcPr>
                <w:p w14:paraId="2EC3C09F">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0.15</w:t>
                  </w:r>
                </w:p>
              </w:tc>
              <w:tc>
                <w:tcPr>
                  <w:tcW w:w="1881" w:type="dxa"/>
                  <w:noWrap/>
                  <w:vAlign w:val="center"/>
                </w:tcPr>
                <w:p w14:paraId="68A02B12">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2500</w:t>
                  </w:r>
                </w:p>
              </w:tc>
              <w:tc>
                <w:tcPr>
                  <w:tcW w:w="1882" w:type="dxa"/>
                  <w:noWrap/>
                  <w:vAlign w:val="center"/>
                </w:tcPr>
                <w:p w14:paraId="4E4EA20E">
                  <w:pPr>
                    <w:keepNext w:val="0"/>
                    <w:keepLines w:val="0"/>
                    <w:widowControl/>
                    <w:suppressLineNumbers w:val="0"/>
                    <w:jc w:val="center"/>
                    <w:textAlignment w:val="center"/>
                    <w:rPr>
                      <w:rFonts w:hint="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cs="Times New Roman"/>
                      <w:i w:val="0"/>
                      <w:iCs w:val="0"/>
                      <w:color w:val="000000"/>
                      <w:kern w:val="0"/>
                      <w:sz w:val="21"/>
                      <w:szCs w:val="21"/>
                      <w:u w:val="none"/>
                      <w:lang w:val="en-US" w:eastAsia="zh-CN" w:bidi="ar"/>
                    </w:rPr>
                    <w:t>1</w:t>
                  </w:r>
                </w:p>
              </w:tc>
            </w:tr>
            <w:tr w14:paraId="3BCDC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4" w:type="dxa"/>
                  <w:noWrap/>
                  <w:vAlign w:val="center"/>
                </w:tcPr>
                <w:p w14:paraId="642078F5">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12</w:t>
                  </w:r>
                </w:p>
              </w:tc>
              <w:tc>
                <w:tcPr>
                  <w:tcW w:w="1186" w:type="dxa"/>
                  <w:gridSpan w:val="2"/>
                  <w:noWrap/>
                  <w:vAlign w:val="center"/>
                </w:tcPr>
                <w:p w14:paraId="557207E5">
                  <w:pPr>
                    <w:spacing w:line="0" w:lineRule="atLeast"/>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危险废物（含现有项目）</w:t>
                  </w:r>
                </w:p>
              </w:tc>
              <w:tc>
                <w:tcPr>
                  <w:tcW w:w="906" w:type="dxa"/>
                  <w:noWrap/>
                  <w:vAlign w:val="center"/>
                </w:tcPr>
                <w:p w14:paraId="64CBF785">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906" w:type="dxa"/>
                  <w:noWrap/>
                  <w:vAlign w:val="center"/>
                </w:tcPr>
                <w:p w14:paraId="416BEB3A">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906" w:type="dxa"/>
                  <w:noWrap/>
                  <w:vAlign w:val="center"/>
                </w:tcPr>
                <w:p w14:paraId="7B72EB0A">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59.4519</w:t>
                  </w:r>
                </w:p>
              </w:tc>
              <w:tc>
                <w:tcPr>
                  <w:tcW w:w="1881" w:type="dxa"/>
                  <w:noWrap/>
                  <w:vAlign w:val="center"/>
                </w:tcPr>
                <w:p w14:paraId="2FA73E5A">
                  <w:pPr>
                    <w:spacing w:line="0" w:lineRule="atLeast"/>
                    <w:jc w:val="center"/>
                    <w:rPr>
                      <w:rFonts w:hint="default"/>
                      <w:color w:val="auto"/>
                      <w:kern w:val="0"/>
                      <w:szCs w:val="21"/>
                      <w:highlight w:val="none"/>
                      <w:lang w:val="en-US" w:eastAsia="zh-CN"/>
                    </w:rPr>
                  </w:pPr>
                  <w:r>
                    <w:rPr>
                      <w:rFonts w:hint="eastAsia"/>
                      <w:color w:val="auto"/>
                      <w:kern w:val="0"/>
                      <w:szCs w:val="21"/>
                      <w:highlight w:val="none"/>
                      <w:lang w:val="en-US" w:eastAsia="zh-CN"/>
                    </w:rPr>
                    <w:t>100</w:t>
                  </w:r>
                </w:p>
              </w:tc>
              <w:tc>
                <w:tcPr>
                  <w:tcW w:w="1882" w:type="dxa"/>
                  <w:noWrap/>
                  <w:vAlign w:val="center"/>
                </w:tcPr>
                <w:p w14:paraId="354A7404">
                  <w:pPr>
                    <w:keepNext w:val="0"/>
                    <w:keepLines w:val="0"/>
                    <w:widowControl/>
                    <w:suppressLineNumbers w:val="0"/>
                    <w:jc w:val="center"/>
                    <w:textAlignment w:val="center"/>
                    <w:rPr>
                      <w:rFonts w:hint="default" w:eastAsia="宋体"/>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0.59</w:t>
                  </w:r>
                  <w:r>
                    <w:rPr>
                      <w:rFonts w:hint="eastAsia" w:cs="Times New Roman"/>
                      <w:i w:val="0"/>
                      <w:iCs w:val="0"/>
                      <w:color w:val="000000"/>
                      <w:kern w:val="0"/>
                      <w:sz w:val="21"/>
                      <w:szCs w:val="21"/>
                      <w:u w:val="none"/>
                      <w:lang w:val="en-US" w:eastAsia="zh-CN" w:bidi="ar"/>
                    </w:rPr>
                    <w:t>39</w:t>
                  </w:r>
                </w:p>
              </w:tc>
            </w:tr>
            <w:tr w14:paraId="6F220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39" w:type="dxa"/>
                  <w:gridSpan w:val="7"/>
                  <w:noWrap/>
                  <w:vAlign w:val="center"/>
                </w:tcPr>
                <w:p w14:paraId="6ECCA257">
                  <w:pPr>
                    <w:widowControl/>
                    <w:jc w:val="center"/>
                    <w:textAlignment w:val="center"/>
                    <w:rPr>
                      <w:color w:val="auto"/>
                      <w:kern w:val="0"/>
                      <w:szCs w:val="21"/>
                      <w:highlight w:val="none"/>
                      <w:lang w:bidi="ar"/>
                    </w:rPr>
                  </w:pPr>
                  <w:r>
                    <w:rPr>
                      <w:rFonts w:hint="eastAsia"/>
                      <w:color w:val="auto"/>
                      <w:kern w:val="0"/>
                      <w:szCs w:val="21"/>
                      <w:highlight w:val="none"/>
                      <w:lang w:bidi="ar"/>
                    </w:rPr>
                    <w:t>合计（</w:t>
                  </w:r>
                  <w:r>
                    <w:rPr>
                      <w:color w:val="auto"/>
                      <w:kern w:val="0"/>
                      <w:szCs w:val="21"/>
                      <w:highlight w:val="none"/>
                      <w:lang w:bidi="ar"/>
                    </w:rPr>
                    <w:t>Σ</w:t>
                  </w:r>
                  <w:r>
                    <w:rPr>
                      <w:color w:val="auto"/>
                      <w:szCs w:val="21"/>
                      <w:highlight w:val="none"/>
                    </w:rPr>
                    <w:t>q/Q</w:t>
                  </w:r>
                  <w:r>
                    <w:rPr>
                      <w:rFonts w:hint="eastAsia"/>
                      <w:color w:val="auto"/>
                      <w:kern w:val="0"/>
                      <w:szCs w:val="21"/>
                      <w:highlight w:val="none"/>
                      <w:lang w:bidi="ar"/>
                    </w:rPr>
                    <w:t>）</w:t>
                  </w:r>
                </w:p>
              </w:tc>
              <w:tc>
                <w:tcPr>
                  <w:tcW w:w="1882" w:type="dxa"/>
                  <w:noWrap/>
                  <w:vAlign w:val="center"/>
                </w:tcPr>
                <w:p w14:paraId="20B6489D">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0.7318</w:t>
                  </w:r>
                </w:p>
              </w:tc>
            </w:tr>
          </w:tbl>
          <w:p w14:paraId="44047D5D">
            <w:pPr>
              <w:keepNext w:val="0"/>
              <w:keepLines w:val="0"/>
              <w:pageBreakBefore w:val="0"/>
              <w:widowControl w:val="0"/>
              <w:numPr>
                <w:ilvl w:val="0"/>
                <w:numId w:val="7"/>
              </w:numPr>
              <w:tabs>
                <w:tab w:val="left" w:pos="2655"/>
              </w:tabs>
              <w:kinsoku/>
              <w:wordWrap/>
              <w:overflowPunct/>
              <w:topLinePunct w:val="0"/>
              <w:autoSpaceDE/>
              <w:autoSpaceDN/>
              <w:bidi w:val="0"/>
              <w:adjustRightInd/>
              <w:snapToGrid/>
              <w:spacing w:before="157" w:beforeLines="50" w:line="360" w:lineRule="auto"/>
              <w:ind w:firstLine="420" w:firstLineChars="200"/>
              <w:textAlignment w:val="auto"/>
              <w:rPr>
                <w:color w:val="auto"/>
                <w:szCs w:val="21"/>
                <w:highlight w:val="none"/>
              </w:rPr>
            </w:pPr>
            <w:r>
              <w:rPr>
                <w:rFonts w:hint="eastAsia"/>
                <w:color w:val="auto"/>
                <w:szCs w:val="21"/>
                <w:highlight w:val="none"/>
              </w:rPr>
              <w:t>危险物质和风险源分布情况</w:t>
            </w:r>
          </w:p>
          <w:p w14:paraId="0F92FA89">
            <w:pPr>
              <w:pStyle w:val="4"/>
              <w:spacing w:before="0" w:after="0" w:line="360" w:lineRule="auto"/>
              <w:ind w:firstLine="420" w:firstLineChars="200"/>
              <w:rPr>
                <w:rFonts w:ascii="Times New Roman" w:hAnsi="Times New Roman"/>
                <w:b w:val="0"/>
                <w:bCs w:val="0"/>
                <w:color w:val="auto"/>
                <w:sz w:val="21"/>
                <w:szCs w:val="21"/>
                <w:highlight w:val="none"/>
              </w:rPr>
            </w:pPr>
            <w:r>
              <w:rPr>
                <w:rFonts w:ascii="Times New Roman" w:hAnsi="Times New Roman"/>
                <w:b w:val="0"/>
                <w:bCs w:val="0"/>
                <w:color w:val="auto"/>
                <w:sz w:val="21"/>
                <w:szCs w:val="21"/>
                <w:highlight w:val="none"/>
              </w:rPr>
              <w:t>本项目涉及的危险物质和风险源分布情况见表4-</w:t>
            </w:r>
            <w:r>
              <w:rPr>
                <w:rFonts w:hint="eastAsia" w:ascii="Times New Roman" w:hAnsi="Times New Roman"/>
                <w:b w:val="0"/>
                <w:bCs w:val="0"/>
                <w:color w:val="auto"/>
                <w:sz w:val="21"/>
                <w:szCs w:val="21"/>
                <w:highlight w:val="none"/>
                <w:lang w:val="en-US" w:eastAsia="zh-CN"/>
              </w:rPr>
              <w:t>39</w:t>
            </w:r>
            <w:r>
              <w:rPr>
                <w:rFonts w:ascii="Times New Roman" w:hAnsi="Times New Roman"/>
                <w:b w:val="0"/>
                <w:bCs w:val="0"/>
                <w:color w:val="auto"/>
                <w:sz w:val="21"/>
                <w:szCs w:val="21"/>
                <w:highlight w:val="none"/>
              </w:rPr>
              <w:t>。</w:t>
            </w:r>
          </w:p>
          <w:p w14:paraId="4AEC3232">
            <w:pPr>
              <w:pStyle w:val="4"/>
              <w:keepNext w:val="0"/>
              <w:keepLines w:val="0"/>
              <w:pageBreakBefore w:val="0"/>
              <w:widowControl w:val="0"/>
              <w:kinsoku/>
              <w:wordWrap/>
              <w:overflowPunct/>
              <w:topLinePunct w:val="0"/>
              <w:autoSpaceDE/>
              <w:autoSpaceDN/>
              <w:bidi w:val="0"/>
              <w:adjustRightInd/>
              <w:snapToGrid/>
              <w:spacing w:before="157" w:beforeLines="50" w:after="0" w:line="240" w:lineRule="auto"/>
              <w:ind w:lef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表4-</w:t>
            </w:r>
            <w:r>
              <w:rPr>
                <w:rFonts w:hint="eastAsia" w:ascii="Times New Roman" w:hAnsi="Times New Roman"/>
                <w:color w:val="auto"/>
                <w:sz w:val="21"/>
                <w:szCs w:val="21"/>
                <w:highlight w:val="none"/>
                <w:lang w:val="en-US" w:eastAsia="zh-CN"/>
              </w:rPr>
              <w:t>39</w:t>
            </w:r>
            <w:r>
              <w:rPr>
                <w:rFonts w:hint="eastAsia" w:ascii="Times New Roman" w:hAnsi="Times New Roman"/>
                <w:color w:val="auto"/>
                <w:sz w:val="21"/>
                <w:szCs w:val="21"/>
                <w:highlight w:val="none"/>
              </w:rPr>
              <w:t xml:space="preserve"> </w:t>
            </w:r>
            <w:r>
              <w:rPr>
                <w:rFonts w:ascii="Times New Roman" w:hAnsi="Times New Roman"/>
                <w:color w:val="auto"/>
                <w:sz w:val="21"/>
                <w:szCs w:val="21"/>
                <w:highlight w:val="none"/>
              </w:rPr>
              <w:t>风险源分布情况</w:t>
            </w:r>
          </w:p>
          <w:tbl>
            <w:tblPr>
              <w:tblStyle w:val="30"/>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52"/>
              <w:gridCol w:w="4440"/>
              <w:gridCol w:w="2182"/>
            </w:tblGrid>
            <w:tr w14:paraId="43199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2" w:type="dxa"/>
                  <w:noWrap w:val="0"/>
                  <w:vAlign w:val="center"/>
                </w:tcPr>
                <w:p w14:paraId="1048491F">
                  <w:pPr>
                    <w:pStyle w:val="116"/>
                    <w:rPr>
                      <w:rFonts w:hint="eastAsia"/>
                      <w:b/>
                      <w:color w:val="auto"/>
                      <w:highlight w:val="none"/>
                    </w:rPr>
                  </w:pPr>
                  <w:r>
                    <w:rPr>
                      <w:b/>
                      <w:color w:val="auto"/>
                      <w:highlight w:val="none"/>
                    </w:rPr>
                    <w:t>风险单元</w:t>
                  </w:r>
                </w:p>
              </w:tc>
              <w:tc>
                <w:tcPr>
                  <w:tcW w:w="4440" w:type="dxa"/>
                  <w:noWrap w:val="0"/>
                  <w:vAlign w:val="center"/>
                </w:tcPr>
                <w:p w14:paraId="67CD7F78">
                  <w:pPr>
                    <w:pStyle w:val="116"/>
                    <w:rPr>
                      <w:rFonts w:hint="eastAsia"/>
                      <w:b/>
                      <w:color w:val="auto"/>
                      <w:highlight w:val="none"/>
                    </w:rPr>
                  </w:pPr>
                  <w:r>
                    <w:rPr>
                      <w:b/>
                      <w:color w:val="auto"/>
                      <w:highlight w:val="none"/>
                    </w:rPr>
                    <w:t>涉及风险物质</w:t>
                  </w:r>
                </w:p>
              </w:tc>
              <w:tc>
                <w:tcPr>
                  <w:tcW w:w="2182" w:type="dxa"/>
                  <w:noWrap w:val="0"/>
                  <w:vAlign w:val="center"/>
                </w:tcPr>
                <w:p w14:paraId="7753BA27">
                  <w:pPr>
                    <w:pStyle w:val="116"/>
                    <w:rPr>
                      <w:b/>
                      <w:color w:val="auto"/>
                      <w:highlight w:val="none"/>
                    </w:rPr>
                  </w:pPr>
                  <w:r>
                    <w:rPr>
                      <w:rFonts w:hint="eastAsia"/>
                      <w:b/>
                      <w:color w:val="auto"/>
                      <w:highlight w:val="none"/>
                    </w:rPr>
                    <w:t>环境风险类型</w:t>
                  </w:r>
                </w:p>
              </w:tc>
            </w:tr>
            <w:tr w14:paraId="77913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2" w:type="dxa"/>
                  <w:noWrap w:val="0"/>
                  <w:vAlign w:val="center"/>
                </w:tcPr>
                <w:p w14:paraId="3F5E82DC">
                  <w:pPr>
                    <w:pStyle w:val="116"/>
                    <w:rPr>
                      <w:rFonts w:hint="default" w:eastAsia="宋体"/>
                      <w:color w:val="auto"/>
                      <w:highlight w:val="none"/>
                      <w:lang w:val="en-US" w:eastAsia="zh-CN"/>
                    </w:rPr>
                  </w:pPr>
                  <w:r>
                    <w:rPr>
                      <w:rFonts w:hint="eastAsia"/>
                      <w:color w:val="auto"/>
                      <w:highlight w:val="none"/>
                      <w:lang w:val="en-US" w:eastAsia="zh-CN"/>
                    </w:rPr>
                    <w:t>天然气管道</w:t>
                  </w:r>
                </w:p>
              </w:tc>
              <w:tc>
                <w:tcPr>
                  <w:tcW w:w="4440" w:type="dxa"/>
                  <w:noWrap w:val="0"/>
                  <w:vAlign w:val="center"/>
                </w:tcPr>
                <w:p w14:paraId="4FCAB8C3">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天然气</w:t>
                  </w:r>
                </w:p>
              </w:tc>
              <w:tc>
                <w:tcPr>
                  <w:tcW w:w="2182" w:type="dxa"/>
                  <w:noWrap w:val="0"/>
                  <w:vAlign w:val="center"/>
                </w:tcPr>
                <w:p w14:paraId="07162294">
                  <w:pPr>
                    <w:pStyle w:val="116"/>
                    <w:rPr>
                      <w:rFonts w:hint="eastAsia" w:eastAsia="宋体"/>
                      <w:color w:val="auto"/>
                      <w:highlight w:val="none"/>
                      <w:lang w:val="en-US" w:eastAsia="zh-CN"/>
                    </w:rPr>
                  </w:pPr>
                  <w:r>
                    <w:rPr>
                      <w:color w:val="auto"/>
                      <w:highlight w:val="none"/>
                    </w:rPr>
                    <w:t>泄漏</w:t>
                  </w:r>
                  <w:r>
                    <w:rPr>
                      <w:rFonts w:hint="eastAsia"/>
                      <w:color w:val="auto"/>
                      <w:highlight w:val="none"/>
                    </w:rPr>
                    <w:t>、火灾</w:t>
                  </w:r>
                  <w:r>
                    <w:rPr>
                      <w:rFonts w:hint="eastAsia"/>
                      <w:color w:val="auto"/>
                      <w:highlight w:val="none"/>
                      <w:lang w:val="en-US" w:eastAsia="zh-CN"/>
                    </w:rPr>
                    <w:t>爆炸</w:t>
                  </w:r>
                </w:p>
              </w:tc>
            </w:tr>
            <w:tr w14:paraId="0120E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2" w:type="dxa"/>
                  <w:noWrap w:val="0"/>
                  <w:vAlign w:val="center"/>
                </w:tcPr>
                <w:p w14:paraId="2F42CFF2">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原料仓库</w:t>
                  </w:r>
                </w:p>
              </w:tc>
              <w:tc>
                <w:tcPr>
                  <w:tcW w:w="4440" w:type="dxa"/>
                  <w:noWrap w:val="0"/>
                  <w:vAlign w:val="center"/>
                </w:tcPr>
                <w:p w14:paraId="0009A6C7">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脱脂粉、表调剂、皮膜液、片碱、生石灰、脱脂剂、塑粉、润滑油</w:t>
                  </w:r>
                </w:p>
              </w:tc>
              <w:tc>
                <w:tcPr>
                  <w:tcW w:w="2182" w:type="dxa"/>
                  <w:noWrap w:val="0"/>
                  <w:vAlign w:val="center"/>
                </w:tcPr>
                <w:p w14:paraId="73CD27FF">
                  <w:pPr>
                    <w:pStyle w:val="116"/>
                    <w:rPr>
                      <w:rFonts w:ascii="Times New Roman" w:hAnsi="Times New Roman" w:eastAsia="宋体" w:cs="Times New Roman"/>
                      <w:color w:val="auto"/>
                      <w:kern w:val="0"/>
                      <w:sz w:val="21"/>
                      <w:szCs w:val="21"/>
                      <w:highlight w:val="none"/>
                      <w:lang w:val="en-US" w:eastAsia="zh-CN" w:bidi="ar-SA"/>
                    </w:rPr>
                  </w:pPr>
                  <w:r>
                    <w:rPr>
                      <w:color w:val="auto"/>
                      <w:highlight w:val="none"/>
                    </w:rPr>
                    <w:t>泄漏</w:t>
                  </w:r>
                </w:p>
              </w:tc>
            </w:tr>
            <w:tr w14:paraId="665C5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2" w:type="dxa"/>
                  <w:noWrap w:val="0"/>
                  <w:vAlign w:val="center"/>
                </w:tcPr>
                <w:p w14:paraId="0B04F061">
                  <w:pPr>
                    <w:pStyle w:val="116"/>
                    <w:rPr>
                      <w:rFonts w:hint="eastAsia" w:eastAsia="宋体"/>
                      <w:color w:val="auto"/>
                      <w:highlight w:val="none"/>
                      <w:lang w:val="en-US" w:eastAsia="zh-CN"/>
                    </w:rPr>
                  </w:pPr>
                  <w:r>
                    <w:rPr>
                      <w:rFonts w:hint="eastAsia"/>
                      <w:color w:val="auto"/>
                      <w:highlight w:val="none"/>
                      <w:lang w:val="en-US" w:eastAsia="zh-CN"/>
                    </w:rPr>
                    <w:t>生产车间</w:t>
                  </w:r>
                </w:p>
              </w:tc>
              <w:tc>
                <w:tcPr>
                  <w:tcW w:w="4440" w:type="dxa"/>
                  <w:noWrap w:val="0"/>
                  <w:vAlign w:val="center"/>
                </w:tcPr>
                <w:p w14:paraId="546E0877">
                  <w:pPr>
                    <w:pStyle w:val="116"/>
                    <w:rPr>
                      <w:rFonts w:hint="eastAsia" w:eastAsia="宋体"/>
                      <w:color w:val="auto"/>
                      <w:highlight w:val="none"/>
                      <w:lang w:eastAsia="zh-CN"/>
                    </w:rPr>
                  </w:pPr>
                  <w:r>
                    <w:rPr>
                      <w:rFonts w:hint="eastAsia"/>
                      <w:color w:val="auto"/>
                      <w:szCs w:val="21"/>
                      <w:highlight w:val="none"/>
                      <w:lang w:val="en-US" w:eastAsia="zh-CN"/>
                    </w:rPr>
                    <w:t>脱脂粉、表调剂、皮膜剂</w:t>
                  </w:r>
                </w:p>
              </w:tc>
              <w:tc>
                <w:tcPr>
                  <w:tcW w:w="2182" w:type="dxa"/>
                  <w:noWrap w:val="0"/>
                  <w:vAlign w:val="center"/>
                </w:tcPr>
                <w:p w14:paraId="6B1CB7CF">
                  <w:pPr>
                    <w:pStyle w:val="116"/>
                    <w:rPr>
                      <w:color w:val="auto"/>
                      <w:highlight w:val="none"/>
                    </w:rPr>
                  </w:pPr>
                  <w:r>
                    <w:rPr>
                      <w:color w:val="auto"/>
                      <w:highlight w:val="none"/>
                    </w:rPr>
                    <w:t>泄漏</w:t>
                  </w:r>
                </w:p>
              </w:tc>
            </w:tr>
            <w:tr w14:paraId="7A92C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2" w:type="dxa"/>
                  <w:noWrap w:val="0"/>
                  <w:vAlign w:val="center"/>
                </w:tcPr>
                <w:p w14:paraId="4303AE44">
                  <w:pPr>
                    <w:pStyle w:val="116"/>
                    <w:rPr>
                      <w:rFonts w:hint="eastAsia"/>
                      <w:color w:val="auto"/>
                      <w:highlight w:val="none"/>
                    </w:rPr>
                  </w:pPr>
                  <w:r>
                    <w:rPr>
                      <w:rFonts w:hint="eastAsia"/>
                      <w:color w:val="auto"/>
                      <w:highlight w:val="none"/>
                    </w:rPr>
                    <w:t>废气处理设施</w:t>
                  </w:r>
                </w:p>
              </w:tc>
              <w:tc>
                <w:tcPr>
                  <w:tcW w:w="4440" w:type="dxa"/>
                  <w:noWrap w:val="0"/>
                  <w:vAlign w:val="center"/>
                </w:tcPr>
                <w:p w14:paraId="3BF0B30D">
                  <w:pPr>
                    <w:pStyle w:val="116"/>
                    <w:rPr>
                      <w:rFonts w:hint="default" w:eastAsia="宋体"/>
                      <w:color w:val="auto"/>
                      <w:highlight w:val="none"/>
                      <w:lang w:val="en-US" w:eastAsia="zh-CN"/>
                    </w:rPr>
                  </w:pP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rPr>
                    <w:t>、</w:t>
                  </w:r>
                  <w:r>
                    <w:rPr>
                      <w:rFonts w:hint="eastAsia"/>
                      <w:color w:val="auto"/>
                      <w:highlight w:val="none"/>
                      <w:lang w:val="en-US" w:eastAsia="zh-CN"/>
                    </w:rPr>
                    <w:t>氮氧化物、</w:t>
                  </w:r>
                  <w:r>
                    <w:rPr>
                      <w:rFonts w:hint="eastAsia"/>
                      <w:color w:val="auto"/>
                      <w:highlight w:val="none"/>
                    </w:rPr>
                    <w:t>非甲烷总烃、颗粒物</w:t>
                  </w:r>
                </w:p>
              </w:tc>
              <w:tc>
                <w:tcPr>
                  <w:tcW w:w="2182" w:type="dxa"/>
                  <w:noWrap w:val="0"/>
                  <w:vAlign w:val="center"/>
                </w:tcPr>
                <w:p w14:paraId="14DF034F">
                  <w:pPr>
                    <w:pStyle w:val="116"/>
                    <w:rPr>
                      <w:color w:val="auto"/>
                      <w:highlight w:val="none"/>
                    </w:rPr>
                  </w:pPr>
                  <w:r>
                    <w:rPr>
                      <w:rFonts w:hint="eastAsia"/>
                      <w:color w:val="auto"/>
                      <w:highlight w:val="none"/>
                    </w:rPr>
                    <w:t>故障</w:t>
                  </w:r>
                </w:p>
              </w:tc>
            </w:tr>
            <w:tr w14:paraId="2D323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2" w:type="dxa"/>
                  <w:noWrap w:val="0"/>
                  <w:vAlign w:val="center"/>
                </w:tcPr>
                <w:p w14:paraId="49E6E406">
                  <w:pPr>
                    <w:pStyle w:val="116"/>
                    <w:rPr>
                      <w:rFonts w:hint="eastAsia" w:eastAsia="宋体"/>
                      <w:color w:val="auto"/>
                      <w:highlight w:val="none"/>
                      <w:lang w:val="en-US" w:eastAsia="zh-CN"/>
                    </w:rPr>
                  </w:pPr>
                  <w:r>
                    <w:rPr>
                      <w:rFonts w:hint="eastAsia"/>
                      <w:color w:val="auto"/>
                      <w:highlight w:val="none"/>
                      <w:lang w:val="en-US" w:eastAsia="zh-CN"/>
                    </w:rPr>
                    <w:t>废水处理设施</w:t>
                  </w:r>
                </w:p>
              </w:tc>
              <w:tc>
                <w:tcPr>
                  <w:tcW w:w="4440" w:type="dxa"/>
                  <w:noWrap w:val="0"/>
                  <w:vAlign w:val="center"/>
                </w:tcPr>
                <w:p w14:paraId="63BCC974">
                  <w:pPr>
                    <w:pStyle w:val="116"/>
                    <w:rPr>
                      <w:rFonts w:hint="default"/>
                      <w:color w:val="auto"/>
                      <w:highlight w:val="none"/>
                      <w:lang w:val="en-US" w:eastAsia="zh-CN"/>
                    </w:rPr>
                  </w:pPr>
                  <w:r>
                    <w:rPr>
                      <w:rFonts w:hint="eastAsia"/>
                      <w:color w:val="auto"/>
                      <w:highlight w:val="none"/>
                      <w:lang w:val="en-US" w:eastAsia="zh-CN"/>
                    </w:rPr>
                    <w:t>生产废水</w:t>
                  </w:r>
                </w:p>
              </w:tc>
              <w:tc>
                <w:tcPr>
                  <w:tcW w:w="2182" w:type="dxa"/>
                  <w:noWrap w:val="0"/>
                  <w:vAlign w:val="center"/>
                </w:tcPr>
                <w:p w14:paraId="5F57AC1A">
                  <w:pPr>
                    <w:pStyle w:val="116"/>
                    <w:rPr>
                      <w:rFonts w:hint="eastAsia" w:eastAsia="宋体"/>
                      <w:color w:val="auto"/>
                      <w:highlight w:val="none"/>
                      <w:lang w:val="en-US" w:eastAsia="zh-CN"/>
                    </w:rPr>
                  </w:pPr>
                  <w:r>
                    <w:rPr>
                      <w:rFonts w:hint="eastAsia"/>
                      <w:color w:val="auto"/>
                      <w:highlight w:val="none"/>
                      <w:lang w:val="en-US" w:eastAsia="zh-CN"/>
                    </w:rPr>
                    <w:t>泄漏</w:t>
                  </w:r>
                </w:p>
              </w:tc>
            </w:tr>
            <w:tr w14:paraId="23C89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2" w:type="dxa"/>
                  <w:noWrap w:val="0"/>
                  <w:vAlign w:val="center"/>
                </w:tcPr>
                <w:p w14:paraId="66F2137B">
                  <w:pPr>
                    <w:pStyle w:val="116"/>
                    <w:rPr>
                      <w:rFonts w:hint="default" w:eastAsia="宋体"/>
                      <w:color w:val="auto"/>
                      <w:highlight w:val="none"/>
                      <w:lang w:val="en-US" w:eastAsia="zh-CN"/>
                    </w:rPr>
                  </w:pPr>
                  <w:r>
                    <w:rPr>
                      <w:color w:val="auto"/>
                      <w:highlight w:val="none"/>
                    </w:rPr>
                    <w:t>危废暂存区</w:t>
                  </w:r>
                </w:p>
              </w:tc>
              <w:tc>
                <w:tcPr>
                  <w:tcW w:w="4440" w:type="dxa"/>
                  <w:noWrap w:val="0"/>
                  <w:vAlign w:val="center"/>
                </w:tcPr>
                <w:p w14:paraId="130B807A">
                  <w:pPr>
                    <w:pStyle w:val="116"/>
                    <w:rPr>
                      <w:rFonts w:hint="default" w:eastAsia="宋体"/>
                      <w:color w:val="auto"/>
                      <w:highlight w:val="none"/>
                      <w:lang w:val="en-US" w:eastAsia="zh-CN"/>
                    </w:rPr>
                  </w:pPr>
                  <w:r>
                    <w:rPr>
                      <w:rFonts w:hint="eastAsia"/>
                      <w:color w:val="auto"/>
                      <w:highlight w:val="none"/>
                      <w:lang w:val="en-US" w:eastAsia="zh-CN"/>
                    </w:rPr>
                    <w:t>危险废物</w:t>
                  </w:r>
                </w:p>
              </w:tc>
              <w:tc>
                <w:tcPr>
                  <w:tcW w:w="2182" w:type="dxa"/>
                  <w:noWrap w:val="0"/>
                  <w:vAlign w:val="center"/>
                </w:tcPr>
                <w:p w14:paraId="5E8E3F97">
                  <w:pPr>
                    <w:pStyle w:val="116"/>
                    <w:rPr>
                      <w:rFonts w:hint="eastAsia"/>
                      <w:color w:val="auto"/>
                      <w:kern w:val="0"/>
                      <w:sz w:val="21"/>
                      <w:szCs w:val="21"/>
                      <w:highlight w:val="none"/>
                      <w:lang w:val="en-US" w:eastAsia="zh-CN" w:bidi="ar-SA"/>
                    </w:rPr>
                  </w:pPr>
                  <w:r>
                    <w:rPr>
                      <w:color w:val="auto"/>
                      <w:highlight w:val="none"/>
                    </w:rPr>
                    <w:t>泄漏</w:t>
                  </w:r>
                  <w:r>
                    <w:rPr>
                      <w:rFonts w:hint="eastAsia"/>
                      <w:color w:val="auto"/>
                      <w:highlight w:val="none"/>
                    </w:rPr>
                    <w:t>、火灾</w:t>
                  </w:r>
                </w:p>
              </w:tc>
            </w:tr>
          </w:tbl>
          <w:p w14:paraId="679297C4">
            <w:pPr>
              <w:keepNext w:val="0"/>
              <w:keepLines w:val="0"/>
              <w:pageBreakBefore w:val="0"/>
              <w:widowControl w:val="0"/>
              <w:numPr>
                <w:ilvl w:val="0"/>
                <w:numId w:val="7"/>
              </w:numPr>
              <w:tabs>
                <w:tab w:val="left" w:pos="2655"/>
              </w:tabs>
              <w:kinsoku/>
              <w:wordWrap/>
              <w:overflowPunct/>
              <w:topLinePunct w:val="0"/>
              <w:autoSpaceDE/>
              <w:autoSpaceDN/>
              <w:bidi w:val="0"/>
              <w:adjustRightInd/>
              <w:snapToGrid/>
              <w:spacing w:before="157" w:beforeLines="50" w:line="360" w:lineRule="auto"/>
              <w:ind w:firstLine="420" w:firstLineChars="200"/>
              <w:textAlignment w:val="auto"/>
              <w:rPr>
                <w:color w:val="auto"/>
                <w:szCs w:val="21"/>
                <w:highlight w:val="none"/>
              </w:rPr>
            </w:pPr>
            <w:r>
              <w:rPr>
                <w:rFonts w:hint="eastAsia"/>
                <w:color w:val="auto"/>
                <w:szCs w:val="21"/>
                <w:highlight w:val="none"/>
              </w:rPr>
              <w:t>影响途径及危害后果</w:t>
            </w:r>
          </w:p>
          <w:p w14:paraId="2BE8AB0C">
            <w:pPr>
              <w:pStyle w:val="5"/>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jc w:val="center"/>
              <w:textAlignment w:val="auto"/>
              <w:rPr>
                <w:rFonts w:hint="eastAsia"/>
                <w:b/>
                <w:bCs/>
                <w:color w:val="auto"/>
                <w:highlight w:val="none"/>
              </w:rPr>
            </w:pPr>
            <w:r>
              <w:rPr>
                <w:rFonts w:hint="default" w:ascii="Times New Roman" w:hAnsi="Times New Roman" w:cs="Times New Roman"/>
                <w:b/>
                <w:bCs/>
                <w:color w:val="auto"/>
                <w:sz w:val="22"/>
                <w:szCs w:val="21"/>
                <w:highlight w:val="none"/>
              </w:rPr>
              <w:t>表4-</w:t>
            </w:r>
            <w:r>
              <w:rPr>
                <w:rFonts w:hint="eastAsia" w:ascii="Times New Roman" w:cs="Times New Roman"/>
                <w:b/>
                <w:bCs/>
                <w:color w:val="auto"/>
                <w:sz w:val="22"/>
                <w:szCs w:val="21"/>
                <w:highlight w:val="none"/>
                <w:lang w:val="en-US" w:eastAsia="zh-CN"/>
              </w:rPr>
              <w:t>40</w:t>
            </w:r>
            <w:r>
              <w:rPr>
                <w:rFonts w:hint="default" w:ascii="Times New Roman" w:hAnsi="Times New Roman" w:cs="Times New Roman"/>
                <w:b/>
                <w:bCs/>
                <w:color w:val="auto"/>
                <w:sz w:val="22"/>
                <w:szCs w:val="21"/>
                <w:highlight w:val="none"/>
              </w:rPr>
              <w:t xml:space="preserve"> 项目环境风险事故时各环境要素影响途径及环境危害</w:t>
            </w:r>
          </w:p>
          <w:tbl>
            <w:tblPr>
              <w:tblStyle w:val="30"/>
              <w:tblW w:w="82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3"/>
              <w:gridCol w:w="1860"/>
              <w:gridCol w:w="847"/>
              <w:gridCol w:w="4829"/>
            </w:tblGrid>
            <w:tr w14:paraId="5EBE6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693" w:type="dxa"/>
                  <w:noWrap w:val="0"/>
                  <w:vAlign w:val="center"/>
                </w:tcPr>
                <w:p w14:paraId="6CE97F11">
                  <w:pPr>
                    <w:keepNext w:val="0"/>
                    <w:keepLines w:val="0"/>
                    <w:pageBreakBefore w:val="0"/>
                    <w:widowControl w:val="0"/>
                    <w:tabs>
                      <w:tab w:val="left" w:pos="2655"/>
                    </w:tabs>
                    <w:kinsoku/>
                    <w:wordWrap/>
                    <w:overflowPunct/>
                    <w:topLinePunct w:val="0"/>
                    <w:autoSpaceDE/>
                    <w:autoSpaceDN/>
                    <w:bidi w:val="0"/>
                    <w:adjustRightInd/>
                    <w:snapToGrid/>
                    <w:ind w:left="0"/>
                    <w:jc w:val="center"/>
                    <w:rPr>
                      <w:b/>
                      <w:bCs/>
                      <w:color w:val="auto"/>
                      <w:szCs w:val="21"/>
                      <w:highlight w:val="none"/>
                    </w:rPr>
                  </w:pPr>
                  <w:r>
                    <w:rPr>
                      <w:rFonts w:hint="eastAsia"/>
                      <w:b/>
                      <w:bCs/>
                      <w:color w:val="auto"/>
                      <w:szCs w:val="21"/>
                      <w:highlight w:val="none"/>
                    </w:rPr>
                    <w:t>风险单元</w:t>
                  </w:r>
                </w:p>
              </w:tc>
              <w:tc>
                <w:tcPr>
                  <w:tcW w:w="1860" w:type="dxa"/>
                  <w:noWrap w:val="0"/>
                  <w:vAlign w:val="center"/>
                </w:tcPr>
                <w:p w14:paraId="13BBDCB6">
                  <w:pPr>
                    <w:pStyle w:val="4"/>
                    <w:keepNext w:val="0"/>
                    <w:keepLines w:val="0"/>
                    <w:pageBreakBefore w:val="0"/>
                    <w:widowControl w:val="0"/>
                    <w:kinsoku/>
                    <w:wordWrap/>
                    <w:overflowPunct/>
                    <w:topLinePunct w:val="0"/>
                    <w:autoSpaceDE/>
                    <w:autoSpaceDN/>
                    <w:bidi w:val="0"/>
                    <w:adjustRightInd/>
                    <w:snapToGrid/>
                    <w:spacing w:before="0" w:after="0" w:line="240" w:lineRule="auto"/>
                    <w:ind w:left="0"/>
                    <w:jc w:val="center"/>
                    <w:rPr>
                      <w:b w:val="0"/>
                      <w:bCs w:val="0"/>
                      <w:color w:val="auto"/>
                      <w:szCs w:val="21"/>
                      <w:highlight w:val="none"/>
                    </w:rPr>
                  </w:pPr>
                  <w:r>
                    <w:rPr>
                      <w:rFonts w:hint="eastAsia"/>
                      <w:color w:val="auto"/>
                      <w:sz w:val="21"/>
                      <w:szCs w:val="21"/>
                      <w:highlight w:val="none"/>
                    </w:rPr>
                    <w:t>主要危险物质</w:t>
                  </w:r>
                </w:p>
              </w:tc>
              <w:tc>
                <w:tcPr>
                  <w:tcW w:w="847" w:type="dxa"/>
                  <w:noWrap w:val="0"/>
                  <w:vAlign w:val="center"/>
                </w:tcPr>
                <w:p w14:paraId="3B52A7D4">
                  <w:pPr>
                    <w:pStyle w:val="4"/>
                    <w:keepNext w:val="0"/>
                    <w:keepLines w:val="0"/>
                    <w:pageBreakBefore w:val="0"/>
                    <w:widowControl w:val="0"/>
                    <w:kinsoku/>
                    <w:wordWrap/>
                    <w:overflowPunct/>
                    <w:topLinePunct w:val="0"/>
                    <w:autoSpaceDE/>
                    <w:autoSpaceDN/>
                    <w:bidi w:val="0"/>
                    <w:adjustRightInd/>
                    <w:snapToGrid/>
                    <w:spacing w:before="0" w:after="0" w:line="240" w:lineRule="auto"/>
                    <w:ind w:left="0"/>
                    <w:jc w:val="center"/>
                    <w:rPr>
                      <w:b w:val="0"/>
                      <w:bCs w:val="0"/>
                      <w:color w:val="auto"/>
                      <w:szCs w:val="21"/>
                      <w:highlight w:val="none"/>
                    </w:rPr>
                  </w:pPr>
                  <w:r>
                    <w:rPr>
                      <w:rFonts w:hint="eastAsia"/>
                      <w:color w:val="auto"/>
                      <w:sz w:val="21"/>
                      <w:szCs w:val="21"/>
                      <w:highlight w:val="none"/>
                    </w:rPr>
                    <w:t>环境风险类型</w:t>
                  </w:r>
                </w:p>
              </w:tc>
              <w:tc>
                <w:tcPr>
                  <w:tcW w:w="4829" w:type="dxa"/>
                  <w:noWrap w:val="0"/>
                  <w:vAlign w:val="center"/>
                </w:tcPr>
                <w:p w14:paraId="03F4B864">
                  <w:pPr>
                    <w:pStyle w:val="4"/>
                    <w:keepNext w:val="0"/>
                    <w:keepLines w:val="0"/>
                    <w:pageBreakBefore w:val="0"/>
                    <w:widowControl w:val="0"/>
                    <w:kinsoku/>
                    <w:wordWrap/>
                    <w:overflowPunct/>
                    <w:topLinePunct w:val="0"/>
                    <w:autoSpaceDE/>
                    <w:autoSpaceDN/>
                    <w:bidi w:val="0"/>
                    <w:adjustRightInd/>
                    <w:snapToGrid/>
                    <w:spacing w:before="0" w:after="0" w:line="240" w:lineRule="auto"/>
                    <w:ind w:left="0"/>
                    <w:jc w:val="center"/>
                    <w:rPr>
                      <w:color w:val="auto"/>
                      <w:sz w:val="21"/>
                      <w:szCs w:val="21"/>
                      <w:highlight w:val="none"/>
                    </w:rPr>
                  </w:pPr>
                  <w:r>
                    <w:rPr>
                      <w:rFonts w:hint="eastAsia"/>
                      <w:color w:val="auto"/>
                      <w:sz w:val="21"/>
                      <w:szCs w:val="21"/>
                      <w:highlight w:val="none"/>
                    </w:rPr>
                    <w:t>环境影响途径</w:t>
                  </w:r>
                </w:p>
              </w:tc>
            </w:tr>
            <w:tr w14:paraId="4FB73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3" w:type="dxa"/>
                  <w:noWrap w:val="0"/>
                  <w:vAlign w:val="center"/>
                </w:tcPr>
                <w:p w14:paraId="6CF045E8">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天然气管道</w:t>
                  </w:r>
                </w:p>
              </w:tc>
              <w:tc>
                <w:tcPr>
                  <w:tcW w:w="1860" w:type="dxa"/>
                  <w:noWrap w:val="0"/>
                  <w:vAlign w:val="center"/>
                </w:tcPr>
                <w:p w14:paraId="7DF22FD9">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天然气</w:t>
                  </w:r>
                </w:p>
              </w:tc>
              <w:tc>
                <w:tcPr>
                  <w:tcW w:w="847" w:type="dxa"/>
                  <w:noWrap w:val="0"/>
                  <w:vAlign w:val="center"/>
                </w:tcPr>
                <w:p w14:paraId="1ED6854F">
                  <w:pPr>
                    <w:pStyle w:val="116"/>
                    <w:rPr>
                      <w:rFonts w:hint="eastAsia" w:ascii="Times New Roman" w:hAnsi="Times New Roman" w:eastAsia="宋体" w:cs="Times New Roman"/>
                      <w:color w:val="auto"/>
                      <w:kern w:val="0"/>
                      <w:sz w:val="21"/>
                      <w:szCs w:val="21"/>
                      <w:highlight w:val="none"/>
                      <w:lang w:val="en-US" w:eastAsia="zh-CN" w:bidi="ar-SA"/>
                    </w:rPr>
                  </w:pPr>
                  <w:r>
                    <w:rPr>
                      <w:color w:val="auto"/>
                      <w:highlight w:val="none"/>
                    </w:rPr>
                    <w:t>泄漏</w:t>
                  </w:r>
                  <w:r>
                    <w:rPr>
                      <w:rFonts w:hint="eastAsia"/>
                      <w:color w:val="auto"/>
                      <w:highlight w:val="none"/>
                    </w:rPr>
                    <w:t>、火灾</w:t>
                  </w:r>
                  <w:r>
                    <w:rPr>
                      <w:rFonts w:hint="eastAsia"/>
                      <w:color w:val="auto"/>
                      <w:highlight w:val="none"/>
                      <w:lang w:val="en-US" w:eastAsia="zh-CN"/>
                    </w:rPr>
                    <w:t>爆炸</w:t>
                  </w:r>
                </w:p>
              </w:tc>
              <w:tc>
                <w:tcPr>
                  <w:tcW w:w="4829" w:type="dxa"/>
                  <w:noWrap w:val="0"/>
                  <w:vAlign w:val="center"/>
                </w:tcPr>
                <w:p w14:paraId="4E8CA7D5">
                  <w:pPr>
                    <w:keepNext w:val="0"/>
                    <w:keepLines w:val="0"/>
                    <w:pageBreakBefore w:val="0"/>
                    <w:widowControl w:val="0"/>
                    <w:tabs>
                      <w:tab w:val="left" w:pos="2655"/>
                    </w:tabs>
                    <w:kinsoku/>
                    <w:wordWrap/>
                    <w:overflowPunct/>
                    <w:topLinePunct w:val="0"/>
                    <w:autoSpaceDE/>
                    <w:autoSpaceDN/>
                    <w:bidi w:val="0"/>
                    <w:adjustRightInd/>
                    <w:snapToGrid/>
                    <w:ind w:left="0"/>
                    <w:jc w:val="center"/>
                    <w:rPr>
                      <w:rFonts w:hint="default" w:eastAsia="宋体"/>
                      <w:color w:val="auto"/>
                      <w:highlight w:val="none"/>
                      <w:lang w:val="en-US" w:eastAsia="zh-CN"/>
                    </w:rPr>
                  </w:pPr>
                  <w:r>
                    <w:rPr>
                      <w:rFonts w:hint="eastAsia"/>
                      <w:color w:val="auto"/>
                      <w:highlight w:val="none"/>
                      <w:lang w:val="en-US" w:eastAsia="zh-CN"/>
                    </w:rPr>
                    <w:t>天然泄漏</w:t>
                  </w:r>
                  <w:r>
                    <w:rPr>
                      <w:rFonts w:hint="eastAsia"/>
                      <w:color w:val="auto"/>
                      <w:highlight w:val="none"/>
                    </w:rPr>
                    <w:t>进入大气</w:t>
                  </w:r>
                  <w:r>
                    <w:rPr>
                      <w:rFonts w:hint="eastAsia"/>
                      <w:color w:val="auto"/>
                      <w:highlight w:val="none"/>
                      <w:lang w:eastAsia="zh-CN"/>
                    </w:rPr>
                    <w:t>，</w:t>
                  </w:r>
                  <w:r>
                    <w:rPr>
                      <w:rFonts w:hint="eastAsia"/>
                      <w:color w:val="auto"/>
                      <w:highlight w:val="none"/>
                      <w:lang w:val="en-US" w:eastAsia="zh-CN"/>
                    </w:rPr>
                    <w:t>天然气遇明火发生</w:t>
                  </w:r>
                  <w:r>
                    <w:rPr>
                      <w:rFonts w:hint="eastAsia"/>
                      <w:color w:val="auto"/>
                      <w:highlight w:val="none"/>
                    </w:rPr>
                    <w:t>火灾/爆炸等引发的伴生/次生污染物进入大气</w:t>
                  </w:r>
                  <w:r>
                    <w:rPr>
                      <w:rFonts w:hint="eastAsia"/>
                      <w:color w:val="auto"/>
                      <w:highlight w:val="none"/>
                      <w:lang w:eastAsia="zh-CN"/>
                    </w:rPr>
                    <w:t>，</w:t>
                  </w:r>
                  <w:r>
                    <w:rPr>
                      <w:rFonts w:hint="eastAsia"/>
                      <w:color w:val="auto"/>
                      <w:highlight w:val="none"/>
                      <w:lang w:val="en-US" w:eastAsia="zh-CN"/>
                    </w:rPr>
                    <w:t>污染大气环境</w:t>
                  </w:r>
                </w:p>
              </w:tc>
            </w:tr>
            <w:tr w14:paraId="6EFFB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3" w:type="dxa"/>
                  <w:noWrap w:val="0"/>
                  <w:vAlign w:val="center"/>
                </w:tcPr>
                <w:p w14:paraId="2477D484">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原料仓库</w:t>
                  </w:r>
                </w:p>
              </w:tc>
              <w:tc>
                <w:tcPr>
                  <w:tcW w:w="1860" w:type="dxa"/>
                  <w:noWrap w:val="0"/>
                  <w:vAlign w:val="center"/>
                </w:tcPr>
                <w:p w14:paraId="6B207B63">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脱</w:t>
                  </w:r>
                  <w:r>
                    <w:rPr>
                      <w:rFonts w:hint="eastAsia"/>
                      <w:color w:val="auto"/>
                      <w:sz w:val="21"/>
                      <w:szCs w:val="21"/>
                      <w:highlight w:val="none"/>
                      <w:lang w:val="en-US" w:eastAsia="zh-CN"/>
                    </w:rPr>
                    <w:t>脱脂粉、表调剂、皮膜液、片碱、生石灰、脱脂剂、塑粉、润滑油</w:t>
                  </w:r>
                </w:p>
              </w:tc>
              <w:tc>
                <w:tcPr>
                  <w:tcW w:w="847" w:type="dxa"/>
                  <w:noWrap w:val="0"/>
                  <w:vAlign w:val="center"/>
                </w:tcPr>
                <w:p w14:paraId="1A1850C5">
                  <w:pPr>
                    <w:pStyle w:val="116"/>
                    <w:rPr>
                      <w:rFonts w:ascii="Times New Roman" w:hAnsi="Times New Roman" w:eastAsia="宋体" w:cs="Times New Roman"/>
                      <w:color w:val="auto"/>
                      <w:kern w:val="0"/>
                      <w:sz w:val="21"/>
                      <w:szCs w:val="21"/>
                      <w:highlight w:val="none"/>
                      <w:lang w:val="en-US" w:eastAsia="zh-CN" w:bidi="ar-SA"/>
                    </w:rPr>
                  </w:pPr>
                  <w:r>
                    <w:rPr>
                      <w:color w:val="auto"/>
                      <w:highlight w:val="none"/>
                    </w:rPr>
                    <w:t>泄漏</w:t>
                  </w:r>
                </w:p>
              </w:tc>
              <w:tc>
                <w:tcPr>
                  <w:tcW w:w="4829" w:type="dxa"/>
                  <w:noWrap w:val="0"/>
                  <w:vAlign w:val="center"/>
                </w:tcPr>
                <w:p w14:paraId="55C28104">
                  <w:pPr>
                    <w:keepNext w:val="0"/>
                    <w:keepLines w:val="0"/>
                    <w:pageBreakBefore w:val="0"/>
                    <w:widowControl w:val="0"/>
                    <w:tabs>
                      <w:tab w:val="left" w:pos="2655"/>
                    </w:tabs>
                    <w:kinsoku/>
                    <w:wordWrap/>
                    <w:overflowPunct/>
                    <w:topLinePunct w:val="0"/>
                    <w:autoSpaceDE/>
                    <w:autoSpaceDN/>
                    <w:bidi w:val="0"/>
                    <w:adjustRightInd/>
                    <w:snapToGrid/>
                    <w:ind w:left="0" w:lef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原料</w:t>
                  </w:r>
                  <w:r>
                    <w:rPr>
                      <w:rFonts w:hint="eastAsia"/>
                      <w:color w:val="auto"/>
                      <w:highlight w:val="none"/>
                    </w:rPr>
                    <w:t>泄漏后进入地表水</w:t>
                  </w:r>
                  <w:r>
                    <w:rPr>
                      <w:rFonts w:hint="eastAsia"/>
                      <w:color w:val="auto"/>
                      <w:highlight w:val="none"/>
                      <w:lang w:eastAsia="zh-CN"/>
                    </w:rPr>
                    <w:t>、</w:t>
                  </w:r>
                  <w:r>
                    <w:rPr>
                      <w:rFonts w:hint="eastAsia"/>
                      <w:color w:val="auto"/>
                      <w:highlight w:val="none"/>
                      <w:lang w:val="en-US" w:eastAsia="zh-CN"/>
                    </w:rPr>
                    <w:t>地下水和土壤</w:t>
                  </w:r>
                  <w:r>
                    <w:rPr>
                      <w:rFonts w:hint="eastAsia"/>
                      <w:color w:val="auto"/>
                      <w:highlight w:val="none"/>
                    </w:rPr>
                    <w:t>或挥发进入大气，对地表水</w:t>
                  </w:r>
                  <w:r>
                    <w:rPr>
                      <w:rFonts w:hint="eastAsia"/>
                      <w:color w:val="auto"/>
                      <w:highlight w:val="none"/>
                      <w:lang w:eastAsia="zh-CN"/>
                    </w:rPr>
                    <w:t>、</w:t>
                  </w:r>
                  <w:r>
                    <w:rPr>
                      <w:rFonts w:hint="eastAsia"/>
                      <w:color w:val="auto"/>
                      <w:highlight w:val="none"/>
                      <w:lang w:val="en-US" w:eastAsia="zh-CN"/>
                    </w:rPr>
                    <w:t>地下水、土壤</w:t>
                  </w:r>
                  <w:r>
                    <w:rPr>
                      <w:rFonts w:hint="eastAsia"/>
                      <w:color w:val="auto"/>
                      <w:highlight w:val="none"/>
                    </w:rPr>
                    <w:t>、大气可能造成污染</w:t>
                  </w:r>
                  <w:r>
                    <w:rPr>
                      <w:rFonts w:hint="eastAsia"/>
                      <w:color w:val="auto"/>
                      <w:highlight w:val="none"/>
                      <w:lang w:eastAsia="zh-CN"/>
                    </w:rPr>
                    <w:t>。</w:t>
                  </w:r>
                </w:p>
              </w:tc>
            </w:tr>
            <w:tr w14:paraId="73EE7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3" w:type="dxa"/>
                  <w:noWrap w:val="0"/>
                  <w:vAlign w:val="center"/>
                </w:tcPr>
                <w:p w14:paraId="78CE043D">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生产车间</w:t>
                  </w:r>
                </w:p>
              </w:tc>
              <w:tc>
                <w:tcPr>
                  <w:tcW w:w="1860" w:type="dxa"/>
                  <w:noWrap w:val="0"/>
                  <w:vAlign w:val="center"/>
                </w:tcPr>
                <w:p w14:paraId="2441B209">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lang w:val="en-US" w:eastAsia="zh-CN"/>
                    </w:rPr>
                    <w:t>脱脂粉、表调剂、皮膜剂</w:t>
                  </w:r>
                </w:p>
              </w:tc>
              <w:tc>
                <w:tcPr>
                  <w:tcW w:w="847" w:type="dxa"/>
                  <w:noWrap w:val="0"/>
                  <w:vAlign w:val="center"/>
                </w:tcPr>
                <w:p w14:paraId="6A1A1320">
                  <w:pPr>
                    <w:pStyle w:val="116"/>
                    <w:rPr>
                      <w:rFonts w:ascii="Times New Roman" w:hAnsi="Times New Roman" w:eastAsia="宋体" w:cs="Times New Roman"/>
                      <w:color w:val="auto"/>
                      <w:kern w:val="0"/>
                      <w:sz w:val="21"/>
                      <w:szCs w:val="21"/>
                      <w:highlight w:val="none"/>
                      <w:lang w:val="en-US" w:eastAsia="zh-CN" w:bidi="ar-SA"/>
                    </w:rPr>
                  </w:pPr>
                  <w:r>
                    <w:rPr>
                      <w:color w:val="auto"/>
                      <w:highlight w:val="none"/>
                    </w:rPr>
                    <w:t>泄漏</w:t>
                  </w:r>
                </w:p>
              </w:tc>
              <w:tc>
                <w:tcPr>
                  <w:tcW w:w="4829" w:type="dxa"/>
                  <w:noWrap w:val="0"/>
                  <w:vAlign w:val="center"/>
                </w:tcPr>
                <w:p w14:paraId="2631FF7E">
                  <w:pPr>
                    <w:keepNext w:val="0"/>
                    <w:keepLines w:val="0"/>
                    <w:pageBreakBefore w:val="0"/>
                    <w:widowControl w:val="0"/>
                    <w:tabs>
                      <w:tab w:val="left" w:pos="2655"/>
                    </w:tabs>
                    <w:kinsoku/>
                    <w:wordWrap/>
                    <w:overflowPunct/>
                    <w:topLinePunct w:val="0"/>
                    <w:autoSpaceDE/>
                    <w:autoSpaceDN/>
                    <w:bidi w:val="0"/>
                    <w:adjustRightInd/>
                    <w:snapToGrid/>
                    <w:ind w:left="0" w:lef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物料</w:t>
                  </w:r>
                  <w:r>
                    <w:rPr>
                      <w:rFonts w:hint="eastAsia"/>
                      <w:color w:val="auto"/>
                      <w:highlight w:val="none"/>
                    </w:rPr>
                    <w:t>泄漏后进入地表水</w:t>
                  </w:r>
                  <w:r>
                    <w:rPr>
                      <w:rFonts w:hint="eastAsia"/>
                      <w:color w:val="auto"/>
                      <w:highlight w:val="none"/>
                      <w:lang w:eastAsia="zh-CN"/>
                    </w:rPr>
                    <w:t>、</w:t>
                  </w:r>
                  <w:r>
                    <w:rPr>
                      <w:rFonts w:hint="eastAsia"/>
                      <w:color w:val="auto"/>
                      <w:highlight w:val="none"/>
                      <w:lang w:val="en-US" w:eastAsia="zh-CN"/>
                    </w:rPr>
                    <w:t>地下水和土壤</w:t>
                  </w:r>
                  <w:r>
                    <w:rPr>
                      <w:rFonts w:hint="eastAsia"/>
                      <w:color w:val="auto"/>
                      <w:highlight w:val="none"/>
                    </w:rPr>
                    <w:t>或挥发进入大气，对地表水</w:t>
                  </w:r>
                  <w:r>
                    <w:rPr>
                      <w:rFonts w:hint="eastAsia"/>
                      <w:color w:val="auto"/>
                      <w:highlight w:val="none"/>
                      <w:lang w:eastAsia="zh-CN"/>
                    </w:rPr>
                    <w:t>、</w:t>
                  </w:r>
                  <w:r>
                    <w:rPr>
                      <w:rFonts w:hint="eastAsia"/>
                      <w:color w:val="auto"/>
                      <w:highlight w:val="none"/>
                      <w:lang w:val="en-US" w:eastAsia="zh-CN"/>
                    </w:rPr>
                    <w:t>地下水、土壤</w:t>
                  </w:r>
                  <w:r>
                    <w:rPr>
                      <w:rFonts w:hint="eastAsia"/>
                      <w:color w:val="auto"/>
                      <w:highlight w:val="none"/>
                    </w:rPr>
                    <w:t>、大气可能造成污染</w:t>
                  </w:r>
                  <w:r>
                    <w:rPr>
                      <w:rFonts w:hint="eastAsia"/>
                      <w:color w:val="auto"/>
                      <w:highlight w:val="none"/>
                      <w:lang w:eastAsia="zh-CN"/>
                    </w:rPr>
                    <w:t>。</w:t>
                  </w:r>
                </w:p>
              </w:tc>
            </w:tr>
            <w:tr w14:paraId="2B361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3" w:type="dxa"/>
                  <w:noWrap w:val="0"/>
                  <w:vAlign w:val="center"/>
                </w:tcPr>
                <w:p w14:paraId="39B79661">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rPr>
                    <w:t>废气处理设施</w:t>
                  </w:r>
                </w:p>
              </w:tc>
              <w:tc>
                <w:tcPr>
                  <w:tcW w:w="1860" w:type="dxa"/>
                  <w:noWrap w:val="0"/>
                  <w:vAlign w:val="center"/>
                </w:tcPr>
                <w:p w14:paraId="64527761">
                  <w:pPr>
                    <w:pStyle w:val="116"/>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rPr>
                    <w:t>、</w:t>
                  </w:r>
                  <w:r>
                    <w:rPr>
                      <w:rFonts w:hint="eastAsia"/>
                      <w:color w:val="auto"/>
                      <w:highlight w:val="none"/>
                      <w:lang w:val="en-US" w:eastAsia="zh-CN"/>
                    </w:rPr>
                    <w:t>氮氧化物、</w:t>
                  </w:r>
                  <w:r>
                    <w:rPr>
                      <w:rFonts w:hint="eastAsia"/>
                      <w:color w:val="auto"/>
                      <w:highlight w:val="none"/>
                    </w:rPr>
                    <w:t>非甲烷总烃、颗粒物</w:t>
                  </w:r>
                </w:p>
              </w:tc>
              <w:tc>
                <w:tcPr>
                  <w:tcW w:w="847" w:type="dxa"/>
                  <w:noWrap w:val="0"/>
                  <w:vAlign w:val="center"/>
                </w:tcPr>
                <w:p w14:paraId="03B68261">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rPr>
                    <w:t>故障</w:t>
                  </w:r>
                </w:p>
              </w:tc>
              <w:tc>
                <w:tcPr>
                  <w:tcW w:w="4829" w:type="dxa"/>
                  <w:noWrap w:val="0"/>
                  <w:vAlign w:val="center"/>
                </w:tcPr>
                <w:p w14:paraId="10CDD679">
                  <w:pPr>
                    <w:keepNext w:val="0"/>
                    <w:keepLines w:val="0"/>
                    <w:pageBreakBefore w:val="0"/>
                    <w:widowControl w:val="0"/>
                    <w:tabs>
                      <w:tab w:val="left" w:pos="2655"/>
                    </w:tabs>
                    <w:kinsoku/>
                    <w:wordWrap/>
                    <w:overflowPunct/>
                    <w:topLinePunct w:val="0"/>
                    <w:autoSpaceDE/>
                    <w:autoSpaceDN/>
                    <w:bidi w:val="0"/>
                    <w:adjustRightInd/>
                    <w:snapToGrid/>
                    <w:ind w:left="0"/>
                    <w:jc w:val="center"/>
                    <w:rPr>
                      <w:rFonts w:hint="eastAsia"/>
                      <w:color w:val="auto"/>
                      <w:highlight w:val="none"/>
                    </w:rPr>
                  </w:pPr>
                  <w:r>
                    <w:rPr>
                      <w:rFonts w:hint="eastAsia"/>
                      <w:color w:val="auto"/>
                      <w:highlight w:val="none"/>
                    </w:rPr>
                    <w:t>废气处理设施事故状态下，废气排放浓度超过环境质量标准，影响区域大气环境。</w:t>
                  </w:r>
                </w:p>
              </w:tc>
            </w:tr>
            <w:tr w14:paraId="0614A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3" w:type="dxa"/>
                  <w:noWrap w:val="0"/>
                  <w:vAlign w:val="center"/>
                </w:tcPr>
                <w:p w14:paraId="0C5CB66A">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废水处理设施</w:t>
                  </w:r>
                </w:p>
              </w:tc>
              <w:tc>
                <w:tcPr>
                  <w:tcW w:w="1860" w:type="dxa"/>
                  <w:noWrap w:val="0"/>
                  <w:vAlign w:val="center"/>
                </w:tcPr>
                <w:p w14:paraId="07A969A4">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生产废水</w:t>
                  </w:r>
                </w:p>
              </w:tc>
              <w:tc>
                <w:tcPr>
                  <w:tcW w:w="847" w:type="dxa"/>
                  <w:noWrap w:val="0"/>
                  <w:vAlign w:val="center"/>
                </w:tcPr>
                <w:p w14:paraId="33DC3B8E">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泄漏</w:t>
                  </w:r>
                </w:p>
              </w:tc>
              <w:tc>
                <w:tcPr>
                  <w:tcW w:w="4829" w:type="dxa"/>
                  <w:noWrap w:val="0"/>
                  <w:vAlign w:val="center"/>
                </w:tcPr>
                <w:p w14:paraId="0B23D52F">
                  <w:pPr>
                    <w:keepNext w:val="0"/>
                    <w:keepLines w:val="0"/>
                    <w:pageBreakBefore w:val="0"/>
                    <w:widowControl w:val="0"/>
                    <w:tabs>
                      <w:tab w:val="left" w:pos="2655"/>
                    </w:tabs>
                    <w:kinsoku/>
                    <w:wordWrap/>
                    <w:overflowPunct/>
                    <w:topLinePunct w:val="0"/>
                    <w:autoSpaceDE/>
                    <w:autoSpaceDN/>
                    <w:bidi w:val="0"/>
                    <w:adjustRightInd/>
                    <w:snapToGrid/>
                    <w:ind w:left="0"/>
                    <w:jc w:val="center"/>
                    <w:rPr>
                      <w:rFonts w:hint="eastAsia"/>
                      <w:color w:val="auto"/>
                      <w:highlight w:val="none"/>
                    </w:rPr>
                  </w:pPr>
                  <w:r>
                    <w:rPr>
                      <w:rFonts w:hint="eastAsia"/>
                      <w:color w:val="auto"/>
                      <w:highlight w:val="none"/>
                    </w:rPr>
                    <w:t>废气处理设施事故状态下，</w:t>
                  </w:r>
                  <w:r>
                    <w:rPr>
                      <w:rFonts w:hint="eastAsia"/>
                      <w:color w:val="auto"/>
                      <w:highlight w:val="none"/>
                      <w:lang w:val="en-US" w:eastAsia="zh-CN"/>
                    </w:rPr>
                    <w:t>高浓度废水进入地表水、土壤、地下水</w:t>
                  </w:r>
                  <w:r>
                    <w:rPr>
                      <w:rFonts w:hint="eastAsia"/>
                      <w:color w:val="auto"/>
                      <w:highlight w:val="none"/>
                    </w:rPr>
                    <w:t>，对地表水</w:t>
                  </w:r>
                  <w:r>
                    <w:rPr>
                      <w:rFonts w:hint="eastAsia"/>
                      <w:color w:val="auto"/>
                      <w:highlight w:val="none"/>
                      <w:lang w:eastAsia="zh-CN"/>
                    </w:rPr>
                    <w:t>、</w:t>
                  </w:r>
                  <w:r>
                    <w:rPr>
                      <w:rFonts w:hint="eastAsia"/>
                      <w:color w:val="auto"/>
                      <w:highlight w:val="none"/>
                      <w:lang w:val="en-US" w:eastAsia="zh-CN"/>
                    </w:rPr>
                    <w:t>地下水、土壤</w:t>
                  </w:r>
                  <w:r>
                    <w:rPr>
                      <w:rFonts w:hint="eastAsia"/>
                      <w:color w:val="auto"/>
                      <w:highlight w:val="none"/>
                    </w:rPr>
                    <w:t>可能造成污染</w:t>
                  </w:r>
                  <w:r>
                    <w:rPr>
                      <w:rFonts w:hint="eastAsia"/>
                      <w:color w:val="auto"/>
                      <w:highlight w:val="none"/>
                      <w:lang w:eastAsia="zh-CN"/>
                    </w:rPr>
                    <w:t>。</w:t>
                  </w:r>
                </w:p>
              </w:tc>
            </w:tr>
            <w:tr w14:paraId="312B1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3" w:type="dxa"/>
                  <w:noWrap w:val="0"/>
                  <w:vAlign w:val="center"/>
                </w:tcPr>
                <w:p w14:paraId="4E9D525A">
                  <w:pPr>
                    <w:pStyle w:val="116"/>
                    <w:rPr>
                      <w:rFonts w:hint="default" w:ascii="Times New Roman" w:hAnsi="Times New Roman" w:eastAsia="宋体" w:cs="Times New Roman"/>
                      <w:color w:val="auto"/>
                      <w:kern w:val="0"/>
                      <w:sz w:val="21"/>
                      <w:szCs w:val="21"/>
                      <w:highlight w:val="none"/>
                      <w:lang w:val="en-US" w:eastAsia="zh-CN" w:bidi="ar-SA"/>
                    </w:rPr>
                  </w:pPr>
                  <w:r>
                    <w:rPr>
                      <w:color w:val="auto"/>
                      <w:highlight w:val="none"/>
                    </w:rPr>
                    <w:t>危废暂存区</w:t>
                  </w:r>
                </w:p>
              </w:tc>
              <w:tc>
                <w:tcPr>
                  <w:tcW w:w="1860" w:type="dxa"/>
                  <w:noWrap w:val="0"/>
                  <w:vAlign w:val="center"/>
                </w:tcPr>
                <w:p w14:paraId="5567232C">
                  <w:pPr>
                    <w:pStyle w:val="116"/>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危险废物</w:t>
                  </w:r>
                </w:p>
              </w:tc>
              <w:tc>
                <w:tcPr>
                  <w:tcW w:w="847" w:type="dxa"/>
                  <w:noWrap w:val="0"/>
                  <w:vAlign w:val="center"/>
                </w:tcPr>
                <w:p w14:paraId="26125B39">
                  <w:pPr>
                    <w:pStyle w:val="116"/>
                    <w:rPr>
                      <w:rFonts w:hint="eastAsia" w:ascii="Times New Roman" w:hAnsi="Times New Roman" w:eastAsia="宋体" w:cs="Times New Roman"/>
                      <w:color w:val="auto"/>
                      <w:kern w:val="0"/>
                      <w:sz w:val="21"/>
                      <w:szCs w:val="21"/>
                      <w:highlight w:val="none"/>
                      <w:lang w:val="en-US" w:eastAsia="zh-CN" w:bidi="ar-SA"/>
                    </w:rPr>
                  </w:pPr>
                  <w:r>
                    <w:rPr>
                      <w:color w:val="auto"/>
                      <w:highlight w:val="none"/>
                    </w:rPr>
                    <w:t>泄漏</w:t>
                  </w:r>
                  <w:r>
                    <w:rPr>
                      <w:rFonts w:hint="eastAsia"/>
                      <w:color w:val="auto"/>
                      <w:highlight w:val="none"/>
                    </w:rPr>
                    <w:t>、火灾</w:t>
                  </w:r>
                </w:p>
              </w:tc>
              <w:tc>
                <w:tcPr>
                  <w:tcW w:w="4829" w:type="dxa"/>
                  <w:noWrap w:val="0"/>
                  <w:vAlign w:val="center"/>
                </w:tcPr>
                <w:p w14:paraId="5F087964">
                  <w:pPr>
                    <w:keepNext w:val="0"/>
                    <w:keepLines w:val="0"/>
                    <w:pageBreakBefore w:val="0"/>
                    <w:widowControl w:val="0"/>
                    <w:tabs>
                      <w:tab w:val="left" w:pos="2655"/>
                    </w:tabs>
                    <w:kinsoku/>
                    <w:wordWrap/>
                    <w:overflowPunct/>
                    <w:topLinePunct w:val="0"/>
                    <w:autoSpaceDE/>
                    <w:autoSpaceDN/>
                    <w:bidi w:val="0"/>
                    <w:adjustRightInd/>
                    <w:snapToGrid/>
                    <w:ind w:left="0"/>
                    <w:jc w:val="center"/>
                    <w:rPr>
                      <w:rFonts w:hint="eastAsia"/>
                      <w:color w:val="auto"/>
                      <w:kern w:val="2"/>
                      <w:sz w:val="21"/>
                      <w:szCs w:val="21"/>
                      <w:highlight w:val="none"/>
                      <w:lang w:val="en-US" w:eastAsia="zh-CN" w:bidi="ar-SA"/>
                    </w:rPr>
                  </w:pPr>
                  <w:r>
                    <w:rPr>
                      <w:rFonts w:hint="eastAsia"/>
                      <w:color w:val="auto"/>
                      <w:highlight w:val="none"/>
                      <w:lang w:val="en-US" w:eastAsia="zh-CN"/>
                    </w:rPr>
                    <w:t>危险废物</w:t>
                  </w:r>
                  <w:r>
                    <w:rPr>
                      <w:rFonts w:hint="eastAsia"/>
                      <w:color w:val="auto"/>
                      <w:highlight w:val="none"/>
                    </w:rPr>
                    <w:t>泄漏后进入地表水</w:t>
                  </w:r>
                  <w:r>
                    <w:rPr>
                      <w:rFonts w:hint="eastAsia"/>
                      <w:color w:val="auto"/>
                      <w:highlight w:val="none"/>
                      <w:lang w:eastAsia="zh-CN"/>
                    </w:rPr>
                    <w:t>、</w:t>
                  </w:r>
                  <w:r>
                    <w:rPr>
                      <w:rFonts w:hint="eastAsia"/>
                      <w:color w:val="auto"/>
                      <w:highlight w:val="none"/>
                      <w:lang w:val="en-US" w:eastAsia="zh-CN"/>
                    </w:rPr>
                    <w:t>地下水和土壤</w:t>
                  </w:r>
                  <w:r>
                    <w:rPr>
                      <w:rFonts w:hint="eastAsia"/>
                      <w:color w:val="auto"/>
                      <w:highlight w:val="none"/>
                    </w:rPr>
                    <w:t>或挥发进入大气，火灾/爆炸等引发的伴生/次生污染物进入大气，对地表水、</w:t>
                  </w:r>
                  <w:r>
                    <w:rPr>
                      <w:rFonts w:hint="eastAsia"/>
                      <w:color w:val="auto"/>
                      <w:highlight w:val="none"/>
                      <w:lang w:val="en-US" w:eastAsia="zh-CN"/>
                    </w:rPr>
                    <w:t>地下水、土壤和</w:t>
                  </w:r>
                  <w:r>
                    <w:rPr>
                      <w:rFonts w:hint="eastAsia"/>
                      <w:color w:val="auto"/>
                      <w:highlight w:val="none"/>
                    </w:rPr>
                    <w:t>大气可能造成污染。</w:t>
                  </w:r>
                </w:p>
              </w:tc>
            </w:tr>
          </w:tbl>
          <w:p w14:paraId="0214C87C">
            <w:pPr>
              <w:keepNext w:val="0"/>
              <w:keepLines w:val="0"/>
              <w:pageBreakBefore w:val="0"/>
              <w:widowControl w:val="0"/>
              <w:numPr>
                <w:ilvl w:val="0"/>
                <w:numId w:val="7"/>
              </w:numPr>
              <w:tabs>
                <w:tab w:val="left" w:pos="2655"/>
              </w:tabs>
              <w:kinsoku/>
              <w:wordWrap/>
              <w:overflowPunct/>
              <w:topLinePunct w:val="0"/>
              <w:autoSpaceDE/>
              <w:autoSpaceDN/>
              <w:bidi w:val="0"/>
              <w:adjustRightInd/>
              <w:snapToGrid/>
              <w:spacing w:before="157" w:beforeLines="50" w:line="360" w:lineRule="auto"/>
              <w:ind w:firstLine="420" w:firstLineChars="200"/>
              <w:textAlignment w:val="auto"/>
              <w:rPr>
                <w:color w:val="auto"/>
                <w:szCs w:val="21"/>
                <w:highlight w:val="none"/>
              </w:rPr>
            </w:pPr>
            <w:r>
              <w:rPr>
                <w:color w:val="auto"/>
                <w:szCs w:val="21"/>
                <w:highlight w:val="none"/>
              </w:rPr>
              <w:t>环境风险防范措施</w:t>
            </w:r>
          </w:p>
          <w:p w14:paraId="27B5596A">
            <w:pPr>
              <w:keepNext w:val="0"/>
              <w:keepLines w:val="0"/>
              <w:pageBreakBefore w:val="0"/>
              <w:widowControl w:val="0"/>
              <w:numPr>
                <w:ilvl w:val="0"/>
                <w:numId w:val="0"/>
              </w:numPr>
              <w:tabs>
                <w:tab w:val="left" w:pos="2655"/>
              </w:tabs>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1）</w:t>
            </w:r>
            <w:r>
              <w:rPr>
                <w:rFonts w:hint="eastAsia" w:ascii="Times New Roman" w:hAnsi="Times New Roman" w:eastAsia="宋体" w:cs="Times New Roman"/>
                <w:color w:val="auto"/>
                <w:lang w:val="en-US" w:eastAsia="zh-CN"/>
              </w:rPr>
              <w:t>事故池容积</w:t>
            </w:r>
          </w:p>
          <w:p w14:paraId="241D9600">
            <w:pPr>
              <w:keepNext w:val="0"/>
              <w:keepLines w:val="0"/>
              <w:pageBreakBefore w:val="0"/>
              <w:widowControl w:val="0"/>
              <w:numPr>
                <w:ilvl w:val="0"/>
                <w:numId w:val="0"/>
              </w:numPr>
              <w:tabs>
                <w:tab w:val="left" w:pos="2655"/>
              </w:tabs>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厂区设置足够容量的应急事故池。参照以下公式（中石化集团公司与建设部编制的《水体污染防控紧急措施设计导则》）确定事故池总有效容积：</w:t>
            </w:r>
          </w:p>
          <w:p w14:paraId="3D5927B9">
            <w:pPr>
              <w:keepNext w:val="0"/>
              <w:keepLines w:val="0"/>
              <w:pageBreakBefore w:val="0"/>
              <w:widowControl w:val="0"/>
              <w:numPr>
                <w:ilvl w:val="0"/>
                <w:numId w:val="0"/>
              </w:numPr>
              <w:tabs>
                <w:tab w:val="left" w:pos="2655"/>
              </w:tabs>
              <w:kinsoku/>
              <w:wordWrap/>
              <w:overflowPunct/>
              <w:topLinePunct w:val="0"/>
              <w:autoSpaceDE/>
              <w:autoSpaceDN/>
              <w:bidi w:val="0"/>
              <w:adjustRightInd/>
              <w:snapToGrid w:val="0"/>
              <w:spacing w:line="360" w:lineRule="auto"/>
              <w:ind w:firstLine="420" w:firstLineChars="200"/>
              <w:jc w:val="center"/>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position w:val="-12"/>
                <w:szCs w:val="21"/>
                <w:lang w:val="en-US" w:eastAsia="zh-CN"/>
              </w:rPr>
              <w:object>
                <v:shape id="_x0000_i1032" o:spt="75" type="#_x0000_t75" style="height:18pt;width:147pt;" o:ole="t" filled="f" o:preferrelative="t" stroked="f" coordsize="21600,21600">
                  <v:path/>
                  <v:fill on="f" focussize="0,0"/>
                  <v:stroke on="f"/>
                  <v:imagedata r:id="rId40" o:title=""/>
                  <o:lock v:ext="edit" aspectratio="t"/>
                  <w10:wrap type="none"/>
                  <w10:anchorlock/>
                </v:shape>
                <o:OLEObject Type="Embed" ProgID="Equation.KSEE3" ShapeID="_x0000_i1032" DrawAspect="Content" ObjectID="_1468075732" r:id="rId39">
                  <o:LockedField>false</o:LockedField>
                </o:OLEObject>
              </w:object>
            </w:r>
          </w:p>
          <w:p w14:paraId="6C7189E0">
            <w:pPr>
              <w:keepNext w:val="0"/>
              <w:keepLines w:val="0"/>
              <w:pageBreakBefore w:val="0"/>
              <w:kinsoku/>
              <w:wordWrap/>
              <w:overflowPunct/>
              <w:topLinePunct w:val="0"/>
              <w:bidi w:val="0"/>
              <w:adjustRightInd/>
              <w:snapToGrid w:val="0"/>
              <w:spacing w:line="360" w:lineRule="auto"/>
              <w:ind w:firstLine="420" w:firstLineChars="200"/>
              <w:textAlignment w:val="auto"/>
              <w:rPr>
                <w:color w:val="auto"/>
                <w:sz w:val="21"/>
                <w:szCs w:val="21"/>
              </w:rPr>
            </w:pPr>
            <w:r>
              <w:rPr>
                <w:color w:val="auto"/>
                <w:sz w:val="21"/>
                <w:szCs w:val="21"/>
              </w:rPr>
              <w:t>式中：</w:t>
            </w:r>
            <w:r>
              <w:rPr>
                <w:rFonts w:hint="eastAsia"/>
                <w:color w:val="auto"/>
                <w:sz w:val="21"/>
                <w:szCs w:val="21"/>
                <w:lang w:eastAsia="zh-CN"/>
              </w:rPr>
              <w:t>（</w:t>
            </w:r>
            <w:r>
              <w:rPr>
                <w:color w:val="auto"/>
                <w:sz w:val="21"/>
                <w:szCs w:val="21"/>
              </w:rPr>
              <w:t>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rFonts w:hint="eastAsia"/>
                <w:color w:val="auto"/>
                <w:sz w:val="21"/>
                <w:szCs w:val="21"/>
                <w:lang w:eastAsia="zh-CN"/>
              </w:rPr>
              <w:t>）</w:t>
            </w:r>
            <w:r>
              <w:rPr>
                <w:color w:val="auto"/>
                <w:sz w:val="21"/>
                <w:szCs w:val="21"/>
              </w:rPr>
              <w:t>max——对收集系统范围内不同装置区域分别计算V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而取出的最大值。</w:t>
            </w:r>
          </w:p>
          <w:p w14:paraId="6F60EF34">
            <w:pPr>
              <w:keepNext w:val="0"/>
              <w:keepLines w:val="0"/>
              <w:pageBreakBefore w:val="0"/>
              <w:kinsoku/>
              <w:wordWrap/>
              <w:overflowPunct/>
              <w:topLinePunct w:val="0"/>
              <w:bidi w:val="0"/>
              <w:adjustRightInd/>
              <w:snapToGrid w:val="0"/>
              <w:spacing w:line="360" w:lineRule="auto"/>
              <w:ind w:firstLine="1050" w:firstLineChars="500"/>
              <w:textAlignment w:val="auto"/>
              <w:rPr>
                <w:color w:val="auto"/>
                <w:sz w:val="21"/>
                <w:szCs w:val="21"/>
              </w:rPr>
            </w:pPr>
            <w:r>
              <w:rPr>
                <w:color w:val="auto"/>
                <w:sz w:val="21"/>
                <w:szCs w:val="21"/>
              </w:rPr>
              <w:t>V</w:t>
            </w:r>
            <w:r>
              <w:rPr>
                <w:color w:val="auto"/>
                <w:sz w:val="21"/>
                <w:szCs w:val="21"/>
                <w:vertAlign w:val="subscript"/>
              </w:rPr>
              <w:t>1</w:t>
            </w:r>
            <w:r>
              <w:rPr>
                <w:color w:val="auto"/>
                <w:sz w:val="21"/>
                <w:szCs w:val="21"/>
              </w:rPr>
              <w:t>——收集系统范围内发生事故时的泄漏物料量，m</w:t>
            </w:r>
            <w:r>
              <w:rPr>
                <w:color w:val="auto"/>
                <w:sz w:val="21"/>
                <w:szCs w:val="21"/>
                <w:vertAlign w:val="superscript"/>
              </w:rPr>
              <w:t>3</w:t>
            </w:r>
            <w:r>
              <w:rPr>
                <w:color w:val="auto"/>
                <w:sz w:val="21"/>
                <w:szCs w:val="21"/>
              </w:rPr>
              <w:t>；</w:t>
            </w:r>
          </w:p>
          <w:p w14:paraId="6975DC6F">
            <w:pPr>
              <w:keepNext w:val="0"/>
              <w:keepLines w:val="0"/>
              <w:pageBreakBefore w:val="0"/>
              <w:kinsoku/>
              <w:wordWrap/>
              <w:overflowPunct/>
              <w:topLinePunct w:val="0"/>
              <w:bidi w:val="0"/>
              <w:adjustRightInd/>
              <w:snapToGrid w:val="0"/>
              <w:spacing w:line="360" w:lineRule="auto"/>
              <w:ind w:firstLine="1050" w:firstLineChars="500"/>
              <w:textAlignment w:val="auto"/>
              <w:rPr>
                <w:color w:val="auto"/>
                <w:sz w:val="21"/>
                <w:szCs w:val="21"/>
              </w:rPr>
            </w:pPr>
            <w:r>
              <w:rPr>
                <w:color w:val="auto"/>
                <w:sz w:val="21"/>
                <w:szCs w:val="21"/>
              </w:rPr>
              <w:t>V</w:t>
            </w:r>
            <w:r>
              <w:rPr>
                <w:color w:val="auto"/>
                <w:sz w:val="21"/>
                <w:szCs w:val="21"/>
                <w:vertAlign w:val="subscript"/>
              </w:rPr>
              <w:t>2</w:t>
            </w:r>
            <w:r>
              <w:rPr>
                <w:color w:val="auto"/>
                <w:sz w:val="21"/>
                <w:szCs w:val="21"/>
              </w:rPr>
              <w:t>——发生事故时的消防水量；V</w:t>
            </w:r>
            <w:r>
              <w:rPr>
                <w:color w:val="auto"/>
                <w:sz w:val="21"/>
                <w:szCs w:val="21"/>
                <w:vertAlign w:val="subscript"/>
              </w:rPr>
              <w:t>2</w:t>
            </w:r>
            <w:r>
              <w:rPr>
                <w:color w:val="auto"/>
                <w:sz w:val="21"/>
                <w:szCs w:val="21"/>
              </w:rPr>
              <w:t>=∑Q</w:t>
            </w:r>
            <w:r>
              <w:rPr>
                <w:color w:val="auto"/>
                <w:sz w:val="21"/>
                <w:szCs w:val="21"/>
                <w:vertAlign w:val="subscript"/>
              </w:rPr>
              <w:t>消</w:t>
            </w:r>
            <w:r>
              <w:rPr>
                <w:color w:val="auto"/>
                <w:sz w:val="21"/>
                <w:szCs w:val="21"/>
              </w:rPr>
              <w:t>×t</w:t>
            </w:r>
            <w:r>
              <w:rPr>
                <w:color w:val="auto"/>
                <w:sz w:val="21"/>
                <w:szCs w:val="21"/>
                <w:vertAlign w:val="subscript"/>
              </w:rPr>
              <w:t>消</w:t>
            </w:r>
          </w:p>
          <w:p w14:paraId="6A233163">
            <w:pPr>
              <w:keepNext w:val="0"/>
              <w:keepLines w:val="0"/>
              <w:pageBreakBefore w:val="0"/>
              <w:kinsoku/>
              <w:wordWrap/>
              <w:overflowPunct/>
              <w:topLinePunct w:val="0"/>
              <w:bidi w:val="0"/>
              <w:adjustRightInd/>
              <w:snapToGrid w:val="0"/>
              <w:spacing w:line="360" w:lineRule="auto"/>
              <w:ind w:firstLine="1050" w:firstLineChars="500"/>
              <w:textAlignment w:val="auto"/>
              <w:rPr>
                <w:color w:val="auto"/>
                <w:sz w:val="21"/>
                <w:szCs w:val="21"/>
              </w:rPr>
            </w:pPr>
            <w:r>
              <w:rPr>
                <w:color w:val="auto"/>
                <w:sz w:val="21"/>
                <w:szCs w:val="21"/>
              </w:rPr>
              <w:t>Q</w:t>
            </w:r>
            <w:r>
              <w:rPr>
                <w:color w:val="auto"/>
                <w:sz w:val="21"/>
                <w:szCs w:val="21"/>
                <w:vertAlign w:val="subscript"/>
              </w:rPr>
              <w:t>消</w:t>
            </w:r>
            <w:r>
              <w:rPr>
                <w:color w:val="auto"/>
                <w:sz w:val="21"/>
                <w:szCs w:val="21"/>
              </w:rPr>
              <w:t>：发生事故的工艺装置同时使用的消防设施给水流量，包括室内外消火栓、消防炮、喷淋系统等等，各种设施的配置和流量根据保护对象的火灾危险程度，按相关消防规范确定。</w:t>
            </w:r>
          </w:p>
          <w:p w14:paraId="2E6BF3A0">
            <w:pPr>
              <w:keepNext w:val="0"/>
              <w:keepLines w:val="0"/>
              <w:pageBreakBefore w:val="0"/>
              <w:kinsoku/>
              <w:wordWrap/>
              <w:overflowPunct/>
              <w:topLinePunct w:val="0"/>
              <w:bidi w:val="0"/>
              <w:adjustRightInd/>
              <w:snapToGrid w:val="0"/>
              <w:spacing w:line="360" w:lineRule="auto"/>
              <w:ind w:firstLine="1050" w:firstLineChars="500"/>
              <w:textAlignment w:val="auto"/>
              <w:rPr>
                <w:color w:val="auto"/>
                <w:sz w:val="21"/>
                <w:szCs w:val="21"/>
              </w:rPr>
            </w:pPr>
            <w:r>
              <w:rPr>
                <w:color w:val="auto"/>
                <w:sz w:val="21"/>
                <w:szCs w:val="21"/>
              </w:rPr>
              <w:t>t</w:t>
            </w:r>
            <w:r>
              <w:rPr>
                <w:color w:val="auto"/>
                <w:sz w:val="21"/>
                <w:szCs w:val="21"/>
                <w:vertAlign w:val="subscript"/>
              </w:rPr>
              <w:t>消</w:t>
            </w:r>
            <w:r>
              <w:rPr>
                <w:color w:val="auto"/>
                <w:sz w:val="21"/>
                <w:szCs w:val="21"/>
              </w:rPr>
              <w:t>：各种消防设施对应的设计消防历时。对于不同的消防设施，对于同一次火灾和同一个保护对象，历时不尽相同，可根据消防规范确定。</w:t>
            </w:r>
          </w:p>
          <w:p w14:paraId="07524843">
            <w:pPr>
              <w:keepNext w:val="0"/>
              <w:keepLines w:val="0"/>
              <w:pageBreakBefore w:val="0"/>
              <w:kinsoku/>
              <w:wordWrap/>
              <w:overflowPunct/>
              <w:topLinePunct w:val="0"/>
              <w:bidi w:val="0"/>
              <w:adjustRightInd/>
              <w:snapToGrid w:val="0"/>
              <w:spacing w:line="360" w:lineRule="auto"/>
              <w:ind w:firstLine="1050" w:firstLineChars="500"/>
              <w:textAlignment w:val="auto"/>
              <w:rPr>
                <w:color w:val="auto"/>
                <w:sz w:val="21"/>
                <w:szCs w:val="21"/>
              </w:rPr>
            </w:pPr>
            <w:r>
              <w:rPr>
                <w:color w:val="auto"/>
                <w:sz w:val="21"/>
                <w:szCs w:val="21"/>
              </w:rPr>
              <w:t>V</w:t>
            </w:r>
            <w:r>
              <w:rPr>
                <w:color w:val="auto"/>
                <w:sz w:val="21"/>
                <w:szCs w:val="21"/>
                <w:vertAlign w:val="subscript"/>
              </w:rPr>
              <w:t>3</w:t>
            </w:r>
            <w:r>
              <w:rPr>
                <w:color w:val="auto"/>
                <w:sz w:val="21"/>
                <w:szCs w:val="21"/>
              </w:rPr>
              <w:t>——发生事故时可以转输至其它储存或处理设施的物料量，m</w:t>
            </w:r>
            <w:r>
              <w:rPr>
                <w:color w:val="auto"/>
                <w:sz w:val="21"/>
                <w:szCs w:val="21"/>
                <w:vertAlign w:val="superscript"/>
              </w:rPr>
              <w:t>3</w:t>
            </w:r>
            <w:r>
              <w:rPr>
                <w:color w:val="auto"/>
                <w:sz w:val="21"/>
                <w:szCs w:val="21"/>
              </w:rPr>
              <w:t>；</w:t>
            </w:r>
          </w:p>
          <w:p w14:paraId="6D8CC0F9">
            <w:pPr>
              <w:keepNext w:val="0"/>
              <w:keepLines w:val="0"/>
              <w:pageBreakBefore w:val="0"/>
              <w:kinsoku/>
              <w:wordWrap/>
              <w:overflowPunct/>
              <w:topLinePunct w:val="0"/>
              <w:bidi w:val="0"/>
              <w:adjustRightInd/>
              <w:snapToGrid w:val="0"/>
              <w:spacing w:line="360" w:lineRule="auto"/>
              <w:ind w:firstLine="1050" w:firstLineChars="500"/>
              <w:textAlignment w:val="auto"/>
              <w:rPr>
                <w:color w:val="auto"/>
                <w:sz w:val="21"/>
                <w:szCs w:val="21"/>
              </w:rPr>
            </w:pPr>
            <w:r>
              <w:rPr>
                <w:color w:val="auto"/>
                <w:sz w:val="21"/>
                <w:szCs w:val="21"/>
              </w:rPr>
              <w:t>V</w:t>
            </w:r>
            <w:r>
              <w:rPr>
                <w:color w:val="auto"/>
                <w:sz w:val="21"/>
                <w:szCs w:val="21"/>
                <w:vertAlign w:val="subscript"/>
              </w:rPr>
              <w:t>4</w:t>
            </w:r>
            <w:r>
              <w:rPr>
                <w:color w:val="auto"/>
                <w:sz w:val="21"/>
                <w:szCs w:val="21"/>
              </w:rPr>
              <w:t>——发生事故时仍必须进入该收集池的生产废水量，m</w:t>
            </w:r>
            <w:r>
              <w:rPr>
                <w:color w:val="auto"/>
                <w:sz w:val="21"/>
                <w:szCs w:val="21"/>
                <w:vertAlign w:val="superscript"/>
              </w:rPr>
              <w:t>3</w:t>
            </w:r>
            <w:r>
              <w:rPr>
                <w:color w:val="auto"/>
                <w:sz w:val="21"/>
                <w:szCs w:val="21"/>
              </w:rPr>
              <w:t>；</w:t>
            </w:r>
          </w:p>
          <w:p w14:paraId="7D6D0808">
            <w:pPr>
              <w:keepNext w:val="0"/>
              <w:keepLines w:val="0"/>
              <w:pageBreakBefore w:val="0"/>
              <w:kinsoku/>
              <w:wordWrap/>
              <w:overflowPunct/>
              <w:topLinePunct w:val="0"/>
              <w:bidi w:val="0"/>
              <w:adjustRightInd/>
              <w:snapToGrid w:val="0"/>
              <w:spacing w:line="360" w:lineRule="auto"/>
              <w:ind w:firstLine="1050" w:firstLineChars="500"/>
              <w:textAlignment w:val="auto"/>
              <w:rPr>
                <w:color w:val="auto"/>
                <w:sz w:val="21"/>
                <w:szCs w:val="21"/>
              </w:rPr>
            </w:pPr>
            <w:r>
              <w:rPr>
                <w:color w:val="auto"/>
                <w:sz w:val="21"/>
                <w:szCs w:val="21"/>
              </w:rPr>
              <w:t>V</w:t>
            </w:r>
            <w:r>
              <w:rPr>
                <w:color w:val="auto"/>
                <w:sz w:val="21"/>
                <w:szCs w:val="21"/>
                <w:vertAlign w:val="subscript"/>
              </w:rPr>
              <w:t>5</w:t>
            </w:r>
            <w:r>
              <w:rPr>
                <w:color w:val="auto"/>
                <w:sz w:val="21"/>
                <w:szCs w:val="21"/>
              </w:rPr>
              <w:t>——发生事故时可能进入该收集池的降雨量，m</w:t>
            </w:r>
            <w:r>
              <w:rPr>
                <w:color w:val="auto"/>
                <w:sz w:val="21"/>
                <w:szCs w:val="21"/>
                <w:vertAlign w:val="superscript"/>
              </w:rPr>
              <w:t>3</w:t>
            </w:r>
            <w:r>
              <w:rPr>
                <w:color w:val="auto"/>
                <w:sz w:val="21"/>
                <w:szCs w:val="21"/>
              </w:rPr>
              <w:t>。</w:t>
            </w:r>
          </w:p>
          <w:p w14:paraId="068D40A0">
            <w:pPr>
              <w:keepNext w:val="0"/>
              <w:keepLines w:val="0"/>
              <w:pageBreakBefore w:val="0"/>
              <w:kinsoku/>
              <w:wordWrap/>
              <w:overflowPunct/>
              <w:topLinePunct w:val="0"/>
              <w:bidi w:val="0"/>
              <w:adjustRightInd/>
              <w:snapToGrid w:val="0"/>
              <w:spacing w:line="360" w:lineRule="auto"/>
              <w:jc w:val="center"/>
              <w:textAlignment w:val="auto"/>
              <w:rPr>
                <w:color w:val="auto"/>
                <w:sz w:val="21"/>
                <w:szCs w:val="21"/>
              </w:rPr>
            </w:pPr>
            <w:r>
              <w:rPr>
                <w:color w:val="auto"/>
                <w:sz w:val="21"/>
                <w:szCs w:val="21"/>
              </w:rPr>
              <w:t>V</w:t>
            </w:r>
            <w:r>
              <w:rPr>
                <w:color w:val="auto"/>
                <w:sz w:val="21"/>
                <w:szCs w:val="21"/>
                <w:vertAlign w:val="subscript"/>
              </w:rPr>
              <w:t>5</w:t>
            </w:r>
            <w:r>
              <w:rPr>
                <w:color w:val="auto"/>
                <w:sz w:val="21"/>
                <w:szCs w:val="21"/>
              </w:rPr>
              <w:t>=10qF</w:t>
            </w:r>
          </w:p>
          <w:p w14:paraId="09A22FA3">
            <w:pPr>
              <w:keepNext w:val="0"/>
              <w:keepLines w:val="0"/>
              <w:pageBreakBefore w:val="0"/>
              <w:kinsoku/>
              <w:wordWrap/>
              <w:overflowPunct/>
              <w:topLinePunct w:val="0"/>
              <w:bidi w:val="0"/>
              <w:adjustRightInd/>
              <w:snapToGrid w:val="0"/>
              <w:spacing w:line="360" w:lineRule="auto"/>
              <w:ind w:firstLine="420" w:firstLineChars="200"/>
              <w:textAlignment w:val="auto"/>
              <w:rPr>
                <w:color w:val="auto"/>
                <w:sz w:val="21"/>
                <w:szCs w:val="21"/>
              </w:rPr>
            </w:pPr>
            <w:r>
              <w:rPr>
                <w:color w:val="auto"/>
                <w:sz w:val="21"/>
                <w:szCs w:val="21"/>
              </w:rPr>
              <w:t>式中：q——平均日降雨量，mm；q=年平均降雨量／年平均降雨日数。</w:t>
            </w:r>
            <w:r>
              <w:rPr>
                <w:rFonts w:hint="eastAsia"/>
                <w:color w:val="auto"/>
                <w:sz w:val="21"/>
                <w:szCs w:val="21"/>
                <w:lang w:val="en-US" w:eastAsia="zh-CN"/>
              </w:rPr>
              <w:t>宿迁</w:t>
            </w:r>
            <w:r>
              <w:rPr>
                <w:color w:val="auto"/>
                <w:sz w:val="21"/>
                <w:szCs w:val="21"/>
              </w:rPr>
              <w:t>地区年平均降雨量为</w:t>
            </w:r>
            <w:r>
              <w:rPr>
                <w:rFonts w:hint="eastAsia"/>
                <w:color w:val="auto"/>
                <w:sz w:val="21"/>
                <w:szCs w:val="21"/>
              </w:rPr>
              <w:t>9</w:t>
            </w:r>
            <w:r>
              <w:rPr>
                <w:rFonts w:hint="eastAsia"/>
                <w:color w:val="auto"/>
                <w:sz w:val="21"/>
                <w:szCs w:val="21"/>
                <w:lang w:val="en-US" w:eastAsia="zh-CN"/>
              </w:rPr>
              <w:t>1</w:t>
            </w:r>
            <w:r>
              <w:rPr>
                <w:rFonts w:hint="eastAsia"/>
                <w:color w:val="auto"/>
                <w:sz w:val="21"/>
                <w:szCs w:val="21"/>
              </w:rPr>
              <w:t>8.</w:t>
            </w:r>
            <w:r>
              <w:rPr>
                <w:rFonts w:hint="eastAsia"/>
                <w:color w:val="auto"/>
                <w:sz w:val="21"/>
                <w:szCs w:val="21"/>
                <w:lang w:val="en-US" w:eastAsia="zh-CN"/>
              </w:rPr>
              <w:t>0</w:t>
            </w:r>
            <w:r>
              <w:rPr>
                <w:color w:val="auto"/>
                <w:sz w:val="21"/>
                <w:szCs w:val="21"/>
              </w:rPr>
              <w:t>mm，年平均降雨日数为</w:t>
            </w:r>
            <w:r>
              <w:rPr>
                <w:rFonts w:hint="eastAsia"/>
                <w:color w:val="auto"/>
                <w:sz w:val="21"/>
                <w:szCs w:val="21"/>
                <w:lang w:val="en-US" w:eastAsia="zh-CN"/>
              </w:rPr>
              <w:t>92</w:t>
            </w:r>
            <w:r>
              <w:rPr>
                <w:color w:val="auto"/>
                <w:sz w:val="21"/>
                <w:szCs w:val="21"/>
              </w:rPr>
              <w:t>天，则q=</w:t>
            </w:r>
            <w:r>
              <w:rPr>
                <w:rFonts w:hint="eastAsia"/>
                <w:color w:val="auto"/>
                <w:sz w:val="21"/>
                <w:szCs w:val="21"/>
              </w:rPr>
              <w:t>1</w:t>
            </w:r>
            <w:r>
              <w:rPr>
                <w:rFonts w:hint="eastAsia"/>
                <w:color w:val="auto"/>
                <w:sz w:val="21"/>
                <w:szCs w:val="21"/>
                <w:lang w:val="en-US" w:eastAsia="zh-CN"/>
              </w:rPr>
              <w:t>0.0</w:t>
            </w:r>
            <w:r>
              <w:rPr>
                <w:color w:val="auto"/>
                <w:sz w:val="21"/>
                <w:szCs w:val="21"/>
              </w:rPr>
              <w:t>mm。</w:t>
            </w:r>
          </w:p>
          <w:p w14:paraId="66F6E91F">
            <w:pPr>
              <w:keepNext w:val="0"/>
              <w:keepLines w:val="0"/>
              <w:pageBreakBefore w:val="0"/>
              <w:kinsoku/>
              <w:wordWrap/>
              <w:overflowPunct/>
              <w:topLinePunct w:val="0"/>
              <w:bidi w:val="0"/>
              <w:adjustRightInd/>
              <w:snapToGrid w:val="0"/>
              <w:spacing w:line="360" w:lineRule="auto"/>
              <w:ind w:firstLine="1050" w:firstLineChars="500"/>
              <w:textAlignment w:val="auto"/>
              <w:rPr>
                <w:color w:val="auto"/>
                <w:sz w:val="21"/>
                <w:szCs w:val="21"/>
              </w:rPr>
            </w:pPr>
            <w:r>
              <w:rPr>
                <w:color w:val="auto"/>
                <w:sz w:val="21"/>
                <w:szCs w:val="21"/>
              </w:rPr>
              <w:t>F——必须进入事故废水收集系统的雨水汇水面积，ha。</w:t>
            </w:r>
            <w:r>
              <w:rPr>
                <w:rFonts w:hint="eastAsia"/>
                <w:color w:val="auto"/>
                <w:sz w:val="21"/>
                <w:szCs w:val="21"/>
                <w:highlight w:val="none"/>
                <w:lang w:val="en-US" w:eastAsia="zh-CN"/>
              </w:rPr>
              <w:t>必要收集区域</w:t>
            </w:r>
            <w:r>
              <w:rPr>
                <w:rFonts w:hint="eastAsia"/>
                <w:color w:val="auto"/>
                <w:sz w:val="21"/>
                <w:szCs w:val="21"/>
                <w:highlight w:val="none"/>
              </w:rPr>
              <w:t>露天基底面积</w:t>
            </w:r>
            <w:r>
              <w:rPr>
                <w:rFonts w:hint="eastAsia"/>
                <w:color w:val="auto"/>
                <w:sz w:val="21"/>
                <w:szCs w:val="21"/>
                <w:highlight w:val="none"/>
                <w:lang w:val="en-US" w:eastAsia="zh-CN"/>
              </w:rPr>
              <w:t>0.4</w:t>
            </w:r>
            <w:r>
              <w:rPr>
                <w:rFonts w:hint="eastAsia"/>
                <w:color w:val="auto"/>
                <w:sz w:val="21"/>
                <w:szCs w:val="21"/>
                <w:highlight w:val="none"/>
              </w:rPr>
              <w:t>ha</w:t>
            </w:r>
            <w:r>
              <w:rPr>
                <w:rFonts w:hint="eastAsia"/>
                <w:color w:val="auto"/>
                <w:sz w:val="21"/>
                <w:szCs w:val="21"/>
              </w:rPr>
              <w:t>，</w:t>
            </w:r>
            <w:r>
              <w:rPr>
                <w:color w:val="auto"/>
                <w:sz w:val="21"/>
                <w:szCs w:val="21"/>
              </w:rPr>
              <w:t>则V</w:t>
            </w:r>
            <w:r>
              <w:rPr>
                <w:color w:val="auto"/>
                <w:sz w:val="21"/>
                <w:szCs w:val="21"/>
                <w:vertAlign w:val="subscript"/>
              </w:rPr>
              <w:t>5</w:t>
            </w:r>
            <w:r>
              <w:rPr>
                <w:color w:val="auto"/>
                <w:sz w:val="21"/>
                <w:szCs w:val="21"/>
              </w:rPr>
              <w:t>=</w:t>
            </w:r>
            <w:r>
              <w:rPr>
                <w:rFonts w:hint="eastAsia"/>
                <w:color w:val="auto"/>
                <w:sz w:val="21"/>
                <w:szCs w:val="21"/>
                <w:lang w:val="en-US" w:eastAsia="zh-CN"/>
              </w:rPr>
              <w:t>40</w:t>
            </w:r>
            <w:r>
              <w:rPr>
                <w:color w:val="auto"/>
                <w:sz w:val="21"/>
                <w:szCs w:val="21"/>
              </w:rPr>
              <w:t>m</w:t>
            </w:r>
            <w:r>
              <w:rPr>
                <w:color w:val="auto"/>
                <w:sz w:val="21"/>
                <w:szCs w:val="21"/>
                <w:vertAlign w:val="superscript"/>
              </w:rPr>
              <w:t>3</w:t>
            </w:r>
            <w:r>
              <w:rPr>
                <w:color w:val="auto"/>
                <w:sz w:val="21"/>
                <w:szCs w:val="21"/>
              </w:rPr>
              <w:t>。</w:t>
            </w:r>
          </w:p>
          <w:p w14:paraId="107F61B4">
            <w:pPr>
              <w:keepNext w:val="0"/>
              <w:keepLines w:val="0"/>
              <w:pageBreakBefore w:val="0"/>
              <w:kinsoku/>
              <w:wordWrap/>
              <w:overflowPunct/>
              <w:topLinePunct w:val="0"/>
              <w:bidi w:val="0"/>
              <w:adjustRightInd/>
              <w:snapToGrid w:val="0"/>
              <w:spacing w:line="360" w:lineRule="auto"/>
              <w:ind w:firstLine="420" w:firstLineChars="200"/>
              <w:textAlignment w:val="auto"/>
              <w:rPr>
                <w:color w:val="auto"/>
                <w:sz w:val="21"/>
                <w:szCs w:val="21"/>
              </w:rPr>
            </w:pPr>
            <w:r>
              <w:rPr>
                <w:color w:val="auto"/>
                <w:sz w:val="21"/>
                <w:szCs w:val="21"/>
              </w:rPr>
              <w:t>其中V</w:t>
            </w:r>
            <w:r>
              <w:rPr>
                <w:color w:val="auto"/>
                <w:sz w:val="21"/>
                <w:szCs w:val="21"/>
                <w:vertAlign w:val="subscript"/>
              </w:rPr>
              <w:t>1</w:t>
            </w:r>
            <w:r>
              <w:rPr>
                <w:color w:val="auto"/>
                <w:sz w:val="21"/>
                <w:szCs w:val="21"/>
              </w:rPr>
              <w:t>=</w:t>
            </w:r>
            <w:r>
              <w:rPr>
                <w:rFonts w:hint="eastAsia"/>
                <w:color w:val="auto"/>
                <w:sz w:val="21"/>
                <w:szCs w:val="21"/>
                <w:lang w:val="en-US" w:eastAsia="zh-CN"/>
              </w:rPr>
              <w:t>0.8</w:t>
            </w: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lang w:val="en-US" w:eastAsia="zh-CN"/>
              </w:rPr>
              <w:t>皮膜液最大储存量1t，相对密度1.25g/cm</w:t>
            </w:r>
            <w:r>
              <w:rPr>
                <w:rFonts w:hint="eastAsia"/>
                <w:color w:val="auto"/>
                <w:sz w:val="21"/>
                <w:szCs w:val="21"/>
                <w:vertAlign w:val="superscript"/>
                <w:lang w:val="en-US" w:eastAsia="zh-CN"/>
              </w:rPr>
              <w:t>3</w:t>
            </w:r>
            <w:r>
              <w:rPr>
                <w:color w:val="auto"/>
                <w:sz w:val="21"/>
                <w:szCs w:val="21"/>
              </w:rPr>
              <w:t>）；消防用水量按同一时间内火灾次数为一次计，根据《建筑设计防火规范》，室内消防水量</w:t>
            </w:r>
            <w:r>
              <w:rPr>
                <w:rFonts w:hint="eastAsia"/>
                <w:color w:val="auto"/>
                <w:sz w:val="21"/>
                <w:szCs w:val="21"/>
                <w:lang w:val="en-US" w:eastAsia="zh-CN"/>
              </w:rPr>
              <w:t>20（</w:t>
            </w:r>
            <w:r>
              <w:rPr>
                <w:color w:val="auto"/>
                <w:sz w:val="21"/>
                <w:szCs w:val="21"/>
              </w:rPr>
              <w:t>10</w:t>
            </w:r>
            <w:r>
              <w:rPr>
                <w:rFonts w:hint="eastAsia"/>
                <w:color w:val="auto"/>
                <w:sz w:val="21"/>
                <w:szCs w:val="21"/>
                <w:lang w:val="en-US" w:eastAsia="zh-CN"/>
              </w:rPr>
              <w:t>*2）</w:t>
            </w:r>
            <w:r>
              <w:rPr>
                <w:color w:val="auto"/>
                <w:sz w:val="21"/>
                <w:szCs w:val="21"/>
              </w:rPr>
              <w:t>L/s，火灾延续</w:t>
            </w:r>
            <w:r>
              <w:rPr>
                <w:rFonts w:hint="eastAsia"/>
                <w:color w:val="auto"/>
                <w:sz w:val="21"/>
                <w:szCs w:val="21"/>
                <w:lang w:val="en-US" w:eastAsia="zh-CN"/>
              </w:rPr>
              <w:t>2</w:t>
            </w:r>
            <w:r>
              <w:rPr>
                <w:color w:val="auto"/>
                <w:sz w:val="21"/>
                <w:szCs w:val="21"/>
              </w:rPr>
              <w:t>小时，一次消防水量为</w:t>
            </w:r>
            <w:r>
              <w:rPr>
                <w:rFonts w:hint="eastAsia"/>
                <w:color w:val="auto"/>
                <w:sz w:val="21"/>
                <w:szCs w:val="21"/>
                <w:lang w:val="en-US" w:eastAsia="zh-CN"/>
              </w:rPr>
              <w:t>144</w:t>
            </w:r>
            <w:r>
              <w:rPr>
                <w:color w:val="auto"/>
                <w:sz w:val="21"/>
                <w:szCs w:val="21"/>
              </w:rPr>
              <w:t>m</w:t>
            </w:r>
            <w:r>
              <w:rPr>
                <w:color w:val="auto"/>
                <w:sz w:val="21"/>
                <w:szCs w:val="21"/>
                <w:vertAlign w:val="superscript"/>
              </w:rPr>
              <w:t>3</w:t>
            </w:r>
            <w:r>
              <w:rPr>
                <w:color w:val="auto"/>
                <w:sz w:val="21"/>
                <w:szCs w:val="21"/>
              </w:rPr>
              <w:t>，则：V</w:t>
            </w:r>
            <w:r>
              <w:rPr>
                <w:color w:val="auto"/>
                <w:sz w:val="21"/>
                <w:szCs w:val="21"/>
                <w:vertAlign w:val="subscript"/>
              </w:rPr>
              <w:t>2</w:t>
            </w:r>
            <w:r>
              <w:rPr>
                <w:color w:val="auto"/>
                <w:sz w:val="21"/>
                <w:szCs w:val="21"/>
              </w:rPr>
              <w:t>=</w:t>
            </w:r>
            <w:r>
              <w:rPr>
                <w:rFonts w:hint="eastAsia"/>
                <w:color w:val="auto"/>
                <w:sz w:val="21"/>
                <w:szCs w:val="21"/>
                <w:lang w:val="en-US" w:eastAsia="zh-CN"/>
              </w:rPr>
              <w:t>144</w:t>
            </w:r>
            <w:r>
              <w:rPr>
                <w:color w:val="auto"/>
                <w:sz w:val="21"/>
                <w:szCs w:val="21"/>
              </w:rPr>
              <w:t>m</w:t>
            </w:r>
            <w:r>
              <w:rPr>
                <w:color w:val="auto"/>
                <w:sz w:val="21"/>
                <w:szCs w:val="21"/>
                <w:vertAlign w:val="superscript"/>
              </w:rPr>
              <w:t>3</w:t>
            </w:r>
            <w:r>
              <w:rPr>
                <w:color w:val="auto"/>
                <w:sz w:val="21"/>
                <w:szCs w:val="21"/>
              </w:rPr>
              <w:t>；V</w:t>
            </w:r>
            <w:r>
              <w:rPr>
                <w:color w:val="auto"/>
                <w:sz w:val="21"/>
                <w:szCs w:val="21"/>
                <w:vertAlign w:val="subscript"/>
              </w:rPr>
              <w:t>3</w:t>
            </w:r>
            <w:r>
              <w:rPr>
                <w:rFonts w:hint="eastAsia"/>
                <w:color w:val="auto"/>
                <w:sz w:val="21"/>
                <w:szCs w:val="21"/>
              </w:rPr>
              <w:t>=</w:t>
            </w:r>
            <w:r>
              <w:rPr>
                <w:color w:val="auto"/>
                <w:sz w:val="21"/>
                <w:szCs w:val="21"/>
              </w:rPr>
              <w:t>0m</w:t>
            </w:r>
            <w:r>
              <w:rPr>
                <w:color w:val="auto"/>
                <w:sz w:val="21"/>
                <w:szCs w:val="21"/>
                <w:vertAlign w:val="superscript"/>
              </w:rPr>
              <w:t>3</w:t>
            </w:r>
            <w:r>
              <w:rPr>
                <w:rFonts w:hint="eastAsia"/>
                <w:color w:val="auto"/>
                <w:sz w:val="21"/>
                <w:szCs w:val="21"/>
              </w:rPr>
              <w:t>；</w:t>
            </w:r>
            <w:r>
              <w:rPr>
                <w:color w:val="auto"/>
                <w:sz w:val="21"/>
                <w:szCs w:val="21"/>
              </w:rPr>
              <w:t>V</w:t>
            </w:r>
            <w:r>
              <w:rPr>
                <w:color w:val="auto"/>
                <w:sz w:val="21"/>
                <w:szCs w:val="21"/>
                <w:vertAlign w:val="subscript"/>
              </w:rPr>
              <w:t>4</w:t>
            </w:r>
            <w:r>
              <w:rPr>
                <w:rFonts w:hint="eastAsia"/>
                <w:color w:val="auto"/>
                <w:sz w:val="21"/>
                <w:szCs w:val="21"/>
              </w:rPr>
              <w:t>=0</w:t>
            </w:r>
            <w:r>
              <w:rPr>
                <w:color w:val="auto"/>
                <w:sz w:val="21"/>
                <w:szCs w:val="21"/>
              </w:rPr>
              <w:t>m</w:t>
            </w:r>
            <w:r>
              <w:rPr>
                <w:color w:val="auto"/>
                <w:sz w:val="21"/>
                <w:szCs w:val="21"/>
                <w:vertAlign w:val="superscript"/>
              </w:rPr>
              <w:t>3</w:t>
            </w:r>
            <w:r>
              <w:rPr>
                <w:rFonts w:hint="eastAsia"/>
                <w:color w:val="auto"/>
                <w:sz w:val="21"/>
                <w:szCs w:val="21"/>
                <w:lang w:eastAsia="zh-CN"/>
              </w:rPr>
              <w:t>，</w:t>
            </w:r>
            <w:r>
              <w:rPr>
                <w:rFonts w:hint="eastAsia" w:ascii="Times New Roman" w:hAnsi="Times New Roman" w:eastAsia="宋体" w:cs="宋体"/>
                <w:kern w:val="0"/>
                <w:lang w:val="en-US" w:eastAsia="zh-CN" w:bidi="ar"/>
              </w:rPr>
              <w:t>本项目取30分钟的废水量为从发现事故到通知排水时间内必须进收集系统的废水量，</w:t>
            </w:r>
            <w:r>
              <w:rPr>
                <w:rFonts w:hint="eastAsia" w:eastAsia="宋体" w:cs="宋体"/>
                <w:kern w:val="0"/>
                <w:lang w:val="en-US" w:eastAsia="zh-CN" w:bidi="ar"/>
              </w:rPr>
              <w:t>902</w:t>
            </w:r>
            <w:r>
              <w:rPr>
                <w:rFonts w:hint="eastAsia" w:ascii="Times New Roman" w:hAnsi="Times New Roman" w:eastAsia="宋体" w:cs="宋体"/>
                <w:kern w:val="0"/>
                <w:lang w:val="en-US" w:eastAsia="zh-CN" w:bidi="ar"/>
              </w:rPr>
              <w:t>*30/（</w:t>
            </w:r>
            <w:r>
              <w:rPr>
                <w:rFonts w:hint="eastAsia" w:eastAsia="宋体" w:cs="宋体"/>
                <w:kern w:val="0"/>
                <w:lang w:val="en-US" w:eastAsia="zh-CN" w:bidi="ar"/>
              </w:rPr>
              <w:t>3</w:t>
            </w:r>
            <w:r>
              <w:rPr>
                <w:rFonts w:hint="eastAsia" w:ascii="Times New Roman" w:hAnsi="Times New Roman" w:eastAsia="宋体" w:cs="宋体"/>
                <w:kern w:val="0"/>
                <w:lang w:val="en-US" w:eastAsia="zh-CN" w:bidi="ar"/>
              </w:rPr>
              <w:t>000*60）=</w:t>
            </w:r>
            <w:r>
              <w:rPr>
                <w:rFonts w:hint="eastAsia" w:eastAsia="宋体" w:cs="宋体"/>
                <w:kern w:val="0"/>
                <w:lang w:val="en-US" w:eastAsia="zh-CN" w:bidi="ar"/>
              </w:rPr>
              <w:t>0.15</w:t>
            </w:r>
            <w:r>
              <w:rPr>
                <w:rFonts w:hint="eastAsia" w:ascii="Times New Roman" w:hAnsi="Times New Roman" w:eastAsia="宋体" w:cs="宋体"/>
                <w:kern w:val="0"/>
                <w:lang w:val="en-US" w:eastAsia="zh-CN" w:bidi="ar"/>
              </w:rPr>
              <w:t>m</w:t>
            </w:r>
            <w:r>
              <w:rPr>
                <w:rFonts w:hint="eastAsia" w:ascii="Times New Roman" w:hAnsi="Times New Roman" w:eastAsia="宋体" w:cs="宋体"/>
                <w:kern w:val="0"/>
                <w:vertAlign w:val="superscript"/>
                <w:lang w:val="en-US" w:eastAsia="zh-CN" w:bidi="ar"/>
              </w:rPr>
              <w:t>3</w:t>
            </w:r>
            <w:r>
              <w:rPr>
                <w:rFonts w:hint="eastAsia" w:eastAsia="宋体" w:cs="宋体"/>
                <w:kern w:val="0"/>
                <w:lang w:eastAsia="zh-CN" w:bidi="ar"/>
              </w:rPr>
              <w:t>；</w:t>
            </w:r>
            <w:r>
              <w:rPr>
                <w:color w:val="auto"/>
                <w:sz w:val="21"/>
                <w:szCs w:val="21"/>
              </w:rPr>
              <w:t>V</w:t>
            </w:r>
            <w:r>
              <w:rPr>
                <w:color w:val="auto"/>
                <w:sz w:val="21"/>
                <w:szCs w:val="21"/>
                <w:vertAlign w:val="subscript"/>
              </w:rPr>
              <w:t>5</w:t>
            </w:r>
            <w:r>
              <w:rPr>
                <w:color w:val="auto"/>
                <w:sz w:val="21"/>
                <w:szCs w:val="21"/>
              </w:rPr>
              <w:t>=</w:t>
            </w:r>
            <w:r>
              <w:rPr>
                <w:rFonts w:hint="eastAsia"/>
                <w:color w:val="auto"/>
                <w:sz w:val="21"/>
                <w:szCs w:val="21"/>
                <w:lang w:val="en-US" w:eastAsia="zh-CN"/>
              </w:rPr>
              <w:t>40</w:t>
            </w:r>
            <w:r>
              <w:rPr>
                <w:color w:val="auto"/>
                <w:sz w:val="21"/>
                <w:szCs w:val="21"/>
              </w:rPr>
              <w:t>m</w:t>
            </w:r>
            <w:r>
              <w:rPr>
                <w:color w:val="auto"/>
                <w:sz w:val="21"/>
                <w:szCs w:val="21"/>
                <w:vertAlign w:val="superscript"/>
              </w:rPr>
              <w:t>3</w:t>
            </w:r>
            <w:r>
              <w:rPr>
                <w:color w:val="auto"/>
                <w:sz w:val="21"/>
                <w:szCs w:val="21"/>
              </w:rPr>
              <w:t>。</w:t>
            </w:r>
          </w:p>
          <w:p w14:paraId="7A129654">
            <w:pPr>
              <w:pStyle w:val="10"/>
              <w:numPr>
                <w:ilvl w:val="0"/>
                <w:numId w:val="0"/>
              </w:numPr>
              <w:spacing w:before="0" w:after="0" w:line="360" w:lineRule="auto"/>
              <w:ind w:right="0" w:rightChars="0" w:firstLine="420" w:firstLineChars="200"/>
              <w:rPr>
                <w:rFonts w:ascii="Times New Roman" w:hAnsi="Times New Roman" w:eastAsia="宋体" w:cs="Times New Roman"/>
                <w:color w:val="auto"/>
                <w:kern w:val="0"/>
                <w:sz w:val="21"/>
                <w:szCs w:val="22"/>
                <w:lang w:val="en-US" w:eastAsia="zh-CN" w:bidi="ar-SA"/>
              </w:rPr>
            </w:pPr>
            <w:r>
              <w:rPr>
                <w:color w:val="auto"/>
                <w:sz w:val="21"/>
                <w:szCs w:val="21"/>
              </w:rPr>
              <w:t>故设计</w:t>
            </w:r>
            <w:r>
              <w:rPr>
                <w:rFonts w:hint="eastAsia"/>
                <w:color w:val="auto"/>
                <w:sz w:val="21"/>
                <w:szCs w:val="21"/>
              </w:rPr>
              <w:t>应急</w:t>
            </w:r>
            <w:r>
              <w:rPr>
                <w:color w:val="auto"/>
                <w:sz w:val="21"/>
                <w:szCs w:val="21"/>
              </w:rPr>
              <w:t>池有效容积</w:t>
            </w:r>
            <w:r>
              <w:rPr>
                <w:rFonts w:hint="eastAsia"/>
                <w:color w:val="auto"/>
                <w:sz w:val="21"/>
                <w:szCs w:val="21"/>
              </w:rPr>
              <w:t>至少</w:t>
            </w:r>
            <w:r>
              <w:rPr>
                <w:color w:val="auto"/>
                <w:sz w:val="21"/>
                <w:szCs w:val="21"/>
              </w:rPr>
              <w:t>为</w:t>
            </w:r>
            <w:r>
              <w:rPr>
                <w:rFonts w:hint="eastAsia"/>
                <w:color w:val="auto"/>
                <w:sz w:val="21"/>
                <w:szCs w:val="21"/>
                <w:lang w:val="en-US" w:eastAsia="zh-CN"/>
              </w:rPr>
              <w:t>184.95</w:t>
            </w:r>
            <w:r>
              <w:rPr>
                <w:color w:val="auto"/>
                <w:sz w:val="21"/>
                <w:szCs w:val="21"/>
              </w:rPr>
              <w:t>m</w:t>
            </w:r>
            <w:r>
              <w:rPr>
                <w:color w:val="auto"/>
                <w:sz w:val="21"/>
                <w:szCs w:val="21"/>
                <w:vertAlign w:val="superscript"/>
              </w:rPr>
              <w:t>3</w:t>
            </w:r>
            <w:r>
              <w:rPr>
                <w:color w:val="auto"/>
                <w:sz w:val="21"/>
                <w:szCs w:val="21"/>
              </w:rPr>
              <w:t>，本</w:t>
            </w:r>
            <w:r>
              <w:rPr>
                <w:rFonts w:hint="eastAsia"/>
                <w:color w:val="auto"/>
                <w:sz w:val="21"/>
                <w:szCs w:val="21"/>
              </w:rPr>
              <w:t>项目拟建设</w:t>
            </w:r>
            <w:r>
              <w:rPr>
                <w:rFonts w:hint="eastAsia"/>
                <w:color w:val="auto"/>
                <w:sz w:val="21"/>
                <w:szCs w:val="21"/>
                <w:lang w:val="en-US" w:eastAsia="zh-CN"/>
              </w:rPr>
              <w:t>2</w:t>
            </w:r>
            <w:r>
              <w:rPr>
                <w:rFonts w:hint="eastAsia"/>
                <w:color w:val="auto"/>
                <w:sz w:val="21"/>
                <w:szCs w:val="21"/>
              </w:rPr>
              <w:t>00</w:t>
            </w:r>
            <w:r>
              <w:rPr>
                <w:color w:val="auto"/>
                <w:sz w:val="21"/>
                <w:szCs w:val="21"/>
              </w:rPr>
              <w:t>m</w:t>
            </w:r>
            <w:r>
              <w:rPr>
                <w:color w:val="auto"/>
                <w:sz w:val="21"/>
                <w:szCs w:val="21"/>
                <w:vertAlign w:val="superscript"/>
              </w:rPr>
              <w:t>3</w:t>
            </w:r>
            <w:r>
              <w:rPr>
                <w:rFonts w:hint="eastAsia"/>
                <w:color w:val="auto"/>
                <w:sz w:val="21"/>
                <w:szCs w:val="21"/>
              </w:rPr>
              <w:t>的</w:t>
            </w:r>
            <w:r>
              <w:rPr>
                <w:color w:val="auto"/>
                <w:sz w:val="21"/>
                <w:szCs w:val="21"/>
              </w:rPr>
              <w:t>事故池</w:t>
            </w:r>
            <w:r>
              <w:rPr>
                <w:rFonts w:hint="eastAsia"/>
                <w:color w:val="auto"/>
                <w:sz w:val="21"/>
                <w:szCs w:val="21"/>
              </w:rPr>
              <w:t>，可</w:t>
            </w:r>
            <w:r>
              <w:rPr>
                <w:color w:val="auto"/>
                <w:sz w:val="21"/>
                <w:szCs w:val="21"/>
              </w:rPr>
              <w:t>满足事故排水储存的要求。</w:t>
            </w:r>
          </w:p>
          <w:p w14:paraId="567E3414">
            <w:pPr>
              <w:pStyle w:val="10"/>
              <w:numPr>
                <w:ilvl w:val="0"/>
                <w:numId w:val="0"/>
              </w:numPr>
              <w:spacing w:before="0" w:after="0" w:line="360" w:lineRule="auto"/>
              <w:ind w:right="0" w:rightChars="0" w:firstLine="420" w:firstLineChars="200"/>
              <w:rPr>
                <w:color w:val="auto"/>
                <w:sz w:val="21"/>
                <w:szCs w:val="22"/>
                <w:highlight w:val="none"/>
              </w:rPr>
            </w:pPr>
            <w:r>
              <w:rPr>
                <w:rFonts w:hint="eastAsia" w:cs="Times New Roman"/>
                <w:color w:val="auto"/>
                <w:kern w:val="0"/>
                <w:sz w:val="21"/>
                <w:szCs w:val="22"/>
                <w:lang w:val="en-US" w:eastAsia="zh-CN" w:bidi="ar-SA"/>
              </w:rPr>
              <w:t>2</w:t>
            </w:r>
            <w:r>
              <w:rPr>
                <w:rFonts w:ascii="Times New Roman" w:hAnsi="Times New Roman" w:eastAsia="宋体" w:cs="Times New Roman"/>
                <w:color w:val="auto"/>
                <w:kern w:val="0"/>
                <w:sz w:val="21"/>
                <w:szCs w:val="22"/>
                <w:lang w:val="en-US" w:eastAsia="zh-CN" w:bidi="ar-SA"/>
              </w:rPr>
              <w:t>）</w:t>
            </w:r>
            <w:r>
              <w:rPr>
                <w:color w:val="auto"/>
                <w:sz w:val="21"/>
                <w:szCs w:val="22"/>
                <w:highlight w:val="none"/>
              </w:rPr>
              <w:t>火灾风险防范措施</w:t>
            </w:r>
          </w:p>
          <w:p w14:paraId="7EBD02FB">
            <w:pPr>
              <w:pStyle w:val="10"/>
              <w:spacing w:before="0" w:after="0" w:line="360" w:lineRule="auto"/>
              <w:ind w:right="0" w:firstLine="420" w:firstLineChars="200"/>
              <w:rPr>
                <w:color w:val="auto"/>
                <w:sz w:val="21"/>
                <w:szCs w:val="22"/>
                <w:highlight w:val="none"/>
              </w:rPr>
            </w:pPr>
            <w:r>
              <w:rPr>
                <w:color w:val="auto"/>
                <w:sz w:val="21"/>
                <w:szCs w:val="22"/>
                <w:highlight w:val="none"/>
              </w:rPr>
              <w:t>①生产车间应按规范配置灭火器材和消防装备。</w:t>
            </w:r>
          </w:p>
          <w:p w14:paraId="3CD2D3C1">
            <w:pPr>
              <w:pStyle w:val="10"/>
              <w:spacing w:before="0" w:after="0" w:line="360" w:lineRule="auto"/>
              <w:ind w:right="0" w:firstLine="420" w:firstLineChars="200"/>
              <w:rPr>
                <w:color w:val="auto"/>
                <w:sz w:val="21"/>
                <w:szCs w:val="22"/>
                <w:highlight w:val="none"/>
              </w:rPr>
            </w:pPr>
            <w:r>
              <w:rPr>
                <w:color w:val="auto"/>
                <w:sz w:val="21"/>
                <w:szCs w:val="22"/>
                <w:highlight w:val="none"/>
              </w:rPr>
              <w:t>②在原辅材料区、生产车间和危废暂存区的明显位置张贴禁用明火的告示。</w:t>
            </w:r>
          </w:p>
          <w:p w14:paraId="1B4BD38E">
            <w:pPr>
              <w:pStyle w:val="10"/>
              <w:spacing w:before="0" w:after="0" w:line="360" w:lineRule="auto"/>
              <w:ind w:right="0" w:firstLine="420" w:firstLineChars="200"/>
              <w:rPr>
                <w:color w:val="auto"/>
                <w:sz w:val="21"/>
                <w:szCs w:val="22"/>
                <w:highlight w:val="none"/>
              </w:rPr>
            </w:pPr>
            <w:r>
              <w:rPr>
                <w:color w:val="auto"/>
                <w:sz w:val="21"/>
                <w:szCs w:val="22"/>
                <w:highlight w:val="none"/>
              </w:rPr>
              <w:t>③制定巡查制度，对有泄漏现象和迹象的部位及时采取处理措施。</w:t>
            </w:r>
          </w:p>
          <w:p w14:paraId="1E6F13CF">
            <w:pPr>
              <w:pStyle w:val="10"/>
              <w:spacing w:before="0" w:after="0" w:line="360" w:lineRule="auto"/>
              <w:ind w:right="0" w:firstLine="420" w:firstLineChars="200"/>
              <w:rPr>
                <w:color w:val="auto"/>
                <w:sz w:val="21"/>
                <w:szCs w:val="22"/>
                <w:highlight w:val="none"/>
              </w:rPr>
            </w:pPr>
            <w:r>
              <w:rPr>
                <w:color w:val="auto"/>
                <w:sz w:val="21"/>
                <w:szCs w:val="22"/>
                <w:highlight w:val="none"/>
              </w:rPr>
              <w:t>④工作人员要熟练掌握操作技术和防火安全管理规定。</w:t>
            </w:r>
          </w:p>
          <w:p w14:paraId="0C6298D2">
            <w:pPr>
              <w:pStyle w:val="10"/>
              <w:numPr>
                <w:ilvl w:val="0"/>
                <w:numId w:val="0"/>
              </w:numPr>
              <w:spacing w:before="0" w:after="0" w:line="360" w:lineRule="auto"/>
              <w:ind w:right="0" w:rightChars="0" w:firstLine="420" w:firstLineChars="200"/>
              <w:rPr>
                <w:color w:val="auto"/>
                <w:sz w:val="21"/>
                <w:szCs w:val="22"/>
                <w:highlight w:val="none"/>
              </w:rPr>
            </w:pPr>
            <w:r>
              <w:rPr>
                <w:rFonts w:hint="eastAsia" w:cs="Times New Roman"/>
                <w:color w:val="auto"/>
                <w:kern w:val="0"/>
                <w:sz w:val="21"/>
                <w:szCs w:val="22"/>
                <w:lang w:val="en-US" w:eastAsia="zh-CN" w:bidi="ar-SA"/>
              </w:rPr>
              <w:t>3</w:t>
            </w:r>
            <w:r>
              <w:rPr>
                <w:rFonts w:ascii="Times New Roman" w:hAnsi="Times New Roman" w:eastAsia="宋体" w:cs="Times New Roman"/>
                <w:color w:val="auto"/>
                <w:kern w:val="0"/>
                <w:sz w:val="21"/>
                <w:szCs w:val="22"/>
                <w:lang w:val="en-US" w:eastAsia="zh-CN" w:bidi="ar-SA"/>
              </w:rPr>
              <w:t>）</w:t>
            </w:r>
            <w:r>
              <w:rPr>
                <w:color w:val="auto"/>
                <w:sz w:val="21"/>
                <w:szCs w:val="22"/>
                <w:highlight w:val="none"/>
              </w:rPr>
              <w:t>危险废物泄漏防范措施</w:t>
            </w:r>
          </w:p>
          <w:p w14:paraId="242BED9A">
            <w:pPr>
              <w:pStyle w:val="10"/>
              <w:spacing w:before="0" w:after="0" w:line="360" w:lineRule="auto"/>
              <w:ind w:right="0" w:firstLine="420" w:firstLineChars="200"/>
              <w:rPr>
                <w:color w:val="auto"/>
                <w:sz w:val="21"/>
                <w:szCs w:val="22"/>
                <w:highlight w:val="none"/>
              </w:rPr>
            </w:pPr>
            <w:r>
              <w:rPr>
                <w:color w:val="auto"/>
                <w:sz w:val="21"/>
                <w:szCs w:val="22"/>
                <w:highlight w:val="none"/>
              </w:rPr>
              <w:t>①应按照相关要求规范对原辅材料的使用、贮存及管理过程，加强对员工的教育培训。</w:t>
            </w:r>
          </w:p>
          <w:p w14:paraId="3B597773">
            <w:pPr>
              <w:pStyle w:val="10"/>
              <w:spacing w:before="0" w:after="0" w:line="360" w:lineRule="auto"/>
              <w:ind w:right="0" w:firstLine="420" w:firstLineChars="200"/>
              <w:rPr>
                <w:color w:val="auto"/>
                <w:sz w:val="21"/>
                <w:szCs w:val="22"/>
                <w:highlight w:val="none"/>
              </w:rPr>
            </w:pPr>
            <w:r>
              <w:rPr>
                <w:color w:val="auto"/>
                <w:sz w:val="21"/>
                <w:szCs w:val="22"/>
                <w:highlight w:val="none"/>
              </w:rPr>
              <w:t>②</w:t>
            </w:r>
            <w:r>
              <w:rPr>
                <w:color w:val="auto"/>
                <w:sz w:val="21"/>
                <w:szCs w:val="24"/>
                <w:highlight w:val="none"/>
              </w:rPr>
              <w:t>原料区、生产车间、</w:t>
            </w:r>
            <w:r>
              <w:rPr>
                <w:color w:val="auto"/>
                <w:sz w:val="21"/>
                <w:szCs w:val="22"/>
                <w:highlight w:val="none"/>
              </w:rPr>
              <w:t>危废暂存区</w:t>
            </w:r>
            <w:r>
              <w:rPr>
                <w:rFonts w:hint="eastAsia"/>
                <w:color w:val="auto"/>
                <w:sz w:val="21"/>
                <w:szCs w:val="22"/>
                <w:highlight w:val="none"/>
                <w:lang w:eastAsia="zh-CN"/>
              </w:rPr>
              <w:t>、</w:t>
            </w:r>
            <w:r>
              <w:rPr>
                <w:rFonts w:hint="eastAsia"/>
                <w:color w:val="auto"/>
                <w:sz w:val="21"/>
                <w:szCs w:val="24"/>
                <w:highlight w:val="none"/>
                <w:lang w:val="en-US" w:eastAsia="zh-CN"/>
              </w:rPr>
              <w:t>废水处理设施</w:t>
            </w:r>
            <w:r>
              <w:rPr>
                <w:color w:val="auto"/>
                <w:sz w:val="21"/>
                <w:szCs w:val="22"/>
                <w:highlight w:val="none"/>
              </w:rPr>
              <w:t>重点防渗区采用等效黏土防渗层Mb≥6.0m，K≤1×10</w:t>
            </w:r>
            <w:r>
              <w:rPr>
                <w:color w:val="auto"/>
                <w:sz w:val="21"/>
                <w:szCs w:val="22"/>
                <w:highlight w:val="none"/>
                <w:vertAlign w:val="superscript"/>
              </w:rPr>
              <w:t>-7</w:t>
            </w:r>
            <w:r>
              <w:rPr>
                <w:color w:val="auto"/>
                <w:sz w:val="21"/>
                <w:szCs w:val="22"/>
                <w:highlight w:val="none"/>
              </w:rPr>
              <w:t>cm/s；或参照GB18598执行；</w:t>
            </w:r>
            <w:r>
              <w:rPr>
                <w:rFonts w:hint="eastAsia"/>
                <w:color w:val="auto"/>
                <w:sz w:val="21"/>
                <w:szCs w:val="22"/>
                <w:highlight w:val="none"/>
                <w:lang w:val="en-US" w:eastAsia="zh-CN"/>
              </w:rPr>
              <w:t>成品区、</w:t>
            </w:r>
            <w:r>
              <w:rPr>
                <w:color w:val="auto"/>
                <w:sz w:val="21"/>
                <w:szCs w:val="24"/>
                <w:highlight w:val="none"/>
              </w:rPr>
              <w:t>废气处理设施区域</w:t>
            </w:r>
            <w:r>
              <w:rPr>
                <w:rFonts w:hint="eastAsia"/>
                <w:color w:val="auto"/>
                <w:sz w:val="21"/>
                <w:szCs w:val="24"/>
                <w:highlight w:val="none"/>
                <w:lang w:eastAsia="zh-CN"/>
              </w:rPr>
              <w:t>、</w:t>
            </w:r>
            <w:r>
              <w:rPr>
                <w:color w:val="auto"/>
                <w:sz w:val="21"/>
                <w:szCs w:val="22"/>
                <w:highlight w:val="none"/>
              </w:rPr>
              <w:t>一般防渗区采用等效黏土防渗层Mb≥1.5m，渗透系数≤1.0×10</w:t>
            </w:r>
            <w:r>
              <w:rPr>
                <w:color w:val="auto"/>
                <w:sz w:val="21"/>
                <w:szCs w:val="22"/>
                <w:highlight w:val="none"/>
                <w:vertAlign w:val="superscript"/>
              </w:rPr>
              <w:t>-7</w:t>
            </w:r>
            <w:r>
              <w:rPr>
                <w:color w:val="auto"/>
                <w:sz w:val="21"/>
                <w:szCs w:val="22"/>
                <w:highlight w:val="none"/>
              </w:rPr>
              <w:t>cm/s；或参照GB16889执行；办公区简单防渗区采取地面一般硬底化。</w:t>
            </w:r>
          </w:p>
          <w:p w14:paraId="46DBE3AC">
            <w:pPr>
              <w:pStyle w:val="10"/>
              <w:spacing w:before="0" w:after="0" w:line="360" w:lineRule="auto"/>
              <w:ind w:right="0" w:firstLine="420" w:firstLineChars="200"/>
              <w:rPr>
                <w:color w:val="auto"/>
                <w:sz w:val="21"/>
                <w:szCs w:val="22"/>
                <w:highlight w:val="none"/>
              </w:rPr>
            </w:pPr>
            <w:r>
              <w:rPr>
                <w:color w:val="auto"/>
                <w:sz w:val="21"/>
                <w:szCs w:val="22"/>
                <w:highlight w:val="none"/>
              </w:rPr>
              <w:t>③储存辅助材料的桶上应注明物质的名称、危险特性、安全使用说明以及事故应对措施等内容；</w:t>
            </w:r>
          </w:p>
          <w:p w14:paraId="0A58B0E1">
            <w:pPr>
              <w:pStyle w:val="10"/>
              <w:spacing w:before="0" w:after="0" w:line="360" w:lineRule="auto"/>
              <w:ind w:right="0" w:firstLine="420" w:firstLineChars="200"/>
              <w:rPr>
                <w:color w:val="auto"/>
                <w:sz w:val="21"/>
                <w:szCs w:val="22"/>
                <w:highlight w:val="none"/>
              </w:rPr>
            </w:pPr>
            <w:r>
              <w:rPr>
                <w:color w:val="auto"/>
                <w:sz w:val="21"/>
                <w:szCs w:val="22"/>
                <w:highlight w:val="none"/>
              </w:rPr>
              <w:t>④仓库应安排专人管理，做好入库记录，并定期检查材料存储的安全状态，定期检查其包装有无破损，以防止泄漏。</w:t>
            </w:r>
          </w:p>
          <w:p w14:paraId="7897A1BB">
            <w:pPr>
              <w:spacing w:line="360" w:lineRule="auto"/>
              <w:ind w:firstLine="420" w:firstLineChars="200"/>
              <w:rPr>
                <w:rFonts w:hint="eastAsia"/>
                <w:color w:val="auto"/>
                <w:highlight w:val="none"/>
                <w:lang w:val="en-US" w:eastAsia="zh-CN"/>
              </w:rPr>
            </w:pPr>
            <w:r>
              <w:rPr>
                <w:rFonts w:hint="eastAsia"/>
                <w:color w:val="auto"/>
                <w:highlight w:val="none"/>
                <w:lang w:val="en-US" w:eastAsia="zh-CN"/>
              </w:rPr>
              <w:t>⑤加强废气、废水处理设施监管，定期进行环境安全隐患排查。若废气、废水处理设施发生故障后，需立即停车停产，杜绝事故废气、废水排放。</w:t>
            </w:r>
          </w:p>
          <w:p w14:paraId="4F348CB2">
            <w:pPr>
              <w:spacing w:line="360" w:lineRule="auto"/>
              <w:ind w:firstLine="420" w:firstLineChars="200"/>
              <w:rPr>
                <w:color w:val="auto"/>
                <w:highlight w:val="none"/>
              </w:rPr>
            </w:pPr>
            <w:r>
              <w:rPr>
                <w:rFonts w:hint="eastAsia"/>
                <w:color w:val="auto"/>
                <w:highlight w:val="none"/>
                <w:lang w:val="en-US" w:eastAsia="zh-CN"/>
              </w:rPr>
              <w:t>⑥设置专职安环人员，并注重引鉴同类生产工艺中操作经验，形成有效的管理制度。加强管理，提高操作人员业务素质。</w:t>
            </w:r>
          </w:p>
          <w:p w14:paraId="0887A909">
            <w:pPr>
              <w:pStyle w:val="25"/>
              <w:keepNext w:val="0"/>
              <w:keepLines w:val="0"/>
              <w:widowControl/>
              <w:suppressLineNumbers w:val="0"/>
              <w:snapToGrid w:val="0"/>
              <w:spacing w:before="0" w:beforeAutospacing="0" w:after="0" w:afterAutospacing="0" w:line="360" w:lineRule="auto"/>
              <w:ind w:left="0" w:right="0" w:firstLine="420" w:firstLineChars="200"/>
              <w:jc w:val="both"/>
              <w:rPr>
                <w:color w:val="auto"/>
                <w:sz w:val="21"/>
                <w:szCs w:val="22"/>
                <w:highlight w:val="none"/>
                <w:lang w:val="en-US"/>
              </w:rPr>
            </w:pPr>
            <w:r>
              <w:rPr>
                <w:rFonts w:hint="eastAsia" w:ascii="Times New Roman" w:hAnsi="Times New Roman" w:eastAsia="宋体" w:cs="宋体"/>
                <w:color w:val="auto"/>
                <w:kern w:val="0"/>
                <w:sz w:val="21"/>
                <w:szCs w:val="22"/>
                <w:highlight w:val="none"/>
                <w:lang w:val="en-US" w:eastAsia="zh-CN" w:bidi="ar"/>
              </w:rPr>
              <w:t>企业是各类环境治理设施建设、运行、维护、拆除的责任主体。企业要</w:t>
            </w:r>
            <w:r>
              <w:rPr>
                <w:rFonts w:hint="eastAsia" w:ascii="Times New Roman" w:hAnsi="Times New Roman" w:eastAsia="宋体" w:cs="宋体"/>
                <w:color w:val="auto"/>
                <w:kern w:val="2"/>
                <w:sz w:val="21"/>
                <w:szCs w:val="24"/>
                <w:highlight w:val="none"/>
                <w:lang w:val="en-US" w:eastAsia="zh-CN" w:bidi="ar"/>
              </w:rPr>
              <w:t>按照《关于做好生态环境和应急管理部门联动工作的意见》（苏环办〔</w:t>
            </w:r>
            <w:r>
              <w:rPr>
                <w:rFonts w:hint="default" w:ascii="Times New Roman" w:hAnsi="Times New Roman" w:eastAsia="宋体" w:cs="Times New Roman"/>
                <w:color w:val="auto"/>
                <w:kern w:val="2"/>
                <w:sz w:val="21"/>
                <w:szCs w:val="24"/>
                <w:highlight w:val="none"/>
                <w:lang w:val="en-US" w:eastAsia="zh-CN" w:bidi="ar"/>
              </w:rPr>
              <w:t>2020</w:t>
            </w:r>
            <w:r>
              <w:rPr>
                <w:rFonts w:hint="eastAsia" w:ascii="Times New Roman" w:hAnsi="Times New Roman" w:eastAsia="宋体" w:cs="宋体"/>
                <w:color w:val="auto"/>
                <w:kern w:val="2"/>
                <w:sz w:val="21"/>
                <w:szCs w:val="24"/>
                <w:highlight w:val="none"/>
                <w:lang w:val="en-US" w:eastAsia="zh-CN" w:bidi="ar"/>
              </w:rPr>
              <w:t>〕</w:t>
            </w:r>
            <w:r>
              <w:rPr>
                <w:rFonts w:hint="default" w:ascii="Times New Roman" w:hAnsi="Times New Roman" w:eastAsia="宋体" w:cs="Times New Roman"/>
                <w:color w:val="auto"/>
                <w:kern w:val="2"/>
                <w:sz w:val="21"/>
                <w:szCs w:val="24"/>
                <w:highlight w:val="none"/>
                <w:lang w:val="en-US" w:eastAsia="zh-CN" w:bidi="ar"/>
              </w:rPr>
              <w:t>101</w:t>
            </w:r>
            <w:r>
              <w:rPr>
                <w:rFonts w:hint="eastAsia" w:ascii="Times New Roman" w:hAnsi="Times New Roman" w:eastAsia="宋体" w:cs="宋体"/>
                <w:color w:val="auto"/>
                <w:kern w:val="2"/>
                <w:sz w:val="21"/>
                <w:szCs w:val="24"/>
                <w:highlight w:val="none"/>
                <w:lang w:val="en-US" w:eastAsia="zh-CN" w:bidi="ar"/>
              </w:rPr>
              <w:t>号）的要求，对厂区环境治理设施开展安全风险辨识管控，</w:t>
            </w:r>
            <w:r>
              <w:rPr>
                <w:rFonts w:hint="eastAsia" w:ascii="Times New Roman" w:hAnsi="Times New Roman" w:eastAsia="宋体" w:cs="宋体"/>
                <w:color w:val="auto"/>
                <w:kern w:val="0"/>
                <w:sz w:val="21"/>
                <w:szCs w:val="22"/>
                <w:highlight w:val="none"/>
                <w:lang w:val="en-US" w:eastAsia="zh-CN" w:bidi="ar"/>
              </w:rPr>
              <w:t>对环境治理设施开展安全风险辨识管控，健全内部污染防治设施稳定运行和管理责任制度，严格依据标准规范建设环境治理设施，确保环境治理设施安全、稳定、有效运行。</w:t>
            </w:r>
          </w:p>
          <w:p w14:paraId="13D15BE8">
            <w:pPr>
              <w:keepNext w:val="0"/>
              <w:keepLines w:val="0"/>
              <w:widowControl w:val="0"/>
              <w:suppressLineNumbers w:val="0"/>
              <w:spacing w:before="0" w:beforeAutospacing="0" w:after="0" w:afterAutospacing="0" w:line="360" w:lineRule="auto"/>
              <w:ind w:left="0" w:right="0" w:firstLine="420" w:firstLineChars="200"/>
              <w:jc w:val="both"/>
              <w:rPr>
                <w:color w:val="auto"/>
                <w:highlight w:val="none"/>
                <w:lang w:val="en-US"/>
              </w:rPr>
            </w:pPr>
            <w:r>
              <w:rPr>
                <w:rFonts w:hint="eastAsia" w:ascii="Times New Roman" w:hAnsi="Times New Roman" w:eastAsia="宋体" w:cs="宋体"/>
                <w:color w:val="auto"/>
                <w:kern w:val="2"/>
                <w:sz w:val="21"/>
                <w:szCs w:val="24"/>
                <w:highlight w:val="none"/>
                <w:lang w:val="en-US" w:eastAsia="zh-CN" w:bidi="ar"/>
              </w:rPr>
              <w:t>同时，企业应按照《企业突发环境事件隐患排查和治理工作指南（试行）》（中华人民共和国环境保护部公告</w:t>
            </w:r>
            <w:r>
              <w:rPr>
                <w:rFonts w:hint="default" w:ascii="Times New Roman" w:hAnsi="Times New Roman" w:eastAsia="宋体" w:cs="Times New Roman"/>
                <w:color w:val="auto"/>
                <w:kern w:val="2"/>
                <w:sz w:val="21"/>
                <w:szCs w:val="24"/>
                <w:highlight w:val="none"/>
                <w:lang w:val="en-US" w:eastAsia="zh-CN" w:bidi="ar"/>
              </w:rPr>
              <w:t>2016</w:t>
            </w:r>
            <w:r>
              <w:rPr>
                <w:rFonts w:hint="eastAsia" w:ascii="Times New Roman" w:hAnsi="Times New Roman" w:eastAsia="宋体" w:cs="宋体"/>
                <w:color w:val="auto"/>
                <w:kern w:val="2"/>
                <w:sz w:val="21"/>
                <w:szCs w:val="24"/>
                <w:highlight w:val="none"/>
                <w:lang w:val="en-US" w:eastAsia="zh-CN" w:bidi="ar"/>
              </w:rPr>
              <w:t>年第</w:t>
            </w:r>
            <w:r>
              <w:rPr>
                <w:rFonts w:hint="default" w:ascii="Times New Roman" w:hAnsi="Times New Roman" w:eastAsia="宋体" w:cs="Times New Roman"/>
                <w:color w:val="auto"/>
                <w:kern w:val="2"/>
                <w:sz w:val="21"/>
                <w:szCs w:val="24"/>
                <w:highlight w:val="none"/>
                <w:lang w:val="en-US" w:eastAsia="zh-CN" w:bidi="ar"/>
              </w:rPr>
              <w:t>74</w:t>
            </w:r>
            <w:r>
              <w:rPr>
                <w:rFonts w:hint="eastAsia" w:ascii="Times New Roman" w:hAnsi="Times New Roman" w:eastAsia="宋体" w:cs="宋体"/>
                <w:color w:val="auto"/>
                <w:kern w:val="2"/>
                <w:sz w:val="21"/>
                <w:szCs w:val="24"/>
                <w:highlight w:val="none"/>
                <w:lang w:val="en-US" w:eastAsia="zh-CN" w:bidi="ar"/>
              </w:rPr>
              <w:t>号）、《关于印发江苏省突发环境事件隐患排查治理行动工作方案的通知》（苏环办〔</w:t>
            </w:r>
            <w:r>
              <w:rPr>
                <w:rFonts w:hint="default" w:ascii="Times New Roman" w:hAnsi="Times New Roman" w:eastAsia="宋体" w:cs="Times New Roman"/>
                <w:color w:val="auto"/>
                <w:kern w:val="2"/>
                <w:sz w:val="21"/>
                <w:szCs w:val="24"/>
                <w:highlight w:val="none"/>
                <w:lang w:val="en-US" w:eastAsia="zh-CN" w:bidi="ar"/>
              </w:rPr>
              <w:t>2022</w:t>
            </w:r>
            <w:r>
              <w:rPr>
                <w:rFonts w:hint="eastAsia" w:ascii="Times New Roman" w:hAnsi="Times New Roman" w:eastAsia="宋体" w:cs="宋体"/>
                <w:color w:val="auto"/>
                <w:kern w:val="2"/>
                <w:sz w:val="21"/>
                <w:szCs w:val="24"/>
                <w:highlight w:val="none"/>
                <w:lang w:val="en-US" w:eastAsia="zh-CN" w:bidi="ar"/>
              </w:rPr>
              <w:t>〕</w:t>
            </w:r>
            <w:r>
              <w:rPr>
                <w:rFonts w:hint="default" w:ascii="Times New Roman" w:hAnsi="Times New Roman" w:eastAsia="宋体" w:cs="Times New Roman"/>
                <w:color w:val="auto"/>
                <w:kern w:val="2"/>
                <w:sz w:val="21"/>
                <w:szCs w:val="24"/>
                <w:highlight w:val="none"/>
                <w:lang w:val="en-US" w:eastAsia="zh-CN" w:bidi="ar"/>
              </w:rPr>
              <w:t>68</w:t>
            </w:r>
            <w:r>
              <w:rPr>
                <w:rFonts w:hint="eastAsia" w:ascii="Times New Roman" w:hAnsi="Times New Roman" w:eastAsia="宋体" w:cs="宋体"/>
                <w:color w:val="auto"/>
                <w:kern w:val="2"/>
                <w:sz w:val="21"/>
                <w:szCs w:val="24"/>
                <w:highlight w:val="none"/>
                <w:lang w:val="en-US" w:eastAsia="zh-CN" w:bidi="ar"/>
              </w:rPr>
              <w:t>号）、《关于开展环境应急领域隐患排查专项行动的通知》（宿环办〔2022〕2号）</w:t>
            </w:r>
            <w:r>
              <w:rPr>
                <w:rFonts w:hint="eastAsia" w:cs="宋体"/>
                <w:color w:val="auto"/>
                <w:kern w:val="2"/>
                <w:sz w:val="21"/>
                <w:szCs w:val="24"/>
                <w:highlight w:val="none"/>
                <w:lang w:val="en-US" w:eastAsia="zh-CN" w:bidi="ar"/>
              </w:rPr>
              <w:t>、</w:t>
            </w:r>
            <w:r>
              <w:rPr>
                <w:rFonts w:hint="eastAsia" w:ascii="Times New Roman" w:hAnsi="Times New Roman" w:eastAsia="宋体" w:cs="宋体"/>
                <w:color w:val="auto"/>
                <w:kern w:val="2"/>
                <w:sz w:val="21"/>
                <w:szCs w:val="24"/>
                <w:highlight w:val="none"/>
                <w:lang w:val="en-US" w:eastAsia="zh-CN" w:bidi="ar"/>
              </w:rPr>
              <w:t>《市生态环境局关于开展宿迁市危险废物领域安全隐患排查整治工作的通知》（宿环办〔</w:t>
            </w:r>
            <w:r>
              <w:rPr>
                <w:rFonts w:hint="default" w:ascii="Times New Roman" w:hAnsi="Times New Roman" w:eastAsia="宋体" w:cs="Times New Roman"/>
                <w:color w:val="auto"/>
                <w:kern w:val="2"/>
                <w:sz w:val="21"/>
                <w:szCs w:val="24"/>
                <w:highlight w:val="none"/>
                <w:lang w:val="en-US" w:eastAsia="zh-CN" w:bidi="ar"/>
              </w:rPr>
              <w:t>2022</w:t>
            </w:r>
            <w:r>
              <w:rPr>
                <w:rFonts w:hint="eastAsia" w:ascii="Times New Roman" w:hAnsi="Times New Roman" w:eastAsia="宋体" w:cs="宋体"/>
                <w:color w:val="auto"/>
                <w:kern w:val="2"/>
                <w:sz w:val="21"/>
                <w:szCs w:val="24"/>
                <w:highlight w:val="none"/>
                <w:lang w:val="en-US" w:eastAsia="zh-CN" w:bidi="ar"/>
              </w:rPr>
              <w:t>〕</w:t>
            </w:r>
            <w:r>
              <w:rPr>
                <w:rFonts w:hint="default" w:ascii="Times New Roman" w:hAnsi="Times New Roman" w:eastAsia="宋体" w:cs="Times New Roman"/>
                <w:color w:val="auto"/>
                <w:kern w:val="2"/>
                <w:sz w:val="21"/>
                <w:szCs w:val="24"/>
                <w:highlight w:val="none"/>
                <w:lang w:val="en-US" w:eastAsia="zh-CN" w:bidi="ar"/>
              </w:rPr>
              <w:t>12</w:t>
            </w:r>
            <w:r>
              <w:rPr>
                <w:rFonts w:hint="eastAsia" w:ascii="Times New Roman" w:hAnsi="Times New Roman" w:eastAsia="宋体" w:cs="宋体"/>
                <w:color w:val="auto"/>
                <w:kern w:val="2"/>
                <w:sz w:val="21"/>
                <w:szCs w:val="24"/>
                <w:highlight w:val="none"/>
                <w:lang w:val="en-US" w:eastAsia="zh-CN" w:bidi="ar"/>
              </w:rPr>
              <w:t>号）等文件要求，制定年度隐患排查计划，开展隐患排查工作，对排查发现的隐患问题及时落实整改。</w:t>
            </w:r>
          </w:p>
          <w:p w14:paraId="5B9EC321">
            <w:pPr>
              <w:keepNext w:val="0"/>
              <w:keepLines w:val="0"/>
              <w:widowControl/>
              <w:suppressLineNumbers w:val="0"/>
              <w:spacing w:before="0" w:beforeAutospacing="0" w:after="0" w:afterAutospacing="0" w:line="360" w:lineRule="auto"/>
              <w:ind w:left="0" w:right="0" w:firstLine="420" w:firstLineChars="200"/>
              <w:jc w:val="left"/>
              <w:rPr>
                <w:color w:val="auto"/>
                <w:highlight w:val="none"/>
              </w:rPr>
            </w:pPr>
            <w:r>
              <w:rPr>
                <w:rFonts w:hint="eastAsia" w:ascii="Times New Roman" w:hAnsi="Times New Roman" w:eastAsia="宋体" w:cs="Times New Roman"/>
                <w:color w:val="auto"/>
                <w:kern w:val="2"/>
                <w:sz w:val="21"/>
                <w:szCs w:val="22"/>
                <w:highlight w:val="none"/>
                <w:lang w:val="en-US" w:eastAsia="zh-CN" w:bidi="ar"/>
              </w:rPr>
              <w:t>本项目建成后，企业应按照《关于印发</w:t>
            </w:r>
            <w:r>
              <w:rPr>
                <w:rFonts w:hint="default" w:ascii="Times New Roman" w:hAnsi="Times New Roman" w:eastAsia="宋体" w:cs="Times New Roman"/>
                <w:color w:val="auto"/>
                <w:kern w:val="2"/>
                <w:sz w:val="21"/>
                <w:szCs w:val="22"/>
                <w:highlight w:val="none"/>
                <w:lang w:val="en-US" w:eastAsia="zh-CN" w:bidi="ar"/>
              </w:rPr>
              <w:t>&lt;</w:t>
            </w:r>
            <w:r>
              <w:rPr>
                <w:rFonts w:hint="eastAsia" w:ascii="Times New Roman" w:hAnsi="Times New Roman" w:eastAsia="宋体" w:cs="Times New Roman"/>
                <w:color w:val="auto"/>
                <w:kern w:val="2"/>
                <w:sz w:val="21"/>
                <w:szCs w:val="22"/>
                <w:highlight w:val="none"/>
                <w:lang w:val="en-US" w:eastAsia="zh-CN" w:bidi="ar"/>
              </w:rPr>
              <w:t>企业事业单位突发环境事件应急预案备案管理办法（试行）</w:t>
            </w:r>
            <w:r>
              <w:rPr>
                <w:rFonts w:hint="default" w:ascii="Times New Roman" w:hAnsi="Times New Roman" w:eastAsia="宋体" w:cs="Times New Roman"/>
                <w:color w:val="auto"/>
                <w:kern w:val="2"/>
                <w:sz w:val="21"/>
                <w:szCs w:val="22"/>
                <w:highlight w:val="none"/>
                <w:lang w:val="en-US" w:eastAsia="zh-CN" w:bidi="ar"/>
              </w:rPr>
              <w:t>&gt;</w:t>
            </w:r>
            <w:r>
              <w:rPr>
                <w:rFonts w:hint="eastAsia" w:ascii="Times New Roman" w:hAnsi="Times New Roman" w:eastAsia="宋体" w:cs="Times New Roman"/>
                <w:color w:val="auto"/>
                <w:kern w:val="2"/>
                <w:sz w:val="21"/>
                <w:szCs w:val="22"/>
                <w:highlight w:val="none"/>
                <w:lang w:val="en-US" w:eastAsia="zh-CN" w:bidi="ar"/>
              </w:rPr>
              <w:t>的通知》（环发〔</w:t>
            </w:r>
            <w:r>
              <w:rPr>
                <w:rFonts w:hint="default" w:ascii="Times New Roman" w:hAnsi="Times New Roman" w:eastAsia="宋体" w:cs="Times New Roman"/>
                <w:color w:val="auto"/>
                <w:kern w:val="2"/>
                <w:sz w:val="21"/>
                <w:szCs w:val="22"/>
                <w:highlight w:val="none"/>
                <w:lang w:val="en-US" w:eastAsia="zh-CN" w:bidi="ar"/>
              </w:rPr>
              <w:t>2015</w:t>
            </w:r>
            <w:r>
              <w:rPr>
                <w:rFonts w:hint="eastAsia" w:ascii="Times New Roman" w:hAnsi="Times New Roman" w:eastAsia="宋体" w:cs="Times New Roman"/>
                <w:color w:val="auto"/>
                <w:kern w:val="2"/>
                <w:sz w:val="21"/>
                <w:szCs w:val="22"/>
                <w:highlight w:val="none"/>
                <w:lang w:val="en-US" w:eastAsia="zh-CN" w:bidi="ar"/>
              </w:rPr>
              <w:t>〕</w:t>
            </w:r>
            <w:r>
              <w:rPr>
                <w:rFonts w:hint="default" w:ascii="Times New Roman" w:hAnsi="Times New Roman" w:eastAsia="宋体" w:cs="Times New Roman"/>
                <w:color w:val="auto"/>
                <w:kern w:val="2"/>
                <w:sz w:val="21"/>
                <w:szCs w:val="22"/>
                <w:highlight w:val="none"/>
                <w:lang w:val="en-US" w:eastAsia="zh-CN" w:bidi="ar"/>
              </w:rPr>
              <w:t>4</w:t>
            </w:r>
            <w:r>
              <w:rPr>
                <w:rFonts w:hint="eastAsia" w:ascii="Times New Roman" w:hAnsi="Times New Roman" w:eastAsia="宋体" w:cs="Times New Roman"/>
                <w:color w:val="auto"/>
                <w:kern w:val="2"/>
                <w:sz w:val="21"/>
                <w:szCs w:val="22"/>
                <w:highlight w:val="none"/>
                <w:lang w:val="en-US" w:eastAsia="zh-CN" w:bidi="ar"/>
              </w:rPr>
              <w:t>号）等相关文件要求，</w:t>
            </w:r>
            <w:r>
              <w:rPr>
                <w:rFonts w:hint="eastAsia" w:cs="Times New Roman"/>
                <w:color w:val="auto"/>
                <w:kern w:val="2"/>
                <w:sz w:val="21"/>
                <w:szCs w:val="22"/>
                <w:highlight w:val="none"/>
                <w:lang w:val="en-US" w:eastAsia="zh-CN" w:bidi="ar"/>
              </w:rPr>
              <w:t>对现有</w:t>
            </w:r>
            <w:r>
              <w:rPr>
                <w:rFonts w:hint="eastAsia" w:ascii="Times New Roman" w:hAnsi="Times New Roman" w:eastAsia="宋体" w:cs="Times New Roman"/>
                <w:color w:val="auto"/>
                <w:kern w:val="2"/>
                <w:sz w:val="21"/>
                <w:szCs w:val="22"/>
                <w:highlight w:val="none"/>
                <w:lang w:val="en-US" w:eastAsia="zh-CN" w:bidi="ar"/>
              </w:rPr>
              <w:t>应急预案</w:t>
            </w:r>
            <w:r>
              <w:rPr>
                <w:rFonts w:hint="eastAsia" w:cs="Times New Roman"/>
                <w:color w:val="auto"/>
                <w:kern w:val="2"/>
                <w:sz w:val="21"/>
                <w:szCs w:val="22"/>
                <w:highlight w:val="none"/>
                <w:lang w:val="en-US" w:eastAsia="zh-CN" w:bidi="ar"/>
              </w:rPr>
              <w:t>进行修订</w:t>
            </w:r>
            <w:r>
              <w:rPr>
                <w:rFonts w:hint="eastAsia" w:ascii="Times New Roman" w:hAnsi="Times New Roman" w:eastAsia="宋体" w:cs="Times New Roman"/>
                <w:color w:val="auto"/>
                <w:kern w:val="2"/>
                <w:sz w:val="21"/>
                <w:szCs w:val="22"/>
                <w:highlight w:val="none"/>
                <w:lang w:val="en-US" w:eastAsia="zh-CN" w:bidi="ar"/>
              </w:rPr>
              <w:t>，并及时向当地生态环境主管部门备案。</w:t>
            </w:r>
          </w:p>
          <w:p w14:paraId="207A42A8">
            <w:pPr>
              <w:spacing w:line="360" w:lineRule="auto"/>
              <w:ind w:firstLine="422" w:firstLineChars="200"/>
              <w:rPr>
                <w:b/>
                <w:bCs/>
                <w:color w:val="auto"/>
                <w:szCs w:val="21"/>
                <w:highlight w:val="none"/>
              </w:rPr>
            </w:pPr>
            <w:r>
              <w:rPr>
                <w:rFonts w:hint="eastAsia"/>
                <w:b/>
                <w:bCs/>
                <w:color w:val="auto"/>
                <w:szCs w:val="21"/>
                <w:highlight w:val="none"/>
                <w:lang w:val="en-US" w:eastAsia="zh-CN"/>
              </w:rPr>
              <w:t>七、</w:t>
            </w:r>
            <w:r>
              <w:rPr>
                <w:rFonts w:hint="eastAsia"/>
                <w:b/>
                <w:bCs/>
                <w:color w:val="auto"/>
                <w:szCs w:val="21"/>
                <w:highlight w:val="none"/>
              </w:rPr>
              <w:t>生态影响</w:t>
            </w:r>
          </w:p>
          <w:p w14:paraId="0F50D4BA">
            <w:pPr>
              <w:spacing w:line="360" w:lineRule="auto"/>
              <w:ind w:firstLine="420" w:firstLineChars="200"/>
              <w:rPr>
                <w:color w:val="auto"/>
                <w:szCs w:val="21"/>
                <w:highlight w:val="none"/>
              </w:rPr>
            </w:pPr>
            <w:r>
              <w:rPr>
                <w:rFonts w:hint="eastAsia"/>
                <w:color w:val="auto"/>
                <w:szCs w:val="21"/>
                <w:highlight w:val="none"/>
              </w:rPr>
              <w:t>项目位于</w:t>
            </w:r>
            <w:r>
              <w:rPr>
                <w:rFonts w:hint="eastAsia"/>
                <w:color w:val="auto"/>
                <w:kern w:val="0"/>
                <w:szCs w:val="21"/>
              </w:rPr>
              <w:t>泗阳县李口镇工业园</w:t>
            </w:r>
            <w:r>
              <w:rPr>
                <w:rFonts w:hint="eastAsia"/>
                <w:color w:val="auto"/>
                <w:szCs w:val="21"/>
                <w:highlight w:val="none"/>
              </w:rPr>
              <w:t>内，无需进行生态影响评价。</w:t>
            </w:r>
          </w:p>
          <w:p w14:paraId="04C8EA5D">
            <w:pPr>
              <w:spacing w:line="360" w:lineRule="auto"/>
              <w:ind w:firstLine="422" w:firstLineChars="200"/>
              <w:rPr>
                <w:b/>
                <w:bCs/>
                <w:color w:val="auto"/>
                <w:szCs w:val="21"/>
                <w:highlight w:val="none"/>
              </w:rPr>
            </w:pPr>
            <w:r>
              <w:rPr>
                <w:rFonts w:hint="eastAsia"/>
                <w:b/>
                <w:bCs/>
                <w:color w:val="auto"/>
                <w:szCs w:val="21"/>
                <w:highlight w:val="none"/>
                <w:lang w:val="en-US" w:eastAsia="zh-CN"/>
              </w:rPr>
              <w:t>八、</w:t>
            </w:r>
            <w:r>
              <w:rPr>
                <w:rFonts w:hint="eastAsia"/>
                <w:b/>
                <w:bCs/>
                <w:color w:val="auto"/>
                <w:szCs w:val="21"/>
                <w:highlight w:val="none"/>
              </w:rPr>
              <w:t>电磁辐射</w:t>
            </w:r>
          </w:p>
          <w:p w14:paraId="5467CC62">
            <w:pPr>
              <w:spacing w:line="360" w:lineRule="auto"/>
              <w:ind w:firstLine="420" w:firstLineChars="200"/>
              <w:rPr>
                <w:color w:val="auto"/>
                <w:szCs w:val="21"/>
                <w:highlight w:val="none"/>
              </w:rPr>
            </w:pPr>
            <w:r>
              <w:rPr>
                <w:rFonts w:hint="eastAsia"/>
                <w:color w:val="auto"/>
                <w:szCs w:val="21"/>
                <w:highlight w:val="none"/>
              </w:rPr>
              <w:t>本项目不涉及电磁辐射。</w:t>
            </w:r>
          </w:p>
          <w:p w14:paraId="50CB66D2">
            <w:pPr>
              <w:keepNext w:val="0"/>
              <w:keepLines w:val="0"/>
              <w:widowControl/>
              <w:suppressLineNumbers w:val="0"/>
              <w:spacing w:before="0" w:beforeAutospacing="0" w:after="0" w:afterAutospacing="0" w:line="360" w:lineRule="auto"/>
              <w:ind w:left="0" w:right="0" w:firstLine="422" w:firstLineChars="200"/>
              <w:jc w:val="left"/>
              <w:rPr>
                <w:b/>
                <w:bCs/>
                <w:color w:val="auto"/>
                <w:kern w:val="0"/>
                <w:highlight w:val="none"/>
                <w:lang w:val="en-US" w:bidi="ar"/>
              </w:rPr>
            </w:pPr>
            <w:r>
              <w:rPr>
                <w:rFonts w:hint="eastAsia" w:ascii="Times New Roman" w:hAnsi="Times New Roman" w:eastAsia="宋体" w:cs="宋体"/>
                <w:b/>
                <w:bCs/>
                <w:color w:val="auto"/>
                <w:kern w:val="0"/>
                <w:sz w:val="21"/>
                <w:szCs w:val="24"/>
                <w:highlight w:val="none"/>
                <w:lang w:val="en-US" w:eastAsia="zh-CN" w:bidi="ar"/>
              </w:rPr>
              <w:t>九、排污口规范化设置</w:t>
            </w:r>
          </w:p>
          <w:p w14:paraId="0E33ABF3">
            <w:pPr>
              <w:keepNext w:val="0"/>
              <w:keepLines w:val="0"/>
              <w:widowControl/>
              <w:suppressLineNumbers w:val="0"/>
              <w:spacing w:before="0" w:beforeAutospacing="0" w:after="0" w:afterAutospacing="0" w:line="360" w:lineRule="auto"/>
              <w:ind w:left="0" w:right="0" w:firstLine="420" w:firstLineChars="200"/>
              <w:jc w:val="both"/>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根据《江苏省排污口设置及规范化整治管理办法》（苏环控〔</w:t>
            </w:r>
            <w:r>
              <w:rPr>
                <w:rFonts w:hint="default" w:ascii="Times New Roman" w:hAnsi="Times New Roman" w:eastAsia="宋体" w:cs="Times New Roman"/>
                <w:color w:val="auto"/>
                <w:kern w:val="0"/>
                <w:sz w:val="21"/>
                <w:szCs w:val="24"/>
                <w:highlight w:val="none"/>
                <w:lang w:val="en-US" w:eastAsia="zh-CN" w:bidi="ar"/>
              </w:rPr>
              <w:t>1997</w:t>
            </w:r>
            <w:r>
              <w:rPr>
                <w:rFonts w:hint="eastAsia" w:ascii="Times New Roman" w:hAnsi="Times New Roman" w:eastAsia="宋体" w:cs="宋体"/>
                <w:color w:val="auto"/>
                <w:kern w:val="0"/>
                <w:sz w:val="21"/>
                <w:szCs w:val="24"/>
                <w:highlight w:val="none"/>
                <w:lang w:val="en-US" w:eastAsia="zh-CN" w:bidi="ar"/>
              </w:rPr>
              <w:t>〕</w:t>
            </w:r>
            <w:r>
              <w:rPr>
                <w:rFonts w:hint="default" w:ascii="Times New Roman" w:hAnsi="Times New Roman" w:eastAsia="宋体" w:cs="Times New Roman"/>
                <w:color w:val="auto"/>
                <w:kern w:val="0"/>
                <w:sz w:val="21"/>
                <w:szCs w:val="24"/>
                <w:highlight w:val="none"/>
                <w:lang w:val="en-US" w:eastAsia="zh-CN" w:bidi="ar"/>
              </w:rPr>
              <w:t>122</w:t>
            </w:r>
            <w:r>
              <w:rPr>
                <w:rFonts w:hint="eastAsia" w:ascii="Times New Roman" w:hAnsi="Times New Roman" w:eastAsia="宋体" w:cs="宋体"/>
                <w:color w:val="auto"/>
                <w:kern w:val="0"/>
                <w:sz w:val="21"/>
                <w:szCs w:val="24"/>
                <w:highlight w:val="none"/>
                <w:lang w:val="en-US" w:eastAsia="zh-CN" w:bidi="ar"/>
              </w:rPr>
              <w:t>号）的第十二条规定，排污口符合</w:t>
            </w:r>
            <w:r>
              <w:rPr>
                <w:rFonts w:hint="default" w:ascii="Times New Roman" w:hAnsi="Times New Roman" w:eastAsia="宋体" w:cs="Times New Roman"/>
                <w:color w:val="auto"/>
                <w:kern w:val="0"/>
                <w:sz w:val="21"/>
                <w:szCs w:val="24"/>
                <w:highlight w:val="none"/>
                <w:lang w:val="en-US" w:eastAsia="zh-CN" w:bidi="ar"/>
              </w:rPr>
              <w:t>“</w:t>
            </w:r>
            <w:r>
              <w:rPr>
                <w:rFonts w:hint="eastAsia" w:ascii="Times New Roman" w:hAnsi="Times New Roman" w:eastAsia="宋体" w:cs="宋体"/>
                <w:color w:val="auto"/>
                <w:kern w:val="0"/>
                <w:sz w:val="21"/>
                <w:szCs w:val="24"/>
                <w:highlight w:val="none"/>
                <w:lang w:val="en-US" w:eastAsia="zh-CN" w:bidi="ar"/>
              </w:rPr>
              <w:t>一明显、二合理、三便于</w:t>
            </w:r>
            <w:r>
              <w:rPr>
                <w:rFonts w:hint="default" w:ascii="Times New Roman" w:hAnsi="Times New Roman" w:eastAsia="宋体" w:cs="Times New Roman"/>
                <w:color w:val="auto"/>
                <w:kern w:val="0"/>
                <w:sz w:val="21"/>
                <w:szCs w:val="24"/>
                <w:highlight w:val="none"/>
                <w:lang w:val="en-US" w:eastAsia="zh-CN" w:bidi="ar"/>
              </w:rPr>
              <w:t>”</w:t>
            </w:r>
            <w:r>
              <w:rPr>
                <w:rFonts w:hint="eastAsia" w:ascii="Times New Roman" w:hAnsi="Times New Roman" w:eastAsia="宋体" w:cs="宋体"/>
                <w:color w:val="auto"/>
                <w:kern w:val="0"/>
                <w:sz w:val="21"/>
                <w:szCs w:val="24"/>
                <w:highlight w:val="none"/>
                <w:lang w:val="en-US" w:eastAsia="zh-CN" w:bidi="ar"/>
              </w:rPr>
              <w:t>的要求，即环保标志明显，排污口设置合理、排污去向合理，便于采集样品、便于监测计量、便于公众监督管理。并按照《环境保护图形标志》（</w:t>
            </w:r>
            <w:r>
              <w:rPr>
                <w:rFonts w:hint="default" w:ascii="Times New Roman" w:hAnsi="Times New Roman" w:eastAsia="宋体" w:cs="Times New Roman"/>
                <w:color w:val="auto"/>
                <w:kern w:val="0"/>
                <w:sz w:val="21"/>
                <w:szCs w:val="24"/>
                <w:highlight w:val="none"/>
                <w:lang w:val="en-US" w:eastAsia="zh-CN" w:bidi="ar"/>
              </w:rPr>
              <w:t>GB15562.1-1995</w:t>
            </w:r>
            <w:r>
              <w:rPr>
                <w:rFonts w:hint="eastAsia" w:ascii="Times New Roman" w:hAnsi="Times New Roman" w:eastAsia="宋体" w:cs="宋体"/>
                <w:color w:val="auto"/>
                <w:kern w:val="0"/>
                <w:sz w:val="21"/>
                <w:szCs w:val="24"/>
                <w:highlight w:val="none"/>
                <w:lang w:val="en-US" w:eastAsia="zh-CN" w:bidi="ar"/>
              </w:rPr>
              <w:t>、</w:t>
            </w:r>
            <w:r>
              <w:rPr>
                <w:rFonts w:hint="default" w:ascii="Times New Roman" w:hAnsi="Times New Roman" w:eastAsia="宋体" w:cs="Times New Roman"/>
                <w:color w:val="auto"/>
                <w:kern w:val="0"/>
                <w:sz w:val="21"/>
                <w:szCs w:val="24"/>
                <w:highlight w:val="none"/>
                <w:lang w:val="en-US" w:eastAsia="zh-CN" w:bidi="ar"/>
              </w:rPr>
              <w:t>GB15562.2-1995</w:t>
            </w:r>
            <w:r>
              <w:rPr>
                <w:rFonts w:hint="eastAsia" w:ascii="Times New Roman" w:hAnsi="Times New Roman" w:eastAsia="宋体" w:cs="宋体"/>
                <w:color w:val="auto"/>
                <w:kern w:val="0"/>
                <w:sz w:val="21"/>
                <w:szCs w:val="24"/>
                <w:highlight w:val="none"/>
                <w:lang w:val="en-US" w:eastAsia="zh-CN" w:bidi="ar"/>
              </w:rPr>
              <w:t>）、《关于发布国家固体废物污染控制标准《环境保护图形标志</w:t>
            </w:r>
            <w:r>
              <w:rPr>
                <w:rFonts w:hint="default" w:ascii="Times New Roman" w:hAnsi="Times New Roman" w:eastAsia="宋体" w:cs="Times New Roman"/>
                <w:color w:val="auto"/>
                <w:kern w:val="0"/>
                <w:sz w:val="21"/>
                <w:szCs w:val="24"/>
                <w:highlight w:val="none"/>
                <w:lang w:val="en-US" w:eastAsia="zh-CN" w:bidi="ar"/>
              </w:rPr>
              <w:t>—</w:t>
            </w:r>
            <w:r>
              <w:rPr>
                <w:rFonts w:hint="eastAsia" w:ascii="Times New Roman" w:hAnsi="Times New Roman" w:eastAsia="宋体" w:cs="宋体"/>
                <w:color w:val="auto"/>
                <w:kern w:val="0"/>
                <w:sz w:val="21"/>
                <w:szCs w:val="24"/>
                <w:highlight w:val="none"/>
                <w:lang w:val="en-US" w:eastAsia="zh-CN" w:bidi="ar"/>
              </w:rPr>
              <w:t>固体废物贮存（处置）场》（</w:t>
            </w:r>
            <w:r>
              <w:rPr>
                <w:rFonts w:hint="default" w:ascii="Times New Roman" w:hAnsi="Times New Roman" w:eastAsia="宋体" w:cs="Times New Roman"/>
                <w:color w:val="auto"/>
                <w:kern w:val="0"/>
                <w:sz w:val="21"/>
                <w:szCs w:val="24"/>
                <w:highlight w:val="none"/>
                <w:lang w:val="en-US" w:eastAsia="zh-CN" w:bidi="ar"/>
              </w:rPr>
              <w:t>GB 15562.2-1995</w:t>
            </w:r>
            <w:r>
              <w:rPr>
                <w:rFonts w:hint="eastAsia" w:ascii="Times New Roman" w:hAnsi="Times New Roman" w:eastAsia="宋体" w:cs="宋体"/>
                <w:color w:val="auto"/>
                <w:kern w:val="0"/>
                <w:sz w:val="21"/>
                <w:szCs w:val="24"/>
                <w:highlight w:val="none"/>
                <w:lang w:val="en-US" w:eastAsia="zh-CN" w:bidi="ar"/>
              </w:rPr>
              <w:t>）修改单的公告》（生态环境部公告</w:t>
            </w:r>
            <w:r>
              <w:rPr>
                <w:rFonts w:hint="default" w:ascii="Times New Roman" w:hAnsi="Times New Roman" w:eastAsia="宋体" w:cs="Times New Roman"/>
                <w:color w:val="auto"/>
                <w:kern w:val="0"/>
                <w:sz w:val="21"/>
                <w:szCs w:val="24"/>
                <w:highlight w:val="none"/>
                <w:lang w:val="en-US" w:eastAsia="zh-CN" w:bidi="ar"/>
              </w:rPr>
              <w:t>2023</w:t>
            </w:r>
            <w:r>
              <w:rPr>
                <w:rFonts w:hint="eastAsia" w:ascii="Times New Roman" w:hAnsi="Times New Roman" w:eastAsia="宋体" w:cs="宋体"/>
                <w:color w:val="auto"/>
                <w:kern w:val="0"/>
                <w:sz w:val="21"/>
                <w:szCs w:val="24"/>
                <w:highlight w:val="none"/>
                <w:lang w:val="en-US" w:eastAsia="zh-CN" w:bidi="ar"/>
              </w:rPr>
              <w:t>年第</w:t>
            </w:r>
            <w:r>
              <w:rPr>
                <w:rFonts w:hint="default" w:ascii="Times New Roman" w:hAnsi="Times New Roman" w:eastAsia="宋体" w:cs="Times New Roman"/>
                <w:color w:val="auto"/>
                <w:kern w:val="0"/>
                <w:sz w:val="21"/>
                <w:szCs w:val="24"/>
                <w:highlight w:val="none"/>
                <w:lang w:val="en-US" w:eastAsia="zh-CN" w:bidi="ar"/>
              </w:rPr>
              <w:t>5</w:t>
            </w:r>
            <w:r>
              <w:rPr>
                <w:rFonts w:hint="eastAsia" w:ascii="Times New Roman" w:hAnsi="Times New Roman" w:eastAsia="宋体" w:cs="宋体"/>
                <w:color w:val="auto"/>
                <w:kern w:val="0"/>
                <w:sz w:val="21"/>
                <w:szCs w:val="24"/>
                <w:highlight w:val="none"/>
                <w:lang w:val="en-US" w:eastAsia="zh-CN" w:bidi="ar"/>
              </w:rPr>
              <w:t>号）的规定，对各排污口设立相应的标志牌。</w:t>
            </w:r>
          </w:p>
          <w:p w14:paraId="3C949E9B">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default" w:ascii="Times New Roman" w:hAnsi="Times New Roman" w:eastAsia="宋体" w:cs="Times New Roman"/>
                <w:color w:val="auto"/>
                <w:kern w:val="0"/>
                <w:sz w:val="21"/>
                <w:szCs w:val="24"/>
                <w:highlight w:val="none"/>
                <w:lang w:val="en-US" w:eastAsia="zh-CN" w:bidi="ar"/>
              </w:rPr>
              <w:t>①</w:t>
            </w:r>
            <w:r>
              <w:rPr>
                <w:rFonts w:hint="eastAsia" w:ascii="Times New Roman" w:hAnsi="Times New Roman" w:eastAsia="宋体" w:cs="宋体"/>
                <w:color w:val="auto"/>
                <w:kern w:val="0"/>
                <w:sz w:val="21"/>
                <w:szCs w:val="24"/>
                <w:highlight w:val="none"/>
                <w:lang w:val="en-US" w:eastAsia="zh-CN" w:bidi="ar"/>
              </w:rPr>
              <w:t>废水排放口</w:t>
            </w:r>
          </w:p>
          <w:p w14:paraId="59F42719">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排放口必须具备方便采样和流量测定条件：一般排放口视排污水流量的大小参照《适应排污水口尺寸表》的有关要求设置，污水面低于地面或高于地面</w:t>
            </w:r>
            <w:r>
              <w:rPr>
                <w:rFonts w:hint="default" w:ascii="Times New Roman" w:hAnsi="Times New Roman" w:eastAsia="宋体" w:cs="Times New Roman"/>
                <w:color w:val="auto"/>
                <w:kern w:val="0"/>
                <w:sz w:val="21"/>
                <w:szCs w:val="24"/>
                <w:highlight w:val="none"/>
                <w:lang w:val="en-US" w:eastAsia="zh-CN" w:bidi="ar"/>
              </w:rPr>
              <w:t>1</w:t>
            </w:r>
            <w:r>
              <w:rPr>
                <w:rFonts w:hint="eastAsia" w:ascii="Times New Roman" w:hAnsi="Times New Roman" w:eastAsia="宋体" w:cs="宋体"/>
                <w:color w:val="auto"/>
                <w:kern w:val="0"/>
                <w:sz w:val="21"/>
                <w:szCs w:val="24"/>
                <w:highlight w:val="none"/>
                <w:lang w:val="en-US" w:eastAsia="zh-CN" w:bidi="ar"/>
              </w:rPr>
              <w:t>米的，就应加建采样台阶或梯架（宽度不小于</w:t>
            </w:r>
            <w:r>
              <w:rPr>
                <w:rFonts w:hint="default" w:ascii="Times New Roman" w:hAnsi="Times New Roman" w:eastAsia="宋体" w:cs="Times New Roman"/>
                <w:color w:val="auto"/>
                <w:kern w:val="0"/>
                <w:sz w:val="21"/>
                <w:szCs w:val="24"/>
                <w:highlight w:val="none"/>
                <w:lang w:val="en-US" w:eastAsia="zh-CN" w:bidi="ar"/>
              </w:rPr>
              <w:t>800mm</w:t>
            </w:r>
            <w:r>
              <w:rPr>
                <w:rFonts w:hint="eastAsia" w:ascii="Times New Roman" w:hAnsi="Times New Roman" w:eastAsia="宋体" w:cs="宋体"/>
                <w:color w:val="auto"/>
                <w:kern w:val="0"/>
                <w:sz w:val="21"/>
                <w:szCs w:val="24"/>
                <w:highlight w:val="none"/>
                <w:lang w:val="en-US" w:eastAsia="zh-CN" w:bidi="ar"/>
              </w:rPr>
              <w:t>）；污水直接从暗渠排入市政管道的，应在企业边界内、直入市政管道前设采样口（半径＞</w:t>
            </w:r>
            <w:r>
              <w:rPr>
                <w:rFonts w:hint="default" w:ascii="Times New Roman" w:hAnsi="Times New Roman" w:eastAsia="宋体" w:cs="Times New Roman"/>
                <w:color w:val="auto"/>
                <w:kern w:val="0"/>
                <w:sz w:val="21"/>
                <w:szCs w:val="24"/>
                <w:highlight w:val="none"/>
                <w:lang w:val="en-US" w:eastAsia="zh-CN" w:bidi="ar"/>
              </w:rPr>
              <w:t>150mm</w:t>
            </w:r>
            <w:r>
              <w:rPr>
                <w:rFonts w:hint="eastAsia" w:ascii="Times New Roman" w:hAnsi="Times New Roman" w:eastAsia="宋体" w:cs="宋体"/>
                <w:color w:val="auto"/>
                <w:kern w:val="0"/>
                <w:sz w:val="21"/>
                <w:szCs w:val="24"/>
                <w:highlight w:val="none"/>
                <w:lang w:val="en-US" w:eastAsia="zh-CN" w:bidi="ar"/>
              </w:rPr>
              <w:t>）；有压力的排污管道应安装采样阀，有二级污水设施的必须安装监控装置。</w:t>
            </w:r>
          </w:p>
          <w:p w14:paraId="00CA5132">
            <w:pPr>
              <w:keepNext w:val="0"/>
              <w:keepLines w:val="0"/>
              <w:widowControl/>
              <w:suppressLineNumbers w:val="0"/>
              <w:spacing w:before="0" w:beforeAutospacing="0" w:after="0" w:afterAutospacing="0" w:line="360" w:lineRule="auto"/>
              <w:ind w:left="0" w:right="0" w:firstLine="420" w:firstLineChars="200"/>
              <w:jc w:val="left"/>
              <w:rPr>
                <w:rFonts w:hint="default"/>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厂区实行雨污分流，共有</w:t>
            </w:r>
            <w:r>
              <w:rPr>
                <w:rFonts w:hint="default" w:ascii="Times New Roman" w:hAnsi="Times New Roman" w:eastAsia="宋体" w:cs="Times New Roman"/>
                <w:color w:val="auto"/>
                <w:kern w:val="0"/>
                <w:sz w:val="21"/>
                <w:szCs w:val="24"/>
                <w:highlight w:val="none"/>
                <w:lang w:val="en-US" w:eastAsia="zh-CN" w:bidi="ar"/>
              </w:rPr>
              <w:t>1</w:t>
            </w:r>
            <w:r>
              <w:rPr>
                <w:rFonts w:hint="eastAsia" w:ascii="Times New Roman" w:hAnsi="Times New Roman" w:eastAsia="宋体" w:cs="宋体"/>
                <w:color w:val="auto"/>
                <w:kern w:val="0"/>
                <w:sz w:val="21"/>
                <w:szCs w:val="24"/>
                <w:highlight w:val="none"/>
                <w:lang w:val="en-US" w:eastAsia="zh-CN" w:bidi="ar"/>
              </w:rPr>
              <w:t>个雨水排放口</w:t>
            </w:r>
            <w:r>
              <w:rPr>
                <w:rFonts w:hint="eastAsia" w:cs="宋体"/>
                <w:color w:val="auto"/>
                <w:kern w:val="0"/>
                <w:sz w:val="21"/>
                <w:szCs w:val="24"/>
                <w:highlight w:val="none"/>
                <w:lang w:val="en-US" w:eastAsia="zh-CN" w:bidi="ar"/>
              </w:rPr>
              <w:t>、</w:t>
            </w:r>
            <w:r>
              <w:rPr>
                <w:rFonts w:hint="default" w:ascii="Times New Roman" w:hAnsi="Times New Roman" w:eastAsia="宋体" w:cs="Times New Roman"/>
                <w:color w:val="auto"/>
                <w:kern w:val="0"/>
                <w:sz w:val="21"/>
                <w:szCs w:val="24"/>
                <w:highlight w:val="none"/>
                <w:lang w:val="en-US" w:eastAsia="zh-CN" w:bidi="ar"/>
              </w:rPr>
              <w:t>1</w:t>
            </w:r>
            <w:r>
              <w:rPr>
                <w:rFonts w:hint="eastAsia" w:ascii="Times New Roman" w:hAnsi="Times New Roman" w:eastAsia="宋体" w:cs="宋体"/>
                <w:color w:val="auto"/>
                <w:kern w:val="0"/>
                <w:sz w:val="21"/>
                <w:szCs w:val="24"/>
                <w:highlight w:val="none"/>
                <w:lang w:val="en-US" w:eastAsia="zh-CN" w:bidi="ar"/>
              </w:rPr>
              <w:t>个</w:t>
            </w:r>
            <w:r>
              <w:rPr>
                <w:rFonts w:hint="eastAsia" w:cs="宋体"/>
                <w:color w:val="auto"/>
                <w:kern w:val="0"/>
                <w:sz w:val="21"/>
                <w:szCs w:val="24"/>
                <w:highlight w:val="none"/>
                <w:lang w:val="en-US" w:eastAsia="zh-CN" w:bidi="ar"/>
              </w:rPr>
              <w:t>污水总排放口</w:t>
            </w:r>
            <w:r>
              <w:rPr>
                <w:rFonts w:hint="eastAsia" w:ascii="Times New Roman" w:hAnsi="Times New Roman" w:eastAsia="宋体" w:cs="宋体"/>
                <w:color w:val="auto"/>
                <w:kern w:val="0"/>
                <w:sz w:val="21"/>
                <w:szCs w:val="24"/>
                <w:highlight w:val="none"/>
                <w:lang w:val="en-US" w:eastAsia="zh-CN" w:bidi="ar"/>
              </w:rPr>
              <w:t>。</w:t>
            </w:r>
            <w:r>
              <w:rPr>
                <w:rFonts w:hint="eastAsia" w:cs="宋体"/>
                <w:color w:val="auto"/>
                <w:kern w:val="0"/>
                <w:sz w:val="21"/>
                <w:szCs w:val="24"/>
                <w:highlight w:val="none"/>
                <w:lang w:val="en-US" w:eastAsia="zh-CN" w:bidi="ar"/>
              </w:rPr>
              <w:t>本项目不新增排放口。</w:t>
            </w:r>
          </w:p>
          <w:p w14:paraId="7F9C6B56">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②废气排放口</w:t>
            </w:r>
          </w:p>
          <w:p w14:paraId="5A94BB19">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有组织排放废气的排气筒高度应符合国家大气污染物排放标准的有关规定。达不到规定要求的，或对排放废气进一步处理，或对排气筒（烟囱）实施整治。排气筒（烟囱）应设置便于采样、监测的采样口和采样监测平台。有净化设施的，应在其进出口分别设置采样口。</w:t>
            </w:r>
          </w:p>
          <w:p w14:paraId="26A570F3">
            <w:pPr>
              <w:keepNext w:val="0"/>
              <w:keepLines w:val="0"/>
              <w:widowControl/>
              <w:suppressLineNumbers w:val="0"/>
              <w:spacing w:before="0" w:beforeAutospacing="0" w:after="0" w:afterAutospacing="0" w:line="360" w:lineRule="auto"/>
              <w:ind w:left="0" w:right="0" w:firstLine="420" w:firstLineChars="200"/>
              <w:jc w:val="left"/>
              <w:rPr>
                <w:rFonts w:hint="default"/>
                <w:color w:val="auto"/>
                <w:kern w:val="0"/>
                <w:highlight w:val="none"/>
                <w:lang w:val="en-US" w:bidi="ar"/>
              </w:rPr>
            </w:pPr>
            <w:r>
              <w:rPr>
                <w:rFonts w:hint="eastAsia" w:cs="宋体"/>
                <w:color w:val="auto"/>
                <w:kern w:val="0"/>
                <w:sz w:val="21"/>
                <w:szCs w:val="24"/>
                <w:highlight w:val="none"/>
                <w:lang w:val="en-US" w:eastAsia="zh-CN" w:bidi="ar"/>
              </w:rPr>
              <w:t>本</w:t>
            </w:r>
            <w:r>
              <w:rPr>
                <w:rFonts w:hint="eastAsia" w:ascii="Times New Roman" w:hAnsi="Times New Roman" w:eastAsia="宋体" w:cs="宋体"/>
                <w:color w:val="auto"/>
                <w:kern w:val="0"/>
                <w:sz w:val="21"/>
                <w:szCs w:val="24"/>
                <w:highlight w:val="none"/>
                <w:lang w:val="en-US" w:eastAsia="zh-CN" w:bidi="ar"/>
              </w:rPr>
              <w:t>项目</w:t>
            </w:r>
            <w:r>
              <w:rPr>
                <w:rFonts w:hint="eastAsia" w:cs="宋体"/>
                <w:color w:val="auto"/>
                <w:kern w:val="0"/>
                <w:sz w:val="21"/>
                <w:szCs w:val="24"/>
                <w:highlight w:val="none"/>
                <w:lang w:val="en-US" w:eastAsia="zh-CN" w:bidi="ar"/>
              </w:rPr>
              <w:t>新增</w:t>
            </w:r>
            <w:r>
              <w:rPr>
                <w:rFonts w:hint="eastAsia" w:ascii="Times New Roman" w:hAnsi="Times New Roman" w:eastAsia="宋体" w:cs="宋体"/>
                <w:color w:val="auto"/>
                <w:kern w:val="0"/>
                <w:sz w:val="21"/>
                <w:szCs w:val="24"/>
                <w:highlight w:val="none"/>
                <w:lang w:val="en-US" w:eastAsia="zh-CN" w:bidi="ar"/>
              </w:rPr>
              <w:t>排气筒</w:t>
            </w:r>
            <w:r>
              <w:rPr>
                <w:rFonts w:hint="eastAsia" w:cs="Times New Roman"/>
                <w:color w:val="auto"/>
                <w:kern w:val="0"/>
                <w:sz w:val="21"/>
                <w:szCs w:val="24"/>
                <w:highlight w:val="none"/>
                <w:lang w:val="en-US" w:eastAsia="zh-CN" w:bidi="ar"/>
              </w:rPr>
              <w:t>1</w:t>
            </w:r>
            <w:r>
              <w:rPr>
                <w:rFonts w:hint="eastAsia" w:ascii="Times New Roman" w:hAnsi="Times New Roman" w:eastAsia="宋体" w:cs="宋体"/>
                <w:color w:val="auto"/>
                <w:kern w:val="0"/>
                <w:sz w:val="21"/>
                <w:szCs w:val="24"/>
                <w:highlight w:val="none"/>
                <w:lang w:val="en-US" w:eastAsia="zh-CN" w:bidi="ar"/>
              </w:rPr>
              <w:t>个</w:t>
            </w:r>
            <w:r>
              <w:rPr>
                <w:rFonts w:hint="eastAsia" w:cs="宋体"/>
                <w:color w:val="auto"/>
                <w:kern w:val="0"/>
                <w:sz w:val="21"/>
                <w:szCs w:val="24"/>
                <w:highlight w:val="none"/>
                <w:lang w:val="en-US" w:eastAsia="zh-CN" w:bidi="ar"/>
              </w:rPr>
              <w:t>，现有项目5根排气筒</w:t>
            </w:r>
            <w:r>
              <w:rPr>
                <w:rFonts w:hint="eastAsia" w:ascii="Times New Roman" w:hAnsi="Times New Roman" w:eastAsia="宋体" w:cs="宋体"/>
                <w:color w:val="auto"/>
                <w:kern w:val="0"/>
                <w:sz w:val="21"/>
                <w:szCs w:val="24"/>
                <w:highlight w:val="none"/>
                <w:lang w:val="en-US" w:eastAsia="zh-CN" w:bidi="ar"/>
              </w:rPr>
              <w:t>。</w:t>
            </w:r>
            <w:r>
              <w:rPr>
                <w:rFonts w:hint="eastAsia" w:cs="宋体"/>
                <w:color w:val="auto"/>
                <w:kern w:val="0"/>
                <w:sz w:val="21"/>
                <w:szCs w:val="24"/>
                <w:highlight w:val="none"/>
                <w:lang w:val="en-US" w:eastAsia="zh-CN" w:bidi="ar"/>
              </w:rPr>
              <w:t>本项目建成后全厂共有6根排气筒。</w:t>
            </w:r>
          </w:p>
          <w:p w14:paraId="5B0C2D81">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③固定噪声排放源</w:t>
            </w:r>
          </w:p>
          <w:p w14:paraId="5039219E">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按规定对固定噪声源进行治理，并在边界噪声敏感点，且对外界影响最大处设置标志牌。</w:t>
            </w:r>
          </w:p>
          <w:p w14:paraId="2B9F1135">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④固废贮存场所</w:t>
            </w:r>
          </w:p>
          <w:p w14:paraId="28B19686">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各种固体废物处置设施、堆放场所必须有防火、防扬散、防流、防渗漏或者其它防止污染环境的措施，应在醒目处设置环境保护图形标志牌。</w:t>
            </w:r>
          </w:p>
          <w:p w14:paraId="18FECABA">
            <w:pPr>
              <w:keepNext w:val="0"/>
              <w:keepLines w:val="0"/>
              <w:widowControl/>
              <w:suppressLineNumbers w:val="0"/>
              <w:spacing w:before="0" w:beforeAutospacing="0" w:after="0" w:afterAutospacing="0" w:line="360" w:lineRule="auto"/>
              <w:ind w:left="0" w:right="0" w:firstLine="420" w:firstLineChars="200"/>
              <w:jc w:val="left"/>
              <w:rPr>
                <w:rFonts w:hint="default"/>
                <w:color w:val="auto"/>
                <w:kern w:val="0"/>
                <w:highlight w:val="none"/>
                <w:lang w:val="en-US" w:bidi="ar"/>
              </w:rPr>
            </w:pPr>
            <w:r>
              <w:rPr>
                <w:rFonts w:hint="eastAsia" w:cs="宋体"/>
                <w:color w:val="auto"/>
                <w:kern w:val="0"/>
                <w:sz w:val="21"/>
                <w:szCs w:val="24"/>
                <w:highlight w:val="none"/>
                <w:lang w:val="en-US" w:eastAsia="zh-CN" w:bidi="ar"/>
              </w:rPr>
              <w:t>全厂</w:t>
            </w:r>
            <w:r>
              <w:rPr>
                <w:rFonts w:hint="eastAsia" w:ascii="Times New Roman" w:hAnsi="Times New Roman" w:eastAsia="宋体" w:cs="宋体"/>
                <w:color w:val="auto"/>
                <w:kern w:val="0"/>
                <w:sz w:val="21"/>
                <w:szCs w:val="24"/>
                <w:highlight w:val="none"/>
                <w:lang w:val="en-US" w:eastAsia="zh-CN" w:bidi="ar"/>
              </w:rPr>
              <w:t>共有</w:t>
            </w:r>
            <w:r>
              <w:rPr>
                <w:rFonts w:hint="default" w:ascii="Times New Roman" w:hAnsi="Times New Roman" w:eastAsia="宋体" w:cs="Times New Roman"/>
                <w:color w:val="auto"/>
                <w:kern w:val="0"/>
                <w:sz w:val="21"/>
                <w:szCs w:val="24"/>
                <w:highlight w:val="none"/>
                <w:lang w:val="en-US" w:eastAsia="zh-CN" w:bidi="ar"/>
              </w:rPr>
              <w:t>1</w:t>
            </w:r>
            <w:r>
              <w:rPr>
                <w:rFonts w:hint="eastAsia" w:ascii="Times New Roman" w:hAnsi="Times New Roman" w:eastAsia="宋体" w:cs="宋体"/>
                <w:color w:val="auto"/>
                <w:kern w:val="0"/>
                <w:sz w:val="21"/>
                <w:szCs w:val="24"/>
                <w:highlight w:val="none"/>
                <w:lang w:val="en-US" w:eastAsia="zh-CN" w:bidi="ar"/>
              </w:rPr>
              <w:t>个一般固废暂存库和</w:t>
            </w:r>
            <w:r>
              <w:rPr>
                <w:rFonts w:hint="default" w:ascii="Times New Roman" w:hAnsi="Times New Roman" w:eastAsia="宋体" w:cs="Times New Roman"/>
                <w:color w:val="auto"/>
                <w:kern w:val="0"/>
                <w:sz w:val="21"/>
                <w:szCs w:val="24"/>
                <w:highlight w:val="none"/>
                <w:lang w:val="en-US" w:eastAsia="zh-CN" w:bidi="ar"/>
              </w:rPr>
              <w:t>1</w:t>
            </w:r>
            <w:r>
              <w:rPr>
                <w:rFonts w:hint="eastAsia" w:ascii="Times New Roman" w:hAnsi="Times New Roman" w:eastAsia="宋体" w:cs="宋体"/>
                <w:color w:val="auto"/>
                <w:kern w:val="0"/>
                <w:sz w:val="21"/>
                <w:szCs w:val="24"/>
                <w:highlight w:val="none"/>
                <w:lang w:val="en-US" w:eastAsia="zh-CN" w:bidi="ar"/>
              </w:rPr>
              <w:t>个危废暂存库</w:t>
            </w:r>
            <w:r>
              <w:rPr>
                <w:rFonts w:hint="eastAsia" w:cs="宋体"/>
                <w:color w:val="auto"/>
                <w:kern w:val="0"/>
                <w:sz w:val="21"/>
                <w:szCs w:val="24"/>
                <w:highlight w:val="none"/>
                <w:lang w:val="en-US" w:eastAsia="zh-CN" w:bidi="ar"/>
              </w:rPr>
              <w:t>，本项目依托现有。</w:t>
            </w:r>
          </w:p>
          <w:p w14:paraId="57B7F959">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⑤设置标志牌要求</w:t>
            </w:r>
          </w:p>
          <w:p w14:paraId="5208ECE6">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排放一般污染物口（源），设置提示式标志牌，排放有毒有害等污染物的排污口设置警告标志牌。</w:t>
            </w:r>
          </w:p>
          <w:p w14:paraId="1D18CF36">
            <w:pPr>
              <w:keepNext w:val="0"/>
              <w:keepLines w:val="0"/>
              <w:widowControl/>
              <w:suppressLineNumbers w:val="0"/>
              <w:spacing w:before="0" w:beforeAutospacing="0" w:after="0" w:afterAutospacing="0" w:line="360" w:lineRule="auto"/>
              <w:ind w:left="0" w:right="0" w:firstLine="420" w:firstLineChars="200"/>
              <w:jc w:val="left"/>
              <w:rPr>
                <w:color w:val="auto"/>
                <w:kern w:val="0"/>
                <w:highlight w:val="none"/>
                <w:lang w:val="en-US" w:bidi="ar"/>
              </w:rPr>
            </w:pPr>
            <w:r>
              <w:rPr>
                <w:rFonts w:hint="eastAsia" w:ascii="Times New Roman" w:hAnsi="Times New Roman" w:eastAsia="宋体" w:cs="宋体"/>
                <w:color w:val="auto"/>
                <w:kern w:val="0"/>
                <w:sz w:val="21"/>
                <w:szCs w:val="24"/>
                <w:highlight w:val="none"/>
                <w:lang w:val="en-US" w:eastAsia="zh-CN" w:bidi="ar"/>
              </w:rPr>
              <w:t>规范化排污口的有关设置（如图形标志牌、计量装置、监控装置等）属环保设施，排污单位必须负责日常的维护保养，任何单位和个人不得擅自拆除。</w:t>
            </w:r>
          </w:p>
          <w:p w14:paraId="7C1B00E7">
            <w:pPr>
              <w:keepNext w:val="0"/>
              <w:keepLines w:val="0"/>
              <w:widowControl w:val="0"/>
              <w:suppressLineNumbers w:val="0"/>
              <w:spacing w:before="0" w:beforeAutospacing="0" w:after="0" w:afterAutospacing="0" w:line="360" w:lineRule="auto"/>
              <w:ind w:left="0" w:right="0" w:firstLine="420" w:firstLineChars="200"/>
              <w:jc w:val="left"/>
              <w:rPr>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排口图形标志见表</w:t>
            </w:r>
            <w:r>
              <w:rPr>
                <w:rFonts w:hint="default" w:ascii="Times New Roman" w:hAnsi="Times New Roman" w:eastAsia="宋体" w:cs="Times New Roman"/>
                <w:color w:val="auto"/>
                <w:kern w:val="2"/>
                <w:sz w:val="21"/>
                <w:szCs w:val="21"/>
                <w:highlight w:val="none"/>
                <w:lang w:val="en-US" w:eastAsia="zh-CN" w:bidi="ar"/>
              </w:rPr>
              <w:t>4-</w:t>
            </w:r>
            <w:r>
              <w:rPr>
                <w:rFonts w:hint="eastAsia" w:cs="Times New Roman"/>
                <w:color w:val="auto"/>
                <w:kern w:val="2"/>
                <w:sz w:val="21"/>
                <w:szCs w:val="21"/>
                <w:highlight w:val="none"/>
                <w:lang w:val="en-US" w:eastAsia="zh-CN" w:bidi="ar"/>
              </w:rPr>
              <w:t>41</w:t>
            </w:r>
            <w:r>
              <w:rPr>
                <w:rFonts w:hint="eastAsia" w:ascii="Times New Roman" w:hAnsi="Times New Roman" w:eastAsia="宋体" w:cs="宋体"/>
                <w:color w:val="auto"/>
                <w:kern w:val="2"/>
                <w:sz w:val="21"/>
                <w:szCs w:val="21"/>
                <w:highlight w:val="none"/>
                <w:lang w:val="en-US" w:eastAsia="zh-CN" w:bidi="ar"/>
              </w:rPr>
              <w:t>。</w:t>
            </w:r>
          </w:p>
          <w:p w14:paraId="12AD1805">
            <w:pPr>
              <w:pStyle w:val="25"/>
              <w:keepNext w:val="0"/>
              <w:keepLines w:val="0"/>
              <w:widowControl w:val="0"/>
              <w:suppressLineNumbers w:val="0"/>
              <w:spacing w:before="120" w:beforeLines="50" w:beforeAutospacing="0" w:after="0" w:afterAutospacing="0"/>
              <w:ind w:left="0" w:right="0"/>
              <w:jc w:val="center"/>
              <w:rPr>
                <w:color w:val="auto"/>
                <w:highlight w:val="none"/>
                <w:lang w:val="en-US"/>
              </w:rPr>
            </w:pPr>
            <w:r>
              <w:rPr>
                <w:rFonts w:hint="eastAsia" w:ascii="Times New Roman" w:hAnsi="Times New Roman" w:eastAsia="宋体" w:cs="宋体"/>
                <w:b/>
                <w:bCs w:val="0"/>
                <w:color w:val="auto"/>
                <w:kern w:val="2"/>
                <w:sz w:val="21"/>
                <w:szCs w:val="24"/>
                <w:highlight w:val="none"/>
                <w:lang w:val="en-US" w:eastAsia="zh-CN" w:bidi="ar"/>
              </w:rPr>
              <w:t>表</w:t>
            </w:r>
            <w:r>
              <w:rPr>
                <w:rFonts w:hint="default" w:ascii="Times New Roman" w:hAnsi="Times New Roman" w:eastAsia="宋体" w:cs="Times New Roman"/>
                <w:b/>
                <w:bCs w:val="0"/>
                <w:color w:val="auto"/>
                <w:kern w:val="2"/>
                <w:sz w:val="21"/>
                <w:szCs w:val="24"/>
                <w:highlight w:val="none"/>
                <w:lang w:val="en-US" w:eastAsia="zh-CN" w:bidi="ar"/>
              </w:rPr>
              <w:t>4-</w:t>
            </w:r>
            <w:r>
              <w:rPr>
                <w:rFonts w:hint="eastAsia" w:ascii="Times New Roman" w:hAnsi="Times New Roman" w:cs="Times New Roman"/>
                <w:b/>
                <w:bCs w:val="0"/>
                <w:color w:val="auto"/>
                <w:kern w:val="2"/>
                <w:sz w:val="21"/>
                <w:szCs w:val="24"/>
                <w:highlight w:val="none"/>
                <w:lang w:val="en-US" w:eastAsia="zh-CN" w:bidi="ar"/>
              </w:rPr>
              <w:t>41</w:t>
            </w:r>
            <w:r>
              <w:rPr>
                <w:rFonts w:hint="default" w:ascii="Times New Roman" w:hAnsi="Times New Roman" w:eastAsia="宋体" w:cs="Times New Roman"/>
                <w:b/>
                <w:bCs w:val="0"/>
                <w:color w:val="auto"/>
                <w:kern w:val="2"/>
                <w:sz w:val="21"/>
                <w:szCs w:val="24"/>
                <w:highlight w:val="none"/>
                <w:lang w:val="en-US" w:eastAsia="zh-CN" w:bidi="ar"/>
              </w:rPr>
              <w:t xml:space="preserve"> </w:t>
            </w:r>
            <w:r>
              <w:rPr>
                <w:rFonts w:hint="eastAsia" w:ascii="Times New Roman" w:hAnsi="Times New Roman" w:eastAsia="宋体" w:cs="宋体"/>
                <w:b/>
                <w:bCs w:val="0"/>
                <w:color w:val="auto"/>
                <w:kern w:val="2"/>
                <w:sz w:val="21"/>
                <w:szCs w:val="24"/>
                <w:highlight w:val="none"/>
                <w:lang w:val="en-US" w:eastAsia="zh-CN" w:bidi="ar"/>
              </w:rPr>
              <w:t>各排污口环境保护图形标识</w:t>
            </w:r>
          </w:p>
          <w:tbl>
            <w:tblPr>
              <w:tblStyle w:val="30"/>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07"/>
              <w:gridCol w:w="1161"/>
              <w:gridCol w:w="1450"/>
              <w:gridCol w:w="1744"/>
              <w:gridCol w:w="2652"/>
            </w:tblGrid>
            <w:tr w14:paraId="474D9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1" w:hRule="atLeast"/>
                <w:jc w:val="center"/>
              </w:trPr>
              <w:tc>
                <w:tcPr>
                  <w:tcW w:w="786" w:type="pct"/>
                  <w:tcBorders>
                    <w:tl2br w:val="nil"/>
                    <w:tr2bl w:val="nil"/>
                  </w:tcBorders>
                  <w:shd w:val="clear" w:color="auto" w:fill="auto"/>
                  <w:vAlign w:val="center"/>
                </w:tcPr>
                <w:p w14:paraId="3C44DE82">
                  <w:pPr>
                    <w:pStyle w:val="25"/>
                    <w:keepNext w:val="0"/>
                    <w:keepLines w:val="0"/>
                    <w:widowControl w:val="0"/>
                    <w:suppressLineNumbers w:val="0"/>
                    <w:spacing w:before="0" w:beforeAutospacing="0" w:after="0" w:afterAutospacing="0"/>
                    <w:ind w:left="0" w:right="0"/>
                    <w:jc w:val="center"/>
                    <w:rPr>
                      <w:color w:val="auto"/>
                      <w:highlight w:val="none"/>
                      <w:lang w:val="en-US"/>
                    </w:rPr>
                  </w:pPr>
                  <w:r>
                    <w:rPr>
                      <w:rFonts w:hint="eastAsia" w:ascii="Times New Roman" w:hAnsi="Times New Roman" w:eastAsia="宋体" w:cs="宋体"/>
                      <w:b/>
                      <w:bCs w:val="0"/>
                      <w:color w:val="auto"/>
                      <w:kern w:val="2"/>
                      <w:sz w:val="21"/>
                      <w:szCs w:val="24"/>
                      <w:highlight w:val="none"/>
                      <w:lang w:val="en-US" w:eastAsia="zh-CN" w:bidi="ar"/>
                    </w:rPr>
                    <w:t>排放口名称</w:t>
                  </w:r>
                </w:p>
              </w:tc>
              <w:tc>
                <w:tcPr>
                  <w:tcW w:w="698" w:type="pct"/>
                  <w:tcBorders>
                    <w:tl2br w:val="nil"/>
                    <w:tr2bl w:val="nil"/>
                  </w:tcBorders>
                  <w:shd w:val="clear" w:color="auto" w:fill="auto"/>
                  <w:vAlign w:val="center"/>
                </w:tcPr>
                <w:p w14:paraId="2FE403BE">
                  <w:pPr>
                    <w:pStyle w:val="25"/>
                    <w:keepNext w:val="0"/>
                    <w:keepLines w:val="0"/>
                    <w:widowControl w:val="0"/>
                    <w:suppressLineNumbers w:val="0"/>
                    <w:spacing w:before="0" w:beforeAutospacing="0" w:after="0" w:afterAutospacing="0"/>
                    <w:ind w:left="0" w:right="0"/>
                    <w:jc w:val="center"/>
                    <w:rPr>
                      <w:color w:val="auto"/>
                      <w:highlight w:val="none"/>
                      <w:lang w:val="en-US"/>
                    </w:rPr>
                  </w:pPr>
                  <w:r>
                    <w:rPr>
                      <w:rFonts w:hint="eastAsia" w:ascii="Times New Roman" w:hAnsi="Times New Roman" w:eastAsia="宋体" w:cs="宋体"/>
                      <w:b/>
                      <w:bCs w:val="0"/>
                      <w:color w:val="auto"/>
                      <w:kern w:val="2"/>
                      <w:sz w:val="21"/>
                      <w:szCs w:val="24"/>
                      <w:highlight w:val="none"/>
                      <w:lang w:val="en-US" w:eastAsia="zh-CN" w:bidi="ar"/>
                    </w:rPr>
                    <w:t>图形标志</w:t>
                  </w:r>
                </w:p>
              </w:tc>
              <w:tc>
                <w:tcPr>
                  <w:tcW w:w="871" w:type="pct"/>
                  <w:tcBorders>
                    <w:tl2br w:val="nil"/>
                    <w:tr2bl w:val="nil"/>
                  </w:tcBorders>
                  <w:shd w:val="clear" w:color="auto" w:fill="auto"/>
                  <w:vAlign w:val="center"/>
                </w:tcPr>
                <w:p w14:paraId="1EB503C0">
                  <w:pPr>
                    <w:pStyle w:val="25"/>
                    <w:keepNext w:val="0"/>
                    <w:keepLines w:val="0"/>
                    <w:widowControl w:val="0"/>
                    <w:suppressLineNumbers w:val="0"/>
                    <w:spacing w:before="0" w:beforeAutospacing="0" w:after="0" w:afterAutospacing="0"/>
                    <w:ind w:left="0" w:right="0"/>
                    <w:jc w:val="center"/>
                    <w:rPr>
                      <w:color w:val="auto"/>
                      <w:highlight w:val="none"/>
                      <w:lang w:val="en-US"/>
                    </w:rPr>
                  </w:pPr>
                  <w:r>
                    <w:rPr>
                      <w:rFonts w:hint="eastAsia" w:ascii="Times New Roman" w:hAnsi="Times New Roman" w:eastAsia="宋体" w:cs="宋体"/>
                      <w:b/>
                      <w:bCs w:val="0"/>
                      <w:color w:val="auto"/>
                      <w:kern w:val="2"/>
                      <w:sz w:val="21"/>
                      <w:szCs w:val="24"/>
                      <w:highlight w:val="none"/>
                      <w:lang w:val="en-US" w:eastAsia="zh-CN" w:bidi="ar"/>
                    </w:rPr>
                    <w:t>背景颜色</w:t>
                  </w:r>
                </w:p>
              </w:tc>
              <w:tc>
                <w:tcPr>
                  <w:tcW w:w="1049" w:type="pct"/>
                  <w:tcBorders>
                    <w:tl2br w:val="nil"/>
                    <w:tr2bl w:val="nil"/>
                  </w:tcBorders>
                  <w:shd w:val="clear" w:color="auto" w:fill="auto"/>
                  <w:vAlign w:val="center"/>
                </w:tcPr>
                <w:p w14:paraId="25DA90CF">
                  <w:pPr>
                    <w:pStyle w:val="25"/>
                    <w:keepNext w:val="0"/>
                    <w:keepLines w:val="0"/>
                    <w:widowControl w:val="0"/>
                    <w:suppressLineNumbers w:val="0"/>
                    <w:spacing w:before="0" w:beforeAutospacing="0" w:after="0" w:afterAutospacing="0"/>
                    <w:ind w:left="0" w:right="0"/>
                    <w:jc w:val="center"/>
                    <w:rPr>
                      <w:color w:val="auto"/>
                      <w:highlight w:val="none"/>
                      <w:lang w:val="en-US"/>
                    </w:rPr>
                  </w:pPr>
                  <w:r>
                    <w:rPr>
                      <w:rFonts w:hint="eastAsia" w:ascii="Times New Roman" w:hAnsi="Times New Roman" w:eastAsia="宋体" w:cs="宋体"/>
                      <w:b/>
                      <w:bCs w:val="0"/>
                      <w:color w:val="auto"/>
                      <w:kern w:val="2"/>
                      <w:sz w:val="21"/>
                      <w:szCs w:val="24"/>
                      <w:highlight w:val="none"/>
                      <w:lang w:val="en-US" w:eastAsia="zh-CN" w:bidi="ar"/>
                    </w:rPr>
                    <w:t>图形颜色</w:t>
                  </w:r>
                </w:p>
              </w:tc>
              <w:tc>
                <w:tcPr>
                  <w:tcW w:w="1592" w:type="pct"/>
                  <w:tcBorders>
                    <w:tl2br w:val="nil"/>
                    <w:tr2bl w:val="nil"/>
                  </w:tcBorders>
                  <w:shd w:val="clear" w:color="auto" w:fill="auto"/>
                  <w:vAlign w:val="center"/>
                </w:tcPr>
                <w:p w14:paraId="4D2A6BC9">
                  <w:pPr>
                    <w:pStyle w:val="25"/>
                    <w:keepNext w:val="0"/>
                    <w:keepLines w:val="0"/>
                    <w:widowControl w:val="0"/>
                    <w:suppressLineNumbers w:val="0"/>
                    <w:spacing w:before="0" w:beforeAutospacing="0" w:after="0" w:afterAutospacing="0"/>
                    <w:ind w:left="0" w:right="0"/>
                    <w:jc w:val="center"/>
                    <w:rPr>
                      <w:color w:val="auto"/>
                      <w:highlight w:val="none"/>
                      <w:lang w:val="en-US"/>
                    </w:rPr>
                  </w:pPr>
                  <w:r>
                    <w:rPr>
                      <w:rFonts w:hint="eastAsia" w:ascii="Times New Roman" w:hAnsi="Times New Roman" w:eastAsia="宋体" w:cs="宋体"/>
                      <w:b/>
                      <w:bCs w:val="0"/>
                      <w:color w:val="auto"/>
                      <w:kern w:val="2"/>
                      <w:sz w:val="21"/>
                      <w:szCs w:val="24"/>
                      <w:highlight w:val="none"/>
                      <w:lang w:val="en-US" w:eastAsia="zh-CN" w:bidi="ar"/>
                    </w:rPr>
                    <w:t>图形符号</w:t>
                  </w:r>
                </w:p>
              </w:tc>
            </w:tr>
            <w:tr w14:paraId="1E413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pct"/>
                  <w:tcBorders>
                    <w:tl2br w:val="nil"/>
                    <w:tr2bl w:val="nil"/>
                  </w:tcBorders>
                  <w:shd w:val="clear" w:color="auto" w:fill="auto"/>
                  <w:vAlign w:val="center"/>
                </w:tcPr>
                <w:p w14:paraId="0E1ADB39">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污水排口</w:t>
                  </w:r>
                </w:p>
              </w:tc>
              <w:tc>
                <w:tcPr>
                  <w:tcW w:w="698" w:type="pct"/>
                  <w:tcBorders>
                    <w:tl2br w:val="nil"/>
                    <w:tr2bl w:val="nil"/>
                  </w:tcBorders>
                  <w:shd w:val="clear" w:color="auto" w:fill="auto"/>
                  <w:vAlign w:val="center"/>
                </w:tcPr>
                <w:p w14:paraId="13F36270">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提示标志</w:t>
                  </w:r>
                </w:p>
              </w:tc>
              <w:tc>
                <w:tcPr>
                  <w:tcW w:w="871" w:type="pct"/>
                  <w:tcBorders>
                    <w:tl2br w:val="nil"/>
                    <w:tr2bl w:val="nil"/>
                  </w:tcBorders>
                  <w:shd w:val="clear" w:color="auto" w:fill="auto"/>
                  <w:vAlign w:val="center"/>
                </w:tcPr>
                <w:p w14:paraId="4515EB51">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绿色</w:t>
                  </w:r>
                </w:p>
              </w:tc>
              <w:tc>
                <w:tcPr>
                  <w:tcW w:w="1049" w:type="pct"/>
                  <w:tcBorders>
                    <w:tl2br w:val="nil"/>
                    <w:tr2bl w:val="nil"/>
                  </w:tcBorders>
                  <w:shd w:val="clear" w:color="auto" w:fill="auto"/>
                  <w:vAlign w:val="center"/>
                </w:tcPr>
                <w:p w14:paraId="72B2456D">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白色</w:t>
                  </w:r>
                </w:p>
              </w:tc>
              <w:tc>
                <w:tcPr>
                  <w:tcW w:w="1592" w:type="pct"/>
                  <w:tcBorders>
                    <w:tl2br w:val="nil"/>
                    <w:tr2bl w:val="nil"/>
                  </w:tcBorders>
                  <w:shd w:val="clear" w:color="auto" w:fill="auto"/>
                  <w:vAlign w:val="center"/>
                </w:tcPr>
                <w:p w14:paraId="393014AB">
                  <w:pPr>
                    <w:pStyle w:val="122"/>
                    <w:widowControl/>
                    <w:spacing w:before="120" w:beforeLines="50" w:beforeAutospacing="0" w:after="0" w:afterAutospacing="0"/>
                    <w:ind w:left="0" w:right="0"/>
                    <w:rPr>
                      <w:color w:val="auto"/>
                      <w:highlight w:val="none"/>
                      <w:lang w:val="en-US"/>
                    </w:rPr>
                  </w:pPr>
                  <w:r>
                    <w:rPr>
                      <w:color w:val="auto"/>
                      <w:highlight w:val="none"/>
                      <w:lang w:val="en-US"/>
                    </w:rPr>
                    <w:drawing>
                      <wp:inline distT="0" distB="0" distL="114300" distR="114300">
                        <wp:extent cx="723900" cy="723900"/>
                        <wp:effectExtent l="0" t="0" r="0" b="0"/>
                        <wp:docPr id="88"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0"/>
                                <pic:cNvPicPr>
                                  <a:picLocks noChangeAspect="1"/>
                                </pic:cNvPicPr>
                              </pic:nvPicPr>
                              <pic:blipFill>
                                <a:blip r:embed="rId41"/>
                                <a:stretch>
                                  <a:fillRect/>
                                </a:stretch>
                              </pic:blipFill>
                              <pic:spPr>
                                <a:xfrm>
                                  <a:off x="0" y="0"/>
                                  <a:ext cx="723900" cy="723900"/>
                                </a:xfrm>
                                <a:prstGeom prst="rect">
                                  <a:avLst/>
                                </a:prstGeom>
                                <a:noFill/>
                                <a:ln>
                                  <a:noFill/>
                                </a:ln>
                              </pic:spPr>
                            </pic:pic>
                          </a:graphicData>
                        </a:graphic>
                      </wp:inline>
                    </w:drawing>
                  </w:r>
                </w:p>
              </w:tc>
            </w:tr>
            <w:tr w14:paraId="332AF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7" w:hRule="atLeast"/>
                <w:jc w:val="center"/>
              </w:trPr>
              <w:tc>
                <w:tcPr>
                  <w:tcW w:w="786" w:type="pct"/>
                  <w:tcBorders>
                    <w:tl2br w:val="nil"/>
                    <w:tr2bl w:val="nil"/>
                  </w:tcBorders>
                  <w:shd w:val="clear" w:color="auto" w:fill="auto"/>
                  <w:vAlign w:val="center"/>
                </w:tcPr>
                <w:p w14:paraId="36BCCC5C">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雨水排口</w:t>
                  </w:r>
                </w:p>
              </w:tc>
              <w:tc>
                <w:tcPr>
                  <w:tcW w:w="698" w:type="pct"/>
                  <w:tcBorders>
                    <w:tl2br w:val="nil"/>
                    <w:tr2bl w:val="nil"/>
                  </w:tcBorders>
                  <w:shd w:val="clear" w:color="auto" w:fill="auto"/>
                  <w:vAlign w:val="center"/>
                </w:tcPr>
                <w:p w14:paraId="69174E46">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提示标志</w:t>
                  </w:r>
                </w:p>
              </w:tc>
              <w:tc>
                <w:tcPr>
                  <w:tcW w:w="871" w:type="pct"/>
                  <w:tcBorders>
                    <w:tl2br w:val="nil"/>
                    <w:tr2bl w:val="nil"/>
                  </w:tcBorders>
                  <w:shd w:val="clear" w:color="auto" w:fill="auto"/>
                  <w:vAlign w:val="center"/>
                </w:tcPr>
                <w:p w14:paraId="1542BFC9">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绿色</w:t>
                  </w:r>
                </w:p>
              </w:tc>
              <w:tc>
                <w:tcPr>
                  <w:tcW w:w="1049" w:type="pct"/>
                  <w:tcBorders>
                    <w:tl2br w:val="nil"/>
                    <w:tr2bl w:val="nil"/>
                  </w:tcBorders>
                  <w:shd w:val="clear" w:color="auto" w:fill="auto"/>
                  <w:vAlign w:val="center"/>
                </w:tcPr>
                <w:p w14:paraId="5BBE6F0C">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白色</w:t>
                  </w:r>
                </w:p>
              </w:tc>
              <w:tc>
                <w:tcPr>
                  <w:tcW w:w="1592" w:type="pct"/>
                  <w:tcBorders>
                    <w:tl2br w:val="nil"/>
                    <w:tr2bl w:val="nil"/>
                  </w:tcBorders>
                  <w:shd w:val="clear" w:color="auto" w:fill="auto"/>
                  <w:vAlign w:val="center"/>
                </w:tcPr>
                <w:p w14:paraId="2A1DD36D">
                  <w:pPr>
                    <w:pStyle w:val="122"/>
                    <w:widowControl/>
                    <w:spacing w:before="120" w:beforeLines="50" w:beforeAutospacing="0" w:after="0" w:afterAutospacing="0"/>
                    <w:ind w:left="0" w:right="0"/>
                    <w:rPr>
                      <w:color w:val="auto"/>
                      <w:highlight w:val="none"/>
                      <w:lang w:val="en-US"/>
                    </w:rPr>
                  </w:pPr>
                  <w:r>
                    <w:rPr>
                      <w:color w:val="auto"/>
                      <w:highlight w:val="none"/>
                      <w:lang w:val="en-US"/>
                    </w:rPr>
                    <w:drawing>
                      <wp:inline distT="0" distB="0" distL="114300" distR="114300">
                        <wp:extent cx="695325" cy="723900"/>
                        <wp:effectExtent l="0" t="0" r="9525" b="0"/>
                        <wp:docPr id="8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92"/>
                                <pic:cNvPicPr>
                                  <a:picLocks noChangeAspect="1"/>
                                </pic:cNvPicPr>
                              </pic:nvPicPr>
                              <pic:blipFill>
                                <a:blip r:embed="rId42"/>
                                <a:stretch>
                                  <a:fillRect/>
                                </a:stretch>
                              </pic:blipFill>
                              <pic:spPr>
                                <a:xfrm>
                                  <a:off x="0" y="0"/>
                                  <a:ext cx="695325" cy="723900"/>
                                </a:xfrm>
                                <a:prstGeom prst="rect">
                                  <a:avLst/>
                                </a:prstGeom>
                                <a:noFill/>
                                <a:ln>
                                  <a:noFill/>
                                </a:ln>
                              </pic:spPr>
                            </pic:pic>
                          </a:graphicData>
                        </a:graphic>
                      </wp:inline>
                    </w:drawing>
                  </w:r>
                </w:p>
              </w:tc>
            </w:tr>
            <w:tr w14:paraId="4E095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2" w:hRule="atLeast"/>
                <w:jc w:val="center"/>
              </w:trPr>
              <w:tc>
                <w:tcPr>
                  <w:tcW w:w="786" w:type="pct"/>
                  <w:tcBorders>
                    <w:tl2br w:val="nil"/>
                    <w:tr2bl w:val="nil"/>
                  </w:tcBorders>
                  <w:shd w:val="clear" w:color="auto" w:fill="auto"/>
                  <w:vAlign w:val="center"/>
                </w:tcPr>
                <w:p w14:paraId="6F97001A">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废气排口</w:t>
                  </w:r>
                </w:p>
              </w:tc>
              <w:tc>
                <w:tcPr>
                  <w:tcW w:w="698" w:type="pct"/>
                  <w:tcBorders>
                    <w:tl2br w:val="nil"/>
                    <w:tr2bl w:val="nil"/>
                  </w:tcBorders>
                  <w:shd w:val="clear" w:color="auto" w:fill="auto"/>
                  <w:vAlign w:val="center"/>
                </w:tcPr>
                <w:p w14:paraId="2CB4DEAD">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提示标志</w:t>
                  </w:r>
                </w:p>
              </w:tc>
              <w:tc>
                <w:tcPr>
                  <w:tcW w:w="871" w:type="pct"/>
                  <w:tcBorders>
                    <w:tl2br w:val="nil"/>
                    <w:tr2bl w:val="nil"/>
                  </w:tcBorders>
                  <w:shd w:val="clear" w:color="auto" w:fill="auto"/>
                  <w:vAlign w:val="center"/>
                </w:tcPr>
                <w:p w14:paraId="0EFD0A55">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绿色</w:t>
                  </w:r>
                </w:p>
              </w:tc>
              <w:tc>
                <w:tcPr>
                  <w:tcW w:w="1049" w:type="pct"/>
                  <w:tcBorders>
                    <w:tl2br w:val="nil"/>
                    <w:tr2bl w:val="nil"/>
                  </w:tcBorders>
                  <w:shd w:val="clear" w:color="auto" w:fill="auto"/>
                  <w:vAlign w:val="center"/>
                </w:tcPr>
                <w:p w14:paraId="53D01683">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白色</w:t>
                  </w:r>
                </w:p>
              </w:tc>
              <w:tc>
                <w:tcPr>
                  <w:tcW w:w="1592" w:type="pct"/>
                  <w:tcBorders>
                    <w:tl2br w:val="nil"/>
                    <w:tr2bl w:val="nil"/>
                  </w:tcBorders>
                  <w:shd w:val="clear" w:color="auto" w:fill="auto"/>
                  <w:vAlign w:val="center"/>
                </w:tcPr>
                <w:p w14:paraId="543993D1">
                  <w:pPr>
                    <w:pStyle w:val="122"/>
                    <w:widowControl/>
                    <w:spacing w:before="120" w:beforeLines="50" w:beforeAutospacing="0" w:after="0" w:afterAutospacing="0"/>
                    <w:ind w:left="0" w:right="0"/>
                    <w:rPr>
                      <w:color w:val="auto"/>
                      <w:highlight w:val="none"/>
                      <w:lang w:val="en-US"/>
                    </w:rPr>
                  </w:pPr>
                  <w:r>
                    <w:rPr>
                      <w:color w:val="auto"/>
                      <w:highlight w:val="none"/>
                      <w:lang w:val="en-US"/>
                    </w:rPr>
                    <w:drawing>
                      <wp:inline distT="0" distB="0" distL="114300" distR="114300">
                        <wp:extent cx="657225" cy="723900"/>
                        <wp:effectExtent l="0" t="0" r="9525" b="0"/>
                        <wp:docPr id="87"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3"/>
                                <pic:cNvPicPr>
                                  <a:picLocks noChangeAspect="1"/>
                                </pic:cNvPicPr>
                              </pic:nvPicPr>
                              <pic:blipFill>
                                <a:blip r:embed="rId43"/>
                                <a:stretch>
                                  <a:fillRect/>
                                </a:stretch>
                              </pic:blipFill>
                              <pic:spPr>
                                <a:xfrm>
                                  <a:off x="0" y="0"/>
                                  <a:ext cx="657225" cy="723900"/>
                                </a:xfrm>
                                <a:prstGeom prst="rect">
                                  <a:avLst/>
                                </a:prstGeom>
                                <a:noFill/>
                                <a:ln>
                                  <a:noFill/>
                                </a:ln>
                              </pic:spPr>
                            </pic:pic>
                          </a:graphicData>
                        </a:graphic>
                      </wp:inline>
                    </w:drawing>
                  </w:r>
                </w:p>
              </w:tc>
            </w:tr>
            <w:tr w14:paraId="0C289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86" w:type="pct"/>
                  <w:tcBorders>
                    <w:tl2br w:val="nil"/>
                    <w:tr2bl w:val="nil"/>
                  </w:tcBorders>
                  <w:shd w:val="clear" w:color="auto" w:fill="auto"/>
                  <w:vAlign w:val="center"/>
                </w:tcPr>
                <w:p w14:paraId="66DF7D85">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噪声源</w:t>
                  </w:r>
                </w:p>
              </w:tc>
              <w:tc>
                <w:tcPr>
                  <w:tcW w:w="698" w:type="pct"/>
                  <w:tcBorders>
                    <w:tl2br w:val="nil"/>
                    <w:tr2bl w:val="nil"/>
                  </w:tcBorders>
                  <w:shd w:val="clear" w:color="auto" w:fill="auto"/>
                  <w:vAlign w:val="center"/>
                </w:tcPr>
                <w:p w14:paraId="409565A9">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提示标志</w:t>
                  </w:r>
                </w:p>
              </w:tc>
              <w:tc>
                <w:tcPr>
                  <w:tcW w:w="871" w:type="pct"/>
                  <w:tcBorders>
                    <w:tl2br w:val="nil"/>
                    <w:tr2bl w:val="nil"/>
                  </w:tcBorders>
                  <w:shd w:val="clear" w:color="auto" w:fill="auto"/>
                  <w:vAlign w:val="center"/>
                </w:tcPr>
                <w:p w14:paraId="53A1FF4B">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绿色</w:t>
                  </w:r>
                </w:p>
              </w:tc>
              <w:tc>
                <w:tcPr>
                  <w:tcW w:w="1049" w:type="pct"/>
                  <w:tcBorders>
                    <w:tl2br w:val="nil"/>
                    <w:tr2bl w:val="nil"/>
                  </w:tcBorders>
                  <w:shd w:val="clear" w:color="auto" w:fill="auto"/>
                  <w:vAlign w:val="center"/>
                </w:tcPr>
                <w:p w14:paraId="43218454">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白色</w:t>
                  </w:r>
                </w:p>
              </w:tc>
              <w:tc>
                <w:tcPr>
                  <w:tcW w:w="1592" w:type="pct"/>
                  <w:tcBorders>
                    <w:tl2br w:val="nil"/>
                    <w:tr2bl w:val="nil"/>
                  </w:tcBorders>
                  <w:shd w:val="clear" w:color="auto" w:fill="auto"/>
                  <w:vAlign w:val="top"/>
                </w:tcPr>
                <w:p w14:paraId="6DF4B47A">
                  <w:pPr>
                    <w:pStyle w:val="122"/>
                    <w:widowControl/>
                    <w:spacing w:before="120" w:beforeLines="50" w:beforeAutospacing="0" w:after="0" w:afterAutospacing="0"/>
                    <w:ind w:left="0" w:right="0"/>
                    <w:rPr>
                      <w:color w:val="auto"/>
                      <w:highlight w:val="none"/>
                      <w:lang w:val="en-US"/>
                    </w:rPr>
                  </w:pPr>
                  <w:r>
                    <w:rPr>
                      <w:color w:val="auto"/>
                      <w:highlight w:val="none"/>
                      <w:lang w:val="en-US"/>
                    </w:rPr>
                    <w:drawing>
                      <wp:inline distT="0" distB="0" distL="114300" distR="114300">
                        <wp:extent cx="742950" cy="723900"/>
                        <wp:effectExtent l="0" t="0" r="0" b="0"/>
                        <wp:docPr id="8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4"/>
                                <pic:cNvPicPr>
                                  <a:picLocks noChangeAspect="1"/>
                                </pic:cNvPicPr>
                              </pic:nvPicPr>
                              <pic:blipFill>
                                <a:blip r:embed="rId44"/>
                                <a:stretch>
                                  <a:fillRect/>
                                </a:stretch>
                              </pic:blipFill>
                              <pic:spPr>
                                <a:xfrm>
                                  <a:off x="0" y="0"/>
                                  <a:ext cx="742950" cy="723900"/>
                                </a:xfrm>
                                <a:prstGeom prst="rect">
                                  <a:avLst/>
                                </a:prstGeom>
                                <a:noFill/>
                                <a:ln>
                                  <a:noFill/>
                                </a:ln>
                              </pic:spPr>
                            </pic:pic>
                          </a:graphicData>
                        </a:graphic>
                      </wp:inline>
                    </w:drawing>
                  </w:r>
                </w:p>
              </w:tc>
            </w:tr>
            <w:tr w14:paraId="7AB51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86" w:type="pct"/>
                  <w:tcBorders>
                    <w:tl2br w:val="nil"/>
                    <w:tr2bl w:val="nil"/>
                  </w:tcBorders>
                  <w:shd w:val="clear" w:color="auto" w:fill="auto"/>
                  <w:vAlign w:val="center"/>
                </w:tcPr>
                <w:p w14:paraId="5B55734B">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一般固废库</w:t>
                  </w:r>
                </w:p>
              </w:tc>
              <w:tc>
                <w:tcPr>
                  <w:tcW w:w="698" w:type="pct"/>
                  <w:tcBorders>
                    <w:tl2br w:val="nil"/>
                    <w:tr2bl w:val="nil"/>
                  </w:tcBorders>
                  <w:shd w:val="clear" w:color="auto" w:fill="auto"/>
                  <w:vAlign w:val="center"/>
                </w:tcPr>
                <w:p w14:paraId="15BD8D9D">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提示标志</w:t>
                  </w:r>
                </w:p>
              </w:tc>
              <w:tc>
                <w:tcPr>
                  <w:tcW w:w="871" w:type="pct"/>
                  <w:tcBorders>
                    <w:tl2br w:val="nil"/>
                    <w:tr2bl w:val="nil"/>
                  </w:tcBorders>
                  <w:shd w:val="clear" w:color="auto" w:fill="auto"/>
                  <w:vAlign w:val="center"/>
                </w:tcPr>
                <w:p w14:paraId="5EABFCD3">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绿色</w:t>
                  </w:r>
                </w:p>
              </w:tc>
              <w:tc>
                <w:tcPr>
                  <w:tcW w:w="1049" w:type="pct"/>
                  <w:tcBorders>
                    <w:tl2br w:val="nil"/>
                    <w:tr2bl w:val="nil"/>
                  </w:tcBorders>
                  <w:shd w:val="clear" w:color="auto" w:fill="auto"/>
                  <w:vAlign w:val="center"/>
                </w:tcPr>
                <w:p w14:paraId="0990289D">
                  <w:pPr>
                    <w:pStyle w:val="122"/>
                    <w:widowControl/>
                    <w:spacing w:before="120" w:beforeLines="50" w:beforeAutospacing="0" w:after="0" w:afterAutospacing="0"/>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白色</w:t>
                  </w:r>
                </w:p>
              </w:tc>
              <w:tc>
                <w:tcPr>
                  <w:tcW w:w="1592" w:type="pct"/>
                  <w:tcBorders>
                    <w:tl2br w:val="nil"/>
                    <w:tr2bl w:val="nil"/>
                  </w:tcBorders>
                  <w:shd w:val="clear" w:color="auto" w:fill="auto"/>
                  <w:vAlign w:val="center"/>
                </w:tcPr>
                <w:p w14:paraId="6CA4F9EA">
                  <w:pPr>
                    <w:pStyle w:val="122"/>
                    <w:widowControl/>
                    <w:spacing w:before="120" w:beforeLines="50" w:beforeAutospacing="0" w:after="0" w:afterAutospacing="0"/>
                    <w:ind w:left="0" w:right="0"/>
                    <w:rPr>
                      <w:color w:val="auto"/>
                      <w:highlight w:val="none"/>
                      <w:lang w:val="en-US"/>
                    </w:rPr>
                  </w:pPr>
                  <w:r>
                    <w:rPr>
                      <w:color w:val="auto"/>
                      <w:highlight w:val="none"/>
                      <w:lang w:val="en-US"/>
                    </w:rPr>
                    <w:drawing>
                      <wp:inline distT="0" distB="0" distL="114300" distR="114300">
                        <wp:extent cx="762000" cy="723900"/>
                        <wp:effectExtent l="0" t="0" r="0" b="0"/>
                        <wp:docPr id="86"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5"/>
                                <pic:cNvPicPr>
                                  <a:picLocks noChangeAspect="1"/>
                                </pic:cNvPicPr>
                              </pic:nvPicPr>
                              <pic:blipFill>
                                <a:blip r:embed="rId45"/>
                                <a:stretch>
                                  <a:fillRect/>
                                </a:stretch>
                              </pic:blipFill>
                              <pic:spPr>
                                <a:xfrm>
                                  <a:off x="0" y="0"/>
                                  <a:ext cx="762000" cy="723900"/>
                                </a:xfrm>
                                <a:prstGeom prst="rect">
                                  <a:avLst/>
                                </a:prstGeom>
                                <a:noFill/>
                                <a:ln>
                                  <a:noFill/>
                                </a:ln>
                              </pic:spPr>
                            </pic:pic>
                          </a:graphicData>
                        </a:graphic>
                      </wp:inline>
                    </w:drawing>
                  </w:r>
                </w:p>
              </w:tc>
            </w:tr>
          </w:tbl>
          <w:p w14:paraId="7E11430D">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textAlignment w:val="auto"/>
              <w:rPr>
                <w:b/>
                <w:bCs/>
                <w:color w:val="auto"/>
                <w:szCs w:val="21"/>
                <w:highlight w:val="none"/>
              </w:rPr>
            </w:pPr>
            <w:r>
              <w:rPr>
                <w:rFonts w:hint="eastAsia"/>
                <w:b/>
                <w:bCs/>
                <w:color w:val="auto"/>
                <w:szCs w:val="21"/>
                <w:highlight w:val="none"/>
                <w:lang w:val="en-US" w:eastAsia="zh-CN"/>
              </w:rPr>
              <w:t>十、</w:t>
            </w:r>
            <w:r>
              <w:rPr>
                <w:rFonts w:hint="eastAsia"/>
                <w:b/>
                <w:bCs/>
                <w:color w:val="auto"/>
                <w:szCs w:val="21"/>
                <w:highlight w:val="none"/>
              </w:rPr>
              <w:t>项目“三同时”验收一览表</w:t>
            </w:r>
          </w:p>
          <w:p w14:paraId="63A93D71">
            <w:pPr>
              <w:spacing w:line="360" w:lineRule="auto"/>
              <w:ind w:firstLine="420" w:firstLineChars="200"/>
              <w:rPr>
                <w:color w:val="auto"/>
                <w:szCs w:val="21"/>
                <w:highlight w:val="none"/>
              </w:rPr>
            </w:pPr>
            <w:r>
              <w:rPr>
                <w:rFonts w:hint="eastAsia"/>
                <w:color w:val="auto"/>
                <w:szCs w:val="21"/>
                <w:highlight w:val="none"/>
              </w:rPr>
              <w:t>项目“三同时”验收一览表，见表4-</w:t>
            </w:r>
            <w:r>
              <w:rPr>
                <w:rFonts w:hint="eastAsia"/>
                <w:color w:val="auto"/>
                <w:szCs w:val="21"/>
                <w:highlight w:val="none"/>
                <w:lang w:val="en-US" w:eastAsia="zh-CN"/>
              </w:rPr>
              <w:t>42</w:t>
            </w:r>
            <w:r>
              <w:rPr>
                <w:rFonts w:hint="eastAsia"/>
                <w:color w:val="auto"/>
                <w:szCs w:val="21"/>
                <w:highlight w:val="none"/>
              </w:rPr>
              <w:t>。</w:t>
            </w:r>
          </w:p>
          <w:p w14:paraId="15FF7CE9">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lang w:val="en-US" w:eastAsia="zh-CN"/>
              </w:rPr>
              <w:t>42</w:t>
            </w:r>
            <w:r>
              <w:rPr>
                <w:rFonts w:hint="eastAsia"/>
                <w:b/>
                <w:bCs/>
                <w:color w:val="auto"/>
                <w:szCs w:val="21"/>
                <w:highlight w:val="none"/>
              </w:rPr>
              <w:t xml:space="preserve"> “三同时”验收一览表</w:t>
            </w:r>
          </w:p>
          <w:tbl>
            <w:tblPr>
              <w:tblStyle w:val="31"/>
              <w:tblW w:w="493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4"/>
              <w:gridCol w:w="343"/>
              <w:gridCol w:w="555"/>
              <w:gridCol w:w="1138"/>
              <w:gridCol w:w="1140"/>
              <w:gridCol w:w="900"/>
              <w:gridCol w:w="2130"/>
              <w:gridCol w:w="756"/>
              <w:gridCol w:w="623"/>
            </w:tblGrid>
            <w:tr w14:paraId="4ECFE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Align w:val="center"/>
                </w:tcPr>
                <w:p w14:paraId="1FE4F92F">
                  <w:pPr>
                    <w:jc w:val="center"/>
                    <w:rPr>
                      <w:b/>
                      <w:bCs/>
                      <w:color w:val="auto"/>
                      <w:szCs w:val="21"/>
                      <w:highlight w:val="none"/>
                    </w:rPr>
                  </w:pPr>
                  <w:r>
                    <w:rPr>
                      <w:rFonts w:hint="eastAsia"/>
                      <w:b/>
                      <w:bCs/>
                      <w:color w:val="auto"/>
                      <w:szCs w:val="21"/>
                      <w:highlight w:val="none"/>
                    </w:rPr>
                    <w:t>类别</w:t>
                  </w:r>
                </w:p>
              </w:tc>
              <w:tc>
                <w:tcPr>
                  <w:tcW w:w="541" w:type="pct"/>
                  <w:gridSpan w:val="2"/>
                  <w:vAlign w:val="center"/>
                </w:tcPr>
                <w:p w14:paraId="10276BAE">
                  <w:pPr>
                    <w:jc w:val="center"/>
                    <w:rPr>
                      <w:b/>
                      <w:bCs/>
                      <w:color w:val="auto"/>
                      <w:szCs w:val="21"/>
                      <w:highlight w:val="none"/>
                    </w:rPr>
                  </w:pPr>
                  <w:r>
                    <w:rPr>
                      <w:rFonts w:hint="eastAsia"/>
                      <w:b/>
                      <w:bCs/>
                      <w:color w:val="auto"/>
                      <w:szCs w:val="21"/>
                      <w:highlight w:val="none"/>
                    </w:rPr>
                    <w:t>污染源</w:t>
                  </w:r>
                </w:p>
              </w:tc>
              <w:tc>
                <w:tcPr>
                  <w:tcW w:w="686" w:type="pct"/>
                  <w:vAlign w:val="center"/>
                </w:tcPr>
                <w:p w14:paraId="4A6133ED">
                  <w:pPr>
                    <w:jc w:val="center"/>
                    <w:rPr>
                      <w:b/>
                      <w:bCs/>
                      <w:color w:val="auto"/>
                      <w:szCs w:val="21"/>
                      <w:highlight w:val="none"/>
                    </w:rPr>
                  </w:pPr>
                  <w:r>
                    <w:rPr>
                      <w:rFonts w:hint="eastAsia"/>
                      <w:b/>
                      <w:bCs/>
                      <w:color w:val="auto"/>
                      <w:szCs w:val="21"/>
                      <w:highlight w:val="none"/>
                    </w:rPr>
                    <w:t>污染物</w:t>
                  </w:r>
                </w:p>
              </w:tc>
              <w:tc>
                <w:tcPr>
                  <w:tcW w:w="1230" w:type="pct"/>
                  <w:gridSpan w:val="2"/>
                  <w:vAlign w:val="center"/>
                </w:tcPr>
                <w:p w14:paraId="79C5E3D6">
                  <w:pPr>
                    <w:jc w:val="center"/>
                    <w:rPr>
                      <w:b/>
                      <w:bCs/>
                      <w:color w:val="auto"/>
                      <w:szCs w:val="21"/>
                      <w:highlight w:val="none"/>
                    </w:rPr>
                  </w:pPr>
                  <w:r>
                    <w:rPr>
                      <w:rFonts w:hint="eastAsia"/>
                      <w:b/>
                      <w:bCs/>
                      <w:color w:val="auto"/>
                      <w:szCs w:val="21"/>
                      <w:highlight w:val="none"/>
                    </w:rPr>
                    <w:t>治理措施（建设数量、规模、处理能力等）</w:t>
                  </w:r>
                </w:p>
              </w:tc>
              <w:tc>
                <w:tcPr>
                  <w:tcW w:w="1284" w:type="pct"/>
                  <w:vAlign w:val="center"/>
                </w:tcPr>
                <w:p w14:paraId="029847F5">
                  <w:pPr>
                    <w:jc w:val="center"/>
                    <w:rPr>
                      <w:b/>
                      <w:bCs/>
                      <w:color w:val="auto"/>
                      <w:szCs w:val="21"/>
                      <w:highlight w:val="none"/>
                    </w:rPr>
                  </w:pPr>
                  <w:r>
                    <w:rPr>
                      <w:rFonts w:hint="eastAsia"/>
                      <w:b/>
                      <w:bCs/>
                      <w:color w:val="auto"/>
                      <w:szCs w:val="21"/>
                      <w:highlight w:val="none"/>
                    </w:rPr>
                    <w:t>处理效果、执行标准或拟达要求</w:t>
                  </w:r>
                </w:p>
              </w:tc>
              <w:tc>
                <w:tcPr>
                  <w:tcW w:w="456" w:type="pct"/>
                  <w:vAlign w:val="center"/>
                </w:tcPr>
                <w:p w14:paraId="52D71B55">
                  <w:pPr>
                    <w:jc w:val="center"/>
                    <w:rPr>
                      <w:b/>
                      <w:bCs/>
                      <w:color w:val="auto"/>
                      <w:szCs w:val="21"/>
                      <w:highlight w:val="none"/>
                    </w:rPr>
                  </w:pPr>
                  <w:r>
                    <w:rPr>
                      <w:rFonts w:hint="eastAsia"/>
                      <w:b/>
                      <w:bCs/>
                      <w:color w:val="auto"/>
                      <w:szCs w:val="21"/>
                      <w:highlight w:val="none"/>
                    </w:rPr>
                    <w:t>环保投资（万元）</w:t>
                  </w:r>
                </w:p>
              </w:tc>
              <w:tc>
                <w:tcPr>
                  <w:tcW w:w="375" w:type="pct"/>
                  <w:tcMar>
                    <w:left w:w="0" w:type="dxa"/>
                    <w:right w:w="0" w:type="dxa"/>
                  </w:tcMar>
                  <w:vAlign w:val="center"/>
                </w:tcPr>
                <w:p w14:paraId="52ECD39C">
                  <w:pPr>
                    <w:jc w:val="center"/>
                    <w:rPr>
                      <w:b/>
                      <w:bCs/>
                      <w:color w:val="auto"/>
                      <w:szCs w:val="21"/>
                      <w:highlight w:val="none"/>
                    </w:rPr>
                  </w:pPr>
                  <w:r>
                    <w:rPr>
                      <w:rFonts w:hint="eastAsia"/>
                      <w:b/>
                      <w:bCs/>
                      <w:color w:val="auto"/>
                      <w:szCs w:val="21"/>
                      <w:highlight w:val="none"/>
                    </w:rPr>
                    <w:t>完成时间</w:t>
                  </w:r>
                </w:p>
              </w:tc>
            </w:tr>
            <w:tr w14:paraId="15876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restart"/>
                  <w:vAlign w:val="center"/>
                </w:tcPr>
                <w:p w14:paraId="5179F36D">
                  <w:pPr>
                    <w:jc w:val="center"/>
                    <w:rPr>
                      <w:color w:val="auto"/>
                      <w:szCs w:val="21"/>
                      <w:highlight w:val="none"/>
                    </w:rPr>
                  </w:pPr>
                  <w:r>
                    <w:rPr>
                      <w:rFonts w:hint="eastAsia"/>
                      <w:color w:val="auto"/>
                      <w:szCs w:val="21"/>
                      <w:highlight w:val="none"/>
                    </w:rPr>
                    <w:t>废气</w:t>
                  </w:r>
                </w:p>
              </w:tc>
              <w:tc>
                <w:tcPr>
                  <w:tcW w:w="206" w:type="pct"/>
                  <w:vMerge w:val="restart"/>
                  <w:vAlign w:val="center"/>
                </w:tcPr>
                <w:p w14:paraId="0CB4237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有组织</w:t>
                  </w:r>
                </w:p>
              </w:tc>
              <w:tc>
                <w:tcPr>
                  <w:tcW w:w="334" w:type="pct"/>
                  <w:vAlign w:val="center"/>
                </w:tcPr>
                <w:p w14:paraId="72B1973B">
                  <w:pPr>
                    <w:jc w:val="center"/>
                    <w:rPr>
                      <w:rFonts w:hint="eastAsia"/>
                      <w:color w:val="auto"/>
                      <w:sz w:val="21"/>
                      <w:szCs w:val="21"/>
                      <w:highlight w:val="none"/>
                      <w:lang w:val="en-US" w:eastAsia="zh-CN"/>
                    </w:rPr>
                  </w:pPr>
                  <w:r>
                    <w:rPr>
                      <w:rFonts w:hint="eastAsia"/>
                      <w:color w:val="auto"/>
                      <w:sz w:val="21"/>
                      <w:szCs w:val="21"/>
                      <w:highlight w:val="none"/>
                      <w:lang w:val="en-US" w:eastAsia="zh-CN"/>
                    </w:rPr>
                    <w:t>喷塑</w:t>
                  </w:r>
                </w:p>
              </w:tc>
              <w:tc>
                <w:tcPr>
                  <w:tcW w:w="686" w:type="pct"/>
                  <w:vAlign w:val="center"/>
                </w:tcPr>
                <w:p w14:paraId="1D66F7C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颗粒物</w:t>
                  </w:r>
                </w:p>
              </w:tc>
              <w:tc>
                <w:tcPr>
                  <w:tcW w:w="1230" w:type="pct"/>
                  <w:gridSpan w:val="2"/>
                  <w:vAlign w:val="center"/>
                </w:tcPr>
                <w:p w14:paraId="757159BB">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旋风+布袋除尘器粉末回收装置处理后</w:t>
                  </w:r>
                  <w:r>
                    <w:rPr>
                      <w:rFonts w:hint="default" w:ascii="宋体"/>
                      <w:color w:val="auto"/>
                      <w:sz w:val="21"/>
                      <w:szCs w:val="21"/>
                    </w:rPr>
                    <w:t>于喷塑工序循环使用</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去</w:t>
                  </w:r>
                  <w:r>
                    <w:rPr>
                      <w:rFonts w:hint="eastAsia" w:ascii="Times New Roman" w:hAnsi="Times New Roman" w:cs="Times New Roman"/>
                      <w:color w:val="auto"/>
                      <w:sz w:val="21"/>
                      <w:szCs w:val="21"/>
                      <w:highlight w:val="none"/>
                      <w:lang w:val="en-US" w:eastAsia="zh-CN"/>
                    </w:rPr>
                    <w:t>除效率</w:t>
                  </w:r>
                  <w:r>
                    <w:rPr>
                      <w:rFonts w:hint="default" w:ascii="Times New Roman" w:hAnsi="Times New Roman" w:cs="Times New Roman"/>
                      <w:color w:val="auto"/>
                      <w:sz w:val="21"/>
                      <w:szCs w:val="21"/>
                      <w:highlight w:val="none"/>
                    </w:rPr>
                    <w:t>9</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w:t>
                  </w:r>
                </w:p>
              </w:tc>
              <w:tc>
                <w:tcPr>
                  <w:tcW w:w="1284" w:type="pct"/>
                  <w:vMerge w:val="restart"/>
                  <w:vAlign w:val="center"/>
                </w:tcPr>
                <w:p w14:paraId="782575E7">
                  <w:pPr>
                    <w:jc w:val="center"/>
                    <w:rPr>
                      <w:rFonts w:hint="eastAsia" w:eastAsia="宋体"/>
                      <w:color w:val="auto"/>
                      <w:szCs w:val="21"/>
                      <w:highlight w:val="none"/>
                      <w:lang w:eastAsia="zh-CN"/>
                    </w:rPr>
                  </w:pPr>
                  <w:r>
                    <w:rPr>
                      <w:rFonts w:hint="default" w:ascii="Times New Roman" w:hAnsi="Times New Roman" w:eastAsia="宋体" w:cs="Times New Roman"/>
                      <w:color w:val="auto"/>
                      <w:sz w:val="21"/>
                      <w:szCs w:val="16"/>
                      <w:highlight w:val="none"/>
                    </w:rPr>
                    <w:t>《</w:t>
                  </w:r>
                  <w:r>
                    <w:rPr>
                      <w:rFonts w:hint="default" w:ascii="Times New Roman" w:hAnsi="Times New Roman" w:eastAsia="宋体" w:cs="Times New Roman"/>
                      <w:color w:val="auto"/>
                      <w:sz w:val="21"/>
                      <w:szCs w:val="16"/>
                      <w:highlight w:val="none"/>
                      <w:lang w:val="en-US" w:eastAsia="zh-CN"/>
                    </w:rPr>
                    <w:t>工业涂装工序</w:t>
                  </w:r>
                  <w:r>
                    <w:rPr>
                      <w:rFonts w:hint="default" w:ascii="Times New Roman" w:hAnsi="Times New Roman" w:eastAsia="宋体" w:cs="Times New Roman"/>
                      <w:color w:val="auto"/>
                      <w:sz w:val="21"/>
                      <w:szCs w:val="16"/>
                      <w:highlight w:val="none"/>
                    </w:rPr>
                    <w:t>大气污染物排放标准》（DB32/4</w:t>
                  </w:r>
                  <w:r>
                    <w:rPr>
                      <w:rFonts w:hint="default" w:ascii="Times New Roman" w:hAnsi="Times New Roman" w:eastAsia="宋体" w:cs="Times New Roman"/>
                      <w:color w:val="auto"/>
                      <w:sz w:val="21"/>
                      <w:szCs w:val="16"/>
                      <w:highlight w:val="none"/>
                      <w:lang w:val="en-US" w:eastAsia="zh-CN"/>
                    </w:rPr>
                    <w:t>439</w:t>
                  </w:r>
                  <w:r>
                    <w:rPr>
                      <w:rFonts w:hint="default" w:ascii="Times New Roman" w:hAnsi="Times New Roman" w:eastAsia="宋体" w:cs="Times New Roman"/>
                      <w:color w:val="auto"/>
                      <w:sz w:val="21"/>
                      <w:szCs w:val="16"/>
                      <w:highlight w:val="none"/>
                    </w:rPr>
                    <w:t>-202</w:t>
                  </w:r>
                  <w:r>
                    <w:rPr>
                      <w:rFonts w:hint="default" w:ascii="Times New Roman" w:hAnsi="Times New Roman" w:eastAsia="宋体" w:cs="Times New Roman"/>
                      <w:color w:val="auto"/>
                      <w:sz w:val="21"/>
                      <w:szCs w:val="16"/>
                      <w:highlight w:val="none"/>
                      <w:lang w:val="en-US" w:eastAsia="zh-CN"/>
                    </w:rPr>
                    <w:t>2</w:t>
                  </w:r>
                  <w:r>
                    <w:rPr>
                      <w:rFonts w:hint="default" w:ascii="Times New Roman" w:hAnsi="Times New Roman" w:eastAsia="宋体" w:cs="Times New Roman"/>
                      <w:color w:val="auto"/>
                      <w:sz w:val="21"/>
                      <w:szCs w:val="16"/>
                      <w:highlight w:val="none"/>
                    </w:rPr>
                    <w:t>）</w:t>
                  </w:r>
                  <w:r>
                    <w:rPr>
                      <w:rFonts w:hint="eastAsia" w:cs="Times New Roman"/>
                      <w:color w:val="auto"/>
                      <w:sz w:val="21"/>
                      <w:szCs w:val="16"/>
                      <w:highlight w:val="none"/>
                      <w:lang w:eastAsia="zh-CN"/>
                    </w:rPr>
                    <w:t>、</w:t>
                  </w:r>
                  <w:r>
                    <w:rPr>
                      <w:rFonts w:hint="default" w:ascii="Times New Roman" w:hAnsi="Times New Roman" w:eastAsia="宋体" w:cs="Times New Roman"/>
                      <w:color w:val="auto"/>
                      <w:sz w:val="21"/>
                      <w:szCs w:val="16"/>
                      <w:highlight w:val="none"/>
                      <w:lang w:val="en-US" w:eastAsia="zh-CN"/>
                    </w:rPr>
                    <w:t>《工业炉窑大气污染物排放标准》</w:t>
                  </w:r>
                  <w:r>
                    <w:rPr>
                      <w:rFonts w:hint="default" w:ascii="Times New Roman" w:hAnsi="Times New Roman" w:eastAsia="宋体" w:cs="Times New Roman"/>
                      <w:color w:val="auto"/>
                      <w:sz w:val="21"/>
                      <w:szCs w:val="16"/>
                      <w:highlight w:val="none"/>
                    </w:rPr>
                    <w:t>（DB32/</w:t>
                  </w:r>
                  <w:r>
                    <w:rPr>
                      <w:rFonts w:hint="default" w:ascii="Times New Roman" w:hAnsi="Times New Roman" w:eastAsia="宋体" w:cs="Times New Roman"/>
                      <w:color w:val="auto"/>
                      <w:sz w:val="21"/>
                      <w:szCs w:val="16"/>
                      <w:highlight w:val="none"/>
                      <w:lang w:val="en-US" w:eastAsia="zh-CN"/>
                    </w:rPr>
                    <w:t>3728</w:t>
                  </w:r>
                  <w:r>
                    <w:rPr>
                      <w:rFonts w:hint="default" w:ascii="Times New Roman" w:hAnsi="Times New Roman" w:eastAsia="宋体" w:cs="Times New Roman"/>
                      <w:color w:val="auto"/>
                      <w:sz w:val="21"/>
                      <w:szCs w:val="16"/>
                      <w:highlight w:val="none"/>
                    </w:rPr>
                    <w:t>-20</w:t>
                  </w:r>
                  <w:r>
                    <w:rPr>
                      <w:rFonts w:hint="default" w:ascii="Times New Roman" w:hAnsi="Times New Roman" w:eastAsia="宋体" w:cs="Times New Roman"/>
                      <w:color w:val="auto"/>
                      <w:sz w:val="21"/>
                      <w:szCs w:val="16"/>
                      <w:highlight w:val="none"/>
                      <w:lang w:val="en-US" w:eastAsia="zh-CN"/>
                    </w:rPr>
                    <w:t>20</w:t>
                  </w:r>
                  <w:r>
                    <w:rPr>
                      <w:rFonts w:hint="default" w:ascii="Times New Roman" w:hAnsi="Times New Roman" w:eastAsia="宋体" w:cs="Times New Roman"/>
                      <w:color w:val="auto"/>
                      <w:sz w:val="21"/>
                      <w:szCs w:val="16"/>
                      <w:highlight w:val="none"/>
                    </w:rPr>
                    <w:t>）</w:t>
                  </w:r>
                </w:p>
              </w:tc>
              <w:tc>
                <w:tcPr>
                  <w:tcW w:w="456" w:type="pct"/>
                  <w:vMerge w:val="restart"/>
                  <w:vAlign w:val="center"/>
                </w:tcPr>
                <w:p w14:paraId="0DF2FC67">
                  <w:pPr>
                    <w:jc w:val="center"/>
                    <w:rPr>
                      <w:rFonts w:hint="default"/>
                      <w:color w:val="auto"/>
                      <w:szCs w:val="21"/>
                      <w:highlight w:val="none"/>
                      <w:lang w:val="en-US"/>
                    </w:rPr>
                  </w:pPr>
                  <w:r>
                    <w:rPr>
                      <w:rFonts w:hint="eastAsia"/>
                      <w:color w:val="auto"/>
                      <w:szCs w:val="21"/>
                      <w:highlight w:val="none"/>
                      <w:lang w:val="en-US" w:eastAsia="zh-CN"/>
                    </w:rPr>
                    <w:t>20</w:t>
                  </w:r>
                </w:p>
              </w:tc>
              <w:tc>
                <w:tcPr>
                  <w:tcW w:w="375" w:type="pct"/>
                  <w:vMerge w:val="restart"/>
                  <w:vAlign w:val="center"/>
                </w:tcPr>
                <w:p w14:paraId="30B9EFAA">
                  <w:pPr>
                    <w:jc w:val="center"/>
                    <w:rPr>
                      <w:color w:val="auto"/>
                      <w:szCs w:val="21"/>
                      <w:highlight w:val="none"/>
                    </w:rPr>
                  </w:pPr>
                  <w:r>
                    <w:rPr>
                      <w:rFonts w:hint="eastAsia"/>
                      <w:color w:val="auto"/>
                      <w:szCs w:val="21"/>
                      <w:highlight w:val="none"/>
                    </w:rPr>
                    <w:t>与建设项目主体工程同时设计、同时施工、同时投产使用</w:t>
                  </w:r>
                </w:p>
              </w:tc>
            </w:tr>
            <w:tr w14:paraId="14862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14:paraId="28935F75">
                  <w:pPr>
                    <w:jc w:val="center"/>
                    <w:rPr>
                      <w:rFonts w:hint="eastAsia"/>
                      <w:color w:val="auto"/>
                      <w:szCs w:val="21"/>
                      <w:highlight w:val="none"/>
                    </w:rPr>
                  </w:pPr>
                </w:p>
              </w:tc>
              <w:tc>
                <w:tcPr>
                  <w:tcW w:w="206" w:type="pct"/>
                  <w:vMerge w:val="continue"/>
                  <w:vAlign w:val="center"/>
                </w:tcPr>
                <w:p w14:paraId="47FAE1BB">
                  <w:pPr>
                    <w:jc w:val="center"/>
                    <w:rPr>
                      <w:rFonts w:hint="eastAsia" w:ascii="Times New Roman" w:hAnsi="Times New Roman" w:eastAsia="宋体" w:cs="Times New Roman"/>
                      <w:color w:val="auto"/>
                      <w:kern w:val="2"/>
                      <w:sz w:val="21"/>
                      <w:szCs w:val="21"/>
                      <w:highlight w:val="none"/>
                      <w:lang w:val="en-US" w:eastAsia="zh-CN" w:bidi="ar-SA"/>
                    </w:rPr>
                  </w:pPr>
                </w:p>
              </w:tc>
              <w:tc>
                <w:tcPr>
                  <w:tcW w:w="334" w:type="pct"/>
                  <w:vAlign w:val="center"/>
                </w:tcPr>
                <w:p w14:paraId="19A3493D">
                  <w:pPr>
                    <w:jc w:val="center"/>
                    <w:rPr>
                      <w:rFonts w:hint="eastAsia" w:cs="Times New Roman"/>
                      <w:color w:val="auto"/>
                      <w:kern w:val="24"/>
                      <w:highlight w:val="none"/>
                      <w:lang w:val="en-US" w:eastAsia="zh-CN"/>
                    </w:rPr>
                  </w:pPr>
                  <w:r>
                    <w:rPr>
                      <w:rFonts w:hint="eastAsia" w:cs="Times New Roman"/>
                      <w:color w:val="auto"/>
                      <w:kern w:val="24"/>
                      <w:highlight w:val="none"/>
                      <w:lang w:val="en-US" w:eastAsia="zh-CN"/>
                    </w:rPr>
                    <w:t>固化</w:t>
                  </w:r>
                </w:p>
              </w:tc>
              <w:tc>
                <w:tcPr>
                  <w:tcW w:w="686" w:type="pct"/>
                  <w:vAlign w:val="center"/>
                </w:tcPr>
                <w:p w14:paraId="3573346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非甲烷总烃</w:t>
                  </w:r>
                </w:p>
              </w:tc>
              <w:tc>
                <w:tcPr>
                  <w:tcW w:w="687" w:type="pct"/>
                  <w:vAlign w:val="center"/>
                </w:tcPr>
                <w:p w14:paraId="1E6ACF8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二级活性炭吸附装置</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去</w:t>
                  </w:r>
                  <w:r>
                    <w:rPr>
                      <w:rFonts w:hint="eastAsia" w:ascii="Times New Roman" w:hAnsi="Times New Roman" w:cs="Times New Roman"/>
                      <w:color w:val="auto"/>
                      <w:sz w:val="21"/>
                      <w:szCs w:val="21"/>
                      <w:highlight w:val="none"/>
                      <w:lang w:val="en-US" w:eastAsia="zh-CN"/>
                    </w:rPr>
                    <w:t>除效率</w:t>
                  </w:r>
                  <w:r>
                    <w:rPr>
                      <w:rFonts w:hint="default" w:ascii="Times New Roman" w:hAnsi="Times New Roman" w:cs="Times New Roman"/>
                      <w:color w:val="auto"/>
                      <w:sz w:val="21"/>
                      <w:szCs w:val="21"/>
                      <w:highlight w:val="none"/>
                    </w:rPr>
                    <w:t>9</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w:t>
                  </w:r>
                </w:p>
              </w:tc>
              <w:tc>
                <w:tcPr>
                  <w:tcW w:w="542" w:type="pct"/>
                  <w:vMerge w:val="restart"/>
                  <w:vAlign w:val="center"/>
                </w:tcPr>
                <w:p w14:paraId="5739F02F">
                  <w:pPr>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eastAsia" w:eastAsia="宋体" w:cs="Times New Roman"/>
                      <w:color w:val="auto"/>
                      <w:sz w:val="21"/>
                      <w:szCs w:val="21"/>
                      <w:highlight w:val="none"/>
                      <w:lang w:val="en-US" w:eastAsia="zh-CN"/>
                    </w:rPr>
                    <w:t>m高排气筒DA00</w:t>
                  </w:r>
                  <w:r>
                    <w:rPr>
                      <w:rFonts w:hint="eastAsia" w:cs="Times New Roman"/>
                      <w:color w:val="auto"/>
                      <w:sz w:val="21"/>
                      <w:szCs w:val="21"/>
                      <w:highlight w:val="none"/>
                      <w:lang w:val="en-US" w:eastAsia="zh-CN"/>
                    </w:rPr>
                    <w:t>6</w:t>
                  </w:r>
                  <w:r>
                    <w:rPr>
                      <w:rFonts w:hint="eastAsia" w:eastAsia="宋体" w:cs="Times New Roman"/>
                      <w:color w:val="auto"/>
                      <w:sz w:val="21"/>
                      <w:szCs w:val="21"/>
                      <w:highlight w:val="none"/>
                      <w:lang w:val="en-US" w:eastAsia="zh-CN"/>
                    </w:rPr>
                    <w:t>排放</w:t>
                  </w:r>
                </w:p>
              </w:tc>
              <w:tc>
                <w:tcPr>
                  <w:tcW w:w="1284" w:type="pct"/>
                  <w:vMerge w:val="continue"/>
                  <w:vAlign w:val="center"/>
                </w:tcPr>
                <w:p w14:paraId="07D912EE">
                  <w:pPr>
                    <w:jc w:val="center"/>
                    <w:rPr>
                      <w:rFonts w:hint="eastAsia"/>
                      <w:color w:val="auto"/>
                      <w:szCs w:val="21"/>
                      <w:highlight w:val="none"/>
                    </w:rPr>
                  </w:pPr>
                </w:p>
              </w:tc>
              <w:tc>
                <w:tcPr>
                  <w:tcW w:w="456" w:type="pct"/>
                  <w:vMerge w:val="continue"/>
                  <w:vAlign w:val="center"/>
                </w:tcPr>
                <w:p w14:paraId="29E54DF5">
                  <w:pPr>
                    <w:jc w:val="center"/>
                    <w:rPr>
                      <w:rFonts w:hint="eastAsia"/>
                      <w:color w:val="auto"/>
                      <w:szCs w:val="21"/>
                      <w:highlight w:val="none"/>
                    </w:rPr>
                  </w:pPr>
                </w:p>
              </w:tc>
              <w:tc>
                <w:tcPr>
                  <w:tcW w:w="375" w:type="pct"/>
                  <w:vMerge w:val="continue"/>
                  <w:vAlign w:val="center"/>
                </w:tcPr>
                <w:p w14:paraId="2C7AC6D5">
                  <w:pPr>
                    <w:jc w:val="center"/>
                    <w:rPr>
                      <w:color w:val="auto"/>
                      <w:szCs w:val="21"/>
                      <w:highlight w:val="none"/>
                    </w:rPr>
                  </w:pPr>
                </w:p>
              </w:tc>
            </w:tr>
            <w:tr w14:paraId="73358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14:paraId="2E4DA9D1">
                  <w:pPr>
                    <w:jc w:val="center"/>
                    <w:rPr>
                      <w:rFonts w:hint="eastAsia"/>
                      <w:color w:val="auto"/>
                      <w:szCs w:val="21"/>
                      <w:highlight w:val="none"/>
                    </w:rPr>
                  </w:pPr>
                </w:p>
              </w:tc>
              <w:tc>
                <w:tcPr>
                  <w:tcW w:w="206" w:type="pct"/>
                  <w:vMerge w:val="continue"/>
                  <w:vAlign w:val="center"/>
                </w:tcPr>
                <w:p w14:paraId="6B247CA1">
                  <w:pPr>
                    <w:jc w:val="center"/>
                    <w:rPr>
                      <w:rFonts w:hint="eastAsia" w:ascii="Times New Roman" w:hAnsi="Times New Roman" w:eastAsia="宋体" w:cs="Times New Roman"/>
                      <w:color w:val="auto"/>
                      <w:kern w:val="2"/>
                      <w:sz w:val="21"/>
                      <w:szCs w:val="21"/>
                      <w:highlight w:val="none"/>
                      <w:lang w:val="en-US" w:eastAsia="zh-CN" w:bidi="ar-SA"/>
                    </w:rPr>
                  </w:pPr>
                </w:p>
              </w:tc>
              <w:tc>
                <w:tcPr>
                  <w:tcW w:w="334" w:type="pct"/>
                  <w:vAlign w:val="center"/>
                </w:tcPr>
                <w:p w14:paraId="61302299">
                  <w:pPr>
                    <w:jc w:val="center"/>
                    <w:rPr>
                      <w:rFonts w:hint="eastAsia" w:cs="Times New Roman"/>
                      <w:color w:val="auto"/>
                      <w:kern w:val="24"/>
                      <w:highlight w:val="none"/>
                      <w:lang w:val="en-US" w:eastAsia="zh-CN"/>
                    </w:rPr>
                  </w:pPr>
                  <w:r>
                    <w:rPr>
                      <w:rFonts w:hint="eastAsia" w:cs="Times New Roman"/>
                      <w:color w:val="auto"/>
                      <w:kern w:val="24"/>
                      <w:highlight w:val="none"/>
                      <w:lang w:val="en-US" w:eastAsia="zh-CN"/>
                    </w:rPr>
                    <w:t>天然气炉</w:t>
                  </w:r>
                </w:p>
              </w:tc>
              <w:tc>
                <w:tcPr>
                  <w:tcW w:w="686" w:type="pct"/>
                  <w:vAlign w:val="center"/>
                </w:tcPr>
                <w:p w14:paraId="0B43105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颗粒物、SO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、NOx</w:t>
                  </w:r>
                </w:p>
              </w:tc>
              <w:tc>
                <w:tcPr>
                  <w:tcW w:w="687" w:type="pct"/>
                  <w:vAlign w:val="center"/>
                </w:tcPr>
                <w:p w14:paraId="4737091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低氮燃烧器</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氮氧化物产生量减少50</w:t>
                  </w:r>
                  <w:r>
                    <w:rPr>
                      <w:rFonts w:hint="default" w:ascii="Times New Roman" w:hAnsi="Times New Roman" w:cs="Times New Roman"/>
                      <w:color w:val="auto"/>
                      <w:sz w:val="21"/>
                      <w:szCs w:val="21"/>
                      <w:highlight w:val="none"/>
                    </w:rPr>
                    <w:t>%</w:t>
                  </w:r>
                </w:p>
              </w:tc>
              <w:tc>
                <w:tcPr>
                  <w:tcW w:w="542" w:type="pct"/>
                  <w:vMerge w:val="continue"/>
                  <w:vAlign w:val="center"/>
                </w:tcPr>
                <w:p w14:paraId="2286B7F4">
                  <w:pPr>
                    <w:jc w:val="center"/>
                    <w:rPr>
                      <w:rFonts w:hint="eastAsia" w:eastAsia="宋体" w:cs="Times New Roman"/>
                      <w:color w:val="auto"/>
                      <w:sz w:val="21"/>
                      <w:szCs w:val="21"/>
                      <w:highlight w:val="none"/>
                      <w:lang w:val="en-US" w:eastAsia="zh-CN"/>
                    </w:rPr>
                  </w:pPr>
                </w:p>
              </w:tc>
              <w:tc>
                <w:tcPr>
                  <w:tcW w:w="1284" w:type="pct"/>
                  <w:vMerge w:val="continue"/>
                  <w:vAlign w:val="center"/>
                </w:tcPr>
                <w:p w14:paraId="372C7BD6">
                  <w:pPr>
                    <w:jc w:val="center"/>
                    <w:rPr>
                      <w:rFonts w:hint="eastAsia"/>
                      <w:color w:val="auto"/>
                      <w:szCs w:val="21"/>
                      <w:highlight w:val="none"/>
                    </w:rPr>
                  </w:pPr>
                </w:p>
              </w:tc>
              <w:tc>
                <w:tcPr>
                  <w:tcW w:w="456" w:type="pct"/>
                  <w:vMerge w:val="continue"/>
                  <w:vAlign w:val="center"/>
                </w:tcPr>
                <w:p w14:paraId="2A4FC5ED">
                  <w:pPr>
                    <w:jc w:val="center"/>
                    <w:rPr>
                      <w:rFonts w:hint="eastAsia"/>
                      <w:color w:val="auto"/>
                      <w:szCs w:val="21"/>
                      <w:highlight w:val="none"/>
                    </w:rPr>
                  </w:pPr>
                </w:p>
              </w:tc>
              <w:tc>
                <w:tcPr>
                  <w:tcW w:w="375" w:type="pct"/>
                  <w:vMerge w:val="continue"/>
                  <w:vAlign w:val="center"/>
                </w:tcPr>
                <w:p w14:paraId="5069C91D">
                  <w:pPr>
                    <w:jc w:val="center"/>
                    <w:rPr>
                      <w:color w:val="auto"/>
                      <w:szCs w:val="21"/>
                      <w:highlight w:val="none"/>
                    </w:rPr>
                  </w:pPr>
                </w:p>
              </w:tc>
            </w:tr>
            <w:tr w14:paraId="59BEC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14:paraId="6DCCBA3A">
                  <w:pPr>
                    <w:jc w:val="center"/>
                    <w:rPr>
                      <w:rFonts w:hint="eastAsia"/>
                      <w:color w:val="auto"/>
                      <w:szCs w:val="21"/>
                      <w:highlight w:val="none"/>
                    </w:rPr>
                  </w:pPr>
                </w:p>
              </w:tc>
              <w:tc>
                <w:tcPr>
                  <w:tcW w:w="206" w:type="pct"/>
                  <w:vMerge w:val="restart"/>
                  <w:vAlign w:val="center"/>
                </w:tcPr>
                <w:p w14:paraId="16748BF4">
                  <w:pPr>
                    <w:widowControl/>
                    <w:jc w:val="center"/>
                    <w:rPr>
                      <w:rFonts w:hint="default" w:cs="Times New Roman"/>
                      <w:color w:val="auto"/>
                      <w:kern w:val="24"/>
                      <w:highlight w:val="none"/>
                      <w:lang w:val="en-US" w:eastAsia="zh-CN"/>
                    </w:rPr>
                  </w:pPr>
                  <w:r>
                    <w:rPr>
                      <w:color w:val="auto"/>
                      <w:kern w:val="0"/>
                      <w:szCs w:val="21"/>
                      <w:highlight w:val="none"/>
                      <w:lang w:bidi="ar"/>
                    </w:rPr>
                    <w:t>无组织废气</w:t>
                  </w:r>
                </w:p>
              </w:tc>
              <w:tc>
                <w:tcPr>
                  <w:tcW w:w="334" w:type="pct"/>
                  <w:vAlign w:val="center"/>
                </w:tcPr>
                <w:p w14:paraId="356914DE">
                  <w:pPr>
                    <w:widowControl/>
                    <w:jc w:val="center"/>
                    <w:rPr>
                      <w:rFonts w:hint="eastAsia" w:cs="Times New Roman"/>
                      <w:color w:val="auto"/>
                      <w:kern w:val="24"/>
                      <w:highlight w:val="none"/>
                      <w:lang w:val="en-US" w:eastAsia="zh-CN"/>
                    </w:rPr>
                  </w:pPr>
                  <w:r>
                    <w:rPr>
                      <w:color w:val="auto"/>
                      <w:kern w:val="0"/>
                      <w:szCs w:val="21"/>
                      <w:highlight w:val="none"/>
                      <w:lang w:bidi="ar"/>
                    </w:rPr>
                    <w:t>厂界</w:t>
                  </w:r>
                </w:p>
              </w:tc>
              <w:tc>
                <w:tcPr>
                  <w:tcW w:w="686" w:type="pct"/>
                  <w:vAlign w:val="center"/>
                </w:tcPr>
                <w:p w14:paraId="500A3C31">
                  <w:pPr>
                    <w:adjustRightInd w:val="0"/>
                    <w:snapToGrid w:val="0"/>
                    <w:jc w:val="center"/>
                    <w:rPr>
                      <w:rFonts w:hint="eastAsia"/>
                      <w:color w:val="auto"/>
                      <w:sz w:val="21"/>
                      <w:szCs w:val="21"/>
                      <w:highlight w:val="none"/>
                      <w:lang w:val="en-US" w:eastAsia="zh-CN"/>
                    </w:rPr>
                  </w:pPr>
                  <w:r>
                    <w:rPr>
                      <w:color w:val="auto"/>
                      <w:szCs w:val="21"/>
                      <w:highlight w:val="none"/>
                    </w:rPr>
                    <w:t>颗粒物、非甲烷总烃</w:t>
                  </w:r>
                </w:p>
              </w:tc>
              <w:tc>
                <w:tcPr>
                  <w:tcW w:w="1230" w:type="pct"/>
                  <w:gridSpan w:val="2"/>
                  <w:vMerge w:val="restart"/>
                  <w:vAlign w:val="center"/>
                </w:tcPr>
                <w:p w14:paraId="3527ED05">
                  <w:pPr>
                    <w:spacing w:line="260" w:lineRule="exact"/>
                    <w:jc w:val="center"/>
                    <w:rPr>
                      <w:rFonts w:hint="eastAsia" w:eastAsia="宋体" w:cs="Times New Roman"/>
                      <w:color w:val="auto"/>
                      <w:sz w:val="21"/>
                      <w:szCs w:val="21"/>
                      <w:highlight w:val="none"/>
                      <w:lang w:val="en-US" w:eastAsia="zh-CN"/>
                    </w:rPr>
                  </w:pPr>
                  <w:r>
                    <w:rPr>
                      <w:color w:val="auto"/>
                      <w:szCs w:val="21"/>
                      <w:highlight w:val="none"/>
                    </w:rPr>
                    <w:t>提高废气收集和处理效率</w:t>
                  </w:r>
                </w:p>
              </w:tc>
              <w:tc>
                <w:tcPr>
                  <w:tcW w:w="1284" w:type="pct"/>
                  <w:vAlign w:val="center"/>
                </w:tcPr>
                <w:p w14:paraId="047293C1">
                  <w:pPr>
                    <w:adjustRightInd w:val="0"/>
                    <w:snapToGrid w:val="0"/>
                    <w:spacing w:line="300" w:lineRule="exact"/>
                    <w:jc w:val="center"/>
                    <w:rPr>
                      <w:rFonts w:hint="eastAsia"/>
                      <w:color w:val="auto"/>
                      <w:szCs w:val="21"/>
                      <w:highlight w:val="none"/>
                    </w:rPr>
                  </w:pPr>
                  <w:r>
                    <w:rPr>
                      <w:rFonts w:hint="eastAsia"/>
                      <w:b w:val="0"/>
                      <w:bCs/>
                      <w:color w:val="auto"/>
                      <w:szCs w:val="21"/>
                      <w:highlight w:val="none"/>
                      <w:lang w:val="en-US" w:eastAsia="zh-CN"/>
                    </w:rPr>
                    <w:t>《大气污染物综合排放标准》（DB32/4041-2021）</w:t>
                  </w:r>
                </w:p>
              </w:tc>
              <w:tc>
                <w:tcPr>
                  <w:tcW w:w="456" w:type="pct"/>
                  <w:vMerge w:val="continue"/>
                  <w:vAlign w:val="center"/>
                </w:tcPr>
                <w:p w14:paraId="5C9E757B">
                  <w:pPr>
                    <w:jc w:val="center"/>
                    <w:rPr>
                      <w:rFonts w:hint="eastAsia"/>
                      <w:color w:val="auto"/>
                      <w:szCs w:val="21"/>
                      <w:highlight w:val="none"/>
                    </w:rPr>
                  </w:pPr>
                </w:p>
              </w:tc>
              <w:tc>
                <w:tcPr>
                  <w:tcW w:w="375" w:type="pct"/>
                  <w:vMerge w:val="continue"/>
                  <w:vAlign w:val="center"/>
                </w:tcPr>
                <w:p w14:paraId="106DAE5C">
                  <w:pPr>
                    <w:jc w:val="center"/>
                    <w:rPr>
                      <w:color w:val="auto"/>
                      <w:szCs w:val="21"/>
                      <w:highlight w:val="none"/>
                    </w:rPr>
                  </w:pPr>
                </w:p>
              </w:tc>
            </w:tr>
            <w:tr w14:paraId="4F2D2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14:paraId="16BF5DBF">
                  <w:pPr>
                    <w:jc w:val="center"/>
                    <w:rPr>
                      <w:rFonts w:hint="eastAsia"/>
                      <w:color w:val="auto"/>
                      <w:szCs w:val="21"/>
                      <w:highlight w:val="none"/>
                    </w:rPr>
                  </w:pPr>
                </w:p>
              </w:tc>
              <w:tc>
                <w:tcPr>
                  <w:tcW w:w="206" w:type="pct"/>
                  <w:vMerge w:val="continue"/>
                  <w:vAlign w:val="center"/>
                </w:tcPr>
                <w:p w14:paraId="48298971">
                  <w:pPr>
                    <w:widowControl/>
                    <w:jc w:val="center"/>
                    <w:rPr>
                      <w:rFonts w:hint="eastAsia" w:cs="Times New Roman"/>
                      <w:color w:val="auto"/>
                      <w:kern w:val="24"/>
                      <w:highlight w:val="none"/>
                      <w:lang w:val="en-US" w:eastAsia="zh-CN"/>
                    </w:rPr>
                  </w:pPr>
                </w:p>
              </w:tc>
              <w:tc>
                <w:tcPr>
                  <w:tcW w:w="334" w:type="pct"/>
                  <w:vAlign w:val="center"/>
                </w:tcPr>
                <w:p w14:paraId="47F2128E">
                  <w:pPr>
                    <w:widowControl/>
                    <w:jc w:val="center"/>
                    <w:rPr>
                      <w:rFonts w:hint="eastAsia" w:cs="Times New Roman"/>
                      <w:color w:val="auto"/>
                      <w:kern w:val="24"/>
                      <w:highlight w:val="none"/>
                      <w:lang w:val="en-US" w:eastAsia="zh-CN"/>
                    </w:rPr>
                  </w:pPr>
                  <w:r>
                    <w:rPr>
                      <w:color w:val="auto"/>
                      <w:kern w:val="0"/>
                      <w:szCs w:val="21"/>
                      <w:highlight w:val="none"/>
                      <w:lang w:bidi="ar"/>
                    </w:rPr>
                    <w:t>厂区内</w:t>
                  </w:r>
                  <w:r>
                    <w:rPr>
                      <w:rFonts w:hint="eastAsia"/>
                      <w:color w:val="auto"/>
                      <w:kern w:val="0"/>
                      <w:szCs w:val="21"/>
                      <w:highlight w:val="none"/>
                      <w:lang w:val="en-US" w:eastAsia="zh-CN" w:bidi="ar"/>
                    </w:rPr>
                    <w:t>厂房外</w:t>
                  </w:r>
                </w:p>
              </w:tc>
              <w:tc>
                <w:tcPr>
                  <w:tcW w:w="686" w:type="pct"/>
                  <w:vAlign w:val="center"/>
                </w:tcPr>
                <w:p w14:paraId="760B99AC">
                  <w:pPr>
                    <w:adjustRightInd w:val="0"/>
                    <w:snapToGrid w:val="0"/>
                    <w:jc w:val="center"/>
                    <w:rPr>
                      <w:rFonts w:hint="eastAsia"/>
                      <w:color w:val="auto"/>
                      <w:sz w:val="21"/>
                      <w:szCs w:val="21"/>
                      <w:highlight w:val="none"/>
                      <w:lang w:val="en-US" w:eastAsia="zh-CN"/>
                    </w:rPr>
                  </w:pPr>
                  <w:r>
                    <w:rPr>
                      <w:color w:val="auto"/>
                      <w:szCs w:val="21"/>
                      <w:highlight w:val="none"/>
                    </w:rPr>
                    <w:t>非甲烷总烃</w:t>
                  </w:r>
                </w:p>
              </w:tc>
              <w:tc>
                <w:tcPr>
                  <w:tcW w:w="1230" w:type="pct"/>
                  <w:gridSpan w:val="2"/>
                  <w:vMerge w:val="continue"/>
                  <w:vAlign w:val="center"/>
                </w:tcPr>
                <w:p w14:paraId="42885C27">
                  <w:pPr>
                    <w:jc w:val="center"/>
                    <w:rPr>
                      <w:rFonts w:hint="eastAsia" w:eastAsia="宋体" w:cs="Times New Roman"/>
                      <w:color w:val="auto"/>
                      <w:sz w:val="21"/>
                      <w:szCs w:val="21"/>
                      <w:highlight w:val="none"/>
                      <w:lang w:val="en-US" w:eastAsia="zh-CN"/>
                    </w:rPr>
                  </w:pPr>
                </w:p>
              </w:tc>
              <w:tc>
                <w:tcPr>
                  <w:tcW w:w="1284" w:type="pct"/>
                  <w:vAlign w:val="center"/>
                </w:tcPr>
                <w:p w14:paraId="1EEDB0FC">
                  <w:pPr>
                    <w:jc w:val="center"/>
                    <w:rPr>
                      <w:rFonts w:hint="eastAsia"/>
                      <w:color w:val="auto"/>
                      <w:szCs w:val="21"/>
                      <w:highlight w:val="none"/>
                    </w:rPr>
                  </w:pPr>
                  <w:r>
                    <w:rPr>
                      <w:rFonts w:hint="default" w:ascii="Times New Roman" w:hAnsi="Times New Roman" w:eastAsia="宋体" w:cs="Times New Roman"/>
                      <w:color w:val="auto"/>
                      <w:sz w:val="21"/>
                      <w:szCs w:val="16"/>
                      <w:highlight w:val="none"/>
                    </w:rPr>
                    <w:t>《</w:t>
                  </w:r>
                  <w:r>
                    <w:rPr>
                      <w:rFonts w:hint="default" w:ascii="Times New Roman" w:hAnsi="Times New Roman" w:eastAsia="宋体" w:cs="Times New Roman"/>
                      <w:color w:val="auto"/>
                      <w:sz w:val="21"/>
                      <w:szCs w:val="16"/>
                      <w:highlight w:val="none"/>
                      <w:lang w:val="en-US" w:eastAsia="zh-CN"/>
                    </w:rPr>
                    <w:t>工业涂装工序</w:t>
                  </w:r>
                  <w:r>
                    <w:rPr>
                      <w:rFonts w:hint="default" w:ascii="Times New Roman" w:hAnsi="Times New Roman" w:eastAsia="宋体" w:cs="Times New Roman"/>
                      <w:color w:val="auto"/>
                      <w:sz w:val="21"/>
                      <w:szCs w:val="16"/>
                      <w:highlight w:val="none"/>
                    </w:rPr>
                    <w:t>大气污染物排放标准》（DB32/4</w:t>
                  </w:r>
                  <w:r>
                    <w:rPr>
                      <w:rFonts w:hint="default" w:ascii="Times New Roman" w:hAnsi="Times New Roman" w:eastAsia="宋体" w:cs="Times New Roman"/>
                      <w:color w:val="auto"/>
                      <w:sz w:val="21"/>
                      <w:szCs w:val="16"/>
                      <w:highlight w:val="none"/>
                      <w:lang w:val="en-US" w:eastAsia="zh-CN"/>
                    </w:rPr>
                    <w:t>439</w:t>
                  </w:r>
                  <w:r>
                    <w:rPr>
                      <w:rFonts w:hint="default" w:ascii="Times New Roman" w:hAnsi="Times New Roman" w:eastAsia="宋体" w:cs="Times New Roman"/>
                      <w:color w:val="auto"/>
                      <w:sz w:val="21"/>
                      <w:szCs w:val="16"/>
                      <w:highlight w:val="none"/>
                    </w:rPr>
                    <w:t>-202</w:t>
                  </w:r>
                  <w:r>
                    <w:rPr>
                      <w:rFonts w:hint="default" w:ascii="Times New Roman" w:hAnsi="Times New Roman" w:eastAsia="宋体" w:cs="Times New Roman"/>
                      <w:color w:val="auto"/>
                      <w:sz w:val="21"/>
                      <w:szCs w:val="16"/>
                      <w:highlight w:val="none"/>
                      <w:lang w:val="en-US" w:eastAsia="zh-CN"/>
                    </w:rPr>
                    <w:t>2</w:t>
                  </w:r>
                  <w:r>
                    <w:rPr>
                      <w:rFonts w:hint="default" w:ascii="Times New Roman" w:hAnsi="Times New Roman" w:eastAsia="宋体" w:cs="Times New Roman"/>
                      <w:color w:val="auto"/>
                      <w:sz w:val="21"/>
                      <w:szCs w:val="16"/>
                      <w:highlight w:val="none"/>
                    </w:rPr>
                    <w:t>）</w:t>
                  </w:r>
                </w:p>
              </w:tc>
              <w:tc>
                <w:tcPr>
                  <w:tcW w:w="456" w:type="pct"/>
                  <w:vMerge w:val="continue"/>
                  <w:vAlign w:val="center"/>
                </w:tcPr>
                <w:p w14:paraId="68AF1627">
                  <w:pPr>
                    <w:jc w:val="center"/>
                    <w:rPr>
                      <w:rFonts w:hint="eastAsia"/>
                      <w:color w:val="auto"/>
                      <w:szCs w:val="21"/>
                      <w:highlight w:val="none"/>
                    </w:rPr>
                  </w:pPr>
                </w:p>
              </w:tc>
              <w:tc>
                <w:tcPr>
                  <w:tcW w:w="375" w:type="pct"/>
                  <w:vMerge w:val="continue"/>
                  <w:vAlign w:val="center"/>
                </w:tcPr>
                <w:p w14:paraId="58860BF5">
                  <w:pPr>
                    <w:jc w:val="center"/>
                    <w:rPr>
                      <w:color w:val="auto"/>
                      <w:szCs w:val="21"/>
                      <w:highlight w:val="none"/>
                    </w:rPr>
                  </w:pPr>
                </w:p>
              </w:tc>
            </w:tr>
            <w:tr w14:paraId="5C6BB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restart"/>
                  <w:vAlign w:val="center"/>
                </w:tcPr>
                <w:p w14:paraId="796AA923">
                  <w:pPr>
                    <w:jc w:val="center"/>
                    <w:rPr>
                      <w:rFonts w:hint="eastAsia" w:eastAsia="宋体"/>
                      <w:color w:val="auto"/>
                      <w:szCs w:val="21"/>
                      <w:highlight w:val="none"/>
                      <w:lang w:val="en-US" w:eastAsia="zh-CN"/>
                    </w:rPr>
                  </w:pPr>
                  <w:r>
                    <w:rPr>
                      <w:rFonts w:hint="eastAsia"/>
                      <w:color w:val="auto"/>
                      <w:szCs w:val="21"/>
                      <w:highlight w:val="none"/>
                      <w:lang w:val="en-US" w:eastAsia="zh-CN"/>
                    </w:rPr>
                    <w:t>废水</w:t>
                  </w:r>
                </w:p>
              </w:tc>
              <w:tc>
                <w:tcPr>
                  <w:tcW w:w="541" w:type="pct"/>
                  <w:gridSpan w:val="2"/>
                  <w:vAlign w:val="center"/>
                </w:tcPr>
                <w:p w14:paraId="42AA033D">
                  <w:pPr>
                    <w:jc w:val="center"/>
                    <w:rPr>
                      <w:rFonts w:hint="eastAsia" w:ascii="Times New Roman" w:hAnsi="Times New Roman" w:eastAsia="宋体" w:cs="Times New Roman"/>
                      <w:color w:val="auto"/>
                      <w:kern w:val="24"/>
                      <w:sz w:val="21"/>
                      <w:szCs w:val="24"/>
                      <w:highlight w:val="none"/>
                      <w:lang w:val="en-US" w:eastAsia="zh-CN" w:bidi="ar-SA"/>
                    </w:rPr>
                  </w:pPr>
                  <w:r>
                    <w:rPr>
                      <w:rFonts w:hint="eastAsia" w:cs="Times New Roman"/>
                      <w:color w:val="auto"/>
                      <w:kern w:val="24"/>
                      <w:highlight w:val="none"/>
                      <w:lang w:val="en-US" w:eastAsia="zh-CN"/>
                    </w:rPr>
                    <w:t>生活污水</w:t>
                  </w:r>
                </w:p>
              </w:tc>
              <w:tc>
                <w:tcPr>
                  <w:tcW w:w="686" w:type="pct"/>
                  <w:vAlign w:val="center"/>
                </w:tcPr>
                <w:p w14:paraId="11B10DA1">
                  <w:pPr>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2"/>
                      <w:highlight w:val="none"/>
                      <w:lang w:val="en-US" w:eastAsia="zh-CN" w:bidi="ar-SA"/>
                    </w:rPr>
                    <w:t>pH、</w:t>
                  </w:r>
                  <w:r>
                    <w:rPr>
                      <w:rFonts w:hint="eastAsia" w:ascii="Times New Roman" w:hAnsi="Times New Roman" w:eastAsia="宋体" w:cs="Times New Roman"/>
                      <w:color w:val="auto"/>
                      <w:kern w:val="2"/>
                      <w:sz w:val="21"/>
                      <w:szCs w:val="22"/>
                      <w:highlight w:val="none"/>
                      <w:lang w:val="en-US" w:eastAsia="zh-CN" w:bidi="ar-SA"/>
                    </w:rPr>
                    <w:t>COD、BOD</w:t>
                  </w:r>
                  <w:r>
                    <w:rPr>
                      <w:rFonts w:hint="eastAsia" w:ascii="Times New Roman" w:hAnsi="Times New Roman" w:eastAsia="宋体" w:cs="Times New Roman"/>
                      <w:color w:val="auto"/>
                      <w:kern w:val="2"/>
                      <w:sz w:val="21"/>
                      <w:szCs w:val="22"/>
                      <w:highlight w:val="none"/>
                      <w:vertAlign w:val="subscript"/>
                      <w:lang w:val="en-US" w:eastAsia="zh-CN" w:bidi="ar-SA"/>
                    </w:rPr>
                    <w:t>5</w:t>
                  </w:r>
                  <w:r>
                    <w:rPr>
                      <w:rFonts w:hint="eastAsia" w:ascii="Times New Roman" w:hAnsi="Times New Roman" w:eastAsia="宋体" w:cs="Times New Roman"/>
                      <w:color w:val="auto"/>
                      <w:kern w:val="2"/>
                      <w:sz w:val="21"/>
                      <w:szCs w:val="22"/>
                      <w:highlight w:val="none"/>
                      <w:lang w:val="en-US" w:eastAsia="zh-CN" w:bidi="ar-SA"/>
                    </w:rPr>
                    <w:t>、SS、氨氮、总氮、总磷</w:t>
                  </w:r>
                </w:p>
              </w:tc>
              <w:tc>
                <w:tcPr>
                  <w:tcW w:w="1230" w:type="pct"/>
                  <w:gridSpan w:val="2"/>
                  <w:vAlign w:val="center"/>
                </w:tcPr>
                <w:p w14:paraId="4A4400F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化粪池</w:t>
                  </w:r>
                </w:p>
              </w:tc>
              <w:tc>
                <w:tcPr>
                  <w:tcW w:w="1284" w:type="pct"/>
                  <w:vMerge w:val="restart"/>
                  <w:vAlign w:val="center"/>
                </w:tcPr>
                <w:p w14:paraId="3B8D2C78">
                  <w:pPr>
                    <w:jc w:val="center"/>
                    <w:rPr>
                      <w:rFonts w:hint="default" w:eastAsia="宋体"/>
                      <w:color w:val="auto"/>
                      <w:szCs w:val="21"/>
                      <w:highlight w:val="none"/>
                      <w:lang w:val="en-US" w:eastAsia="zh-CN"/>
                    </w:rPr>
                  </w:pPr>
                  <w:r>
                    <w:rPr>
                      <w:rFonts w:hint="eastAsia"/>
                      <w:color w:val="auto"/>
                      <w:szCs w:val="21"/>
                      <w:highlight w:val="none"/>
                      <w:lang w:val="en-US" w:eastAsia="zh-CN"/>
                    </w:rPr>
                    <w:t>李口镇污水处理厂接管标准，</w:t>
                  </w:r>
                  <w:r>
                    <w:rPr>
                      <w:rFonts w:hint="eastAsia"/>
                      <w:color w:val="auto"/>
                      <w:sz w:val="21"/>
                      <w:szCs w:val="21"/>
                      <w:highlight w:val="none"/>
                      <w:lang w:val="en-US" w:eastAsia="zh-CN"/>
                    </w:rPr>
                    <w:t>总锌</w:t>
                  </w:r>
                  <w:r>
                    <w:rPr>
                      <w:rFonts w:hint="eastAsia"/>
                      <w:bCs/>
                      <w:color w:val="auto"/>
                      <w:sz w:val="21"/>
                      <w:szCs w:val="21"/>
                      <w:highlight w:val="none"/>
                      <w:lang w:val="en-US" w:eastAsia="zh-CN"/>
                    </w:rPr>
                    <w:t>浓度企业总排口达到《城镇污水处理厂污染物排放标准》（DB32/4440-2022）中表4标准限值</w:t>
                  </w:r>
                </w:p>
              </w:tc>
              <w:tc>
                <w:tcPr>
                  <w:tcW w:w="456" w:type="pct"/>
                  <w:vMerge w:val="restart"/>
                  <w:vAlign w:val="center"/>
                </w:tcPr>
                <w:p w14:paraId="1B1FA5C5">
                  <w:pPr>
                    <w:jc w:val="center"/>
                    <w:rPr>
                      <w:rFonts w:hint="default" w:eastAsia="宋体"/>
                      <w:color w:val="auto"/>
                      <w:szCs w:val="21"/>
                      <w:highlight w:val="none"/>
                      <w:lang w:val="en-US" w:eastAsia="zh-CN"/>
                    </w:rPr>
                  </w:pPr>
                  <w:r>
                    <w:rPr>
                      <w:rFonts w:hint="eastAsia"/>
                      <w:color w:val="auto"/>
                      <w:szCs w:val="21"/>
                      <w:highlight w:val="none"/>
                      <w:lang w:val="en-US" w:eastAsia="zh-CN"/>
                    </w:rPr>
                    <w:t>30</w:t>
                  </w:r>
                </w:p>
              </w:tc>
              <w:tc>
                <w:tcPr>
                  <w:tcW w:w="375" w:type="pct"/>
                  <w:vMerge w:val="continue"/>
                  <w:vAlign w:val="center"/>
                </w:tcPr>
                <w:p w14:paraId="08155280">
                  <w:pPr>
                    <w:jc w:val="center"/>
                    <w:rPr>
                      <w:color w:val="auto"/>
                      <w:szCs w:val="21"/>
                      <w:highlight w:val="none"/>
                    </w:rPr>
                  </w:pPr>
                </w:p>
              </w:tc>
            </w:tr>
            <w:tr w14:paraId="74E64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14:paraId="4E7356BF">
                  <w:pPr>
                    <w:jc w:val="center"/>
                    <w:rPr>
                      <w:rFonts w:hint="eastAsia"/>
                      <w:color w:val="auto"/>
                      <w:szCs w:val="21"/>
                      <w:highlight w:val="none"/>
                    </w:rPr>
                  </w:pPr>
                </w:p>
              </w:tc>
              <w:tc>
                <w:tcPr>
                  <w:tcW w:w="541" w:type="pct"/>
                  <w:gridSpan w:val="2"/>
                  <w:vAlign w:val="center"/>
                </w:tcPr>
                <w:p w14:paraId="6F5C38E0">
                  <w:pPr>
                    <w:jc w:val="center"/>
                    <w:rPr>
                      <w:rFonts w:hint="default" w:cs="Times New Roman"/>
                      <w:color w:val="auto"/>
                      <w:kern w:val="24"/>
                      <w:highlight w:val="none"/>
                      <w:lang w:val="en-US" w:eastAsia="zh-CN"/>
                    </w:rPr>
                  </w:pPr>
                  <w:r>
                    <w:rPr>
                      <w:rFonts w:hint="eastAsia" w:cs="Times New Roman"/>
                      <w:color w:val="auto"/>
                      <w:kern w:val="24"/>
                      <w:highlight w:val="none"/>
                      <w:lang w:val="en-US" w:eastAsia="zh-CN"/>
                    </w:rPr>
                    <w:t>表面处理废水</w:t>
                  </w:r>
                </w:p>
              </w:tc>
              <w:tc>
                <w:tcPr>
                  <w:tcW w:w="686" w:type="pct"/>
                  <w:vAlign w:val="center"/>
                </w:tcPr>
                <w:p w14:paraId="1F3C47B0">
                  <w:pPr>
                    <w:jc w:val="center"/>
                    <w:rPr>
                      <w:rFonts w:hint="default"/>
                      <w:color w:val="auto"/>
                      <w:sz w:val="21"/>
                      <w:szCs w:val="21"/>
                      <w:highlight w:val="none"/>
                      <w:lang w:val="en-US"/>
                    </w:rPr>
                  </w:pPr>
                  <w:r>
                    <w:rPr>
                      <w:rFonts w:hint="eastAsia" w:cs="Times New Roman"/>
                      <w:color w:val="auto"/>
                      <w:kern w:val="2"/>
                      <w:sz w:val="21"/>
                      <w:szCs w:val="22"/>
                      <w:highlight w:val="none"/>
                      <w:lang w:val="en-US" w:eastAsia="zh-CN" w:bidi="ar-SA"/>
                    </w:rPr>
                    <w:t>pH、</w:t>
                  </w:r>
                  <w:r>
                    <w:rPr>
                      <w:rFonts w:hint="eastAsia" w:ascii="Times New Roman" w:hAnsi="Times New Roman" w:eastAsia="宋体" w:cs="Times New Roman"/>
                      <w:color w:val="auto"/>
                      <w:kern w:val="2"/>
                      <w:sz w:val="21"/>
                      <w:szCs w:val="22"/>
                      <w:highlight w:val="none"/>
                      <w:lang w:val="en-US" w:eastAsia="zh-CN" w:bidi="ar-SA"/>
                    </w:rPr>
                    <w:t>COD、BOD</w:t>
                  </w:r>
                  <w:r>
                    <w:rPr>
                      <w:rFonts w:hint="eastAsia" w:ascii="Times New Roman" w:hAnsi="Times New Roman" w:eastAsia="宋体" w:cs="Times New Roman"/>
                      <w:color w:val="auto"/>
                      <w:kern w:val="2"/>
                      <w:sz w:val="21"/>
                      <w:szCs w:val="22"/>
                      <w:highlight w:val="none"/>
                      <w:vertAlign w:val="subscript"/>
                      <w:lang w:val="en-US" w:eastAsia="zh-CN" w:bidi="ar-SA"/>
                    </w:rPr>
                    <w:t>5</w:t>
                  </w:r>
                  <w:r>
                    <w:rPr>
                      <w:rFonts w:hint="eastAsia" w:ascii="Times New Roman" w:hAnsi="Times New Roman" w:eastAsia="宋体" w:cs="Times New Roman"/>
                      <w:color w:val="auto"/>
                      <w:kern w:val="2"/>
                      <w:sz w:val="21"/>
                      <w:szCs w:val="22"/>
                      <w:highlight w:val="none"/>
                      <w:lang w:val="en-US" w:eastAsia="zh-CN" w:bidi="ar-SA"/>
                    </w:rPr>
                    <w:t>、SS、总氮、总磷</w:t>
                  </w:r>
                  <w:r>
                    <w:rPr>
                      <w:rFonts w:hint="eastAsia" w:cs="Times New Roman"/>
                      <w:color w:val="auto"/>
                      <w:kern w:val="2"/>
                      <w:sz w:val="21"/>
                      <w:szCs w:val="22"/>
                      <w:highlight w:val="none"/>
                      <w:lang w:val="en-US" w:eastAsia="zh-CN" w:bidi="ar-SA"/>
                    </w:rPr>
                    <w:t>、石油类、总锌</w:t>
                  </w:r>
                </w:p>
              </w:tc>
              <w:tc>
                <w:tcPr>
                  <w:tcW w:w="1230" w:type="pct"/>
                  <w:gridSpan w:val="2"/>
                  <w:vAlign w:val="center"/>
                </w:tcPr>
                <w:p w14:paraId="1FF80F3A">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污水处理站TW002（</w:t>
                  </w:r>
                  <w:r>
                    <w:rPr>
                      <w:rFonts w:hint="default" w:ascii="Times New Roman" w:hAnsi="Times New Roman" w:eastAsia="宋体" w:cs="Times New Roman"/>
                      <w:color w:val="auto"/>
                      <w:sz w:val="21"/>
                      <w:szCs w:val="21"/>
                      <w:highlight w:val="none"/>
                    </w:rPr>
                    <w:t>隔油+中和+絮凝+斜管沉淀+</w:t>
                  </w:r>
                  <w:r>
                    <w:rPr>
                      <w:rFonts w:hint="eastAsia" w:ascii="Times New Roman" w:hAnsi="Times New Roman" w:eastAsia="宋体" w:cs="Times New Roman"/>
                      <w:color w:val="auto"/>
                      <w:sz w:val="21"/>
                      <w:szCs w:val="21"/>
                      <w:highlight w:val="none"/>
                      <w:lang w:eastAsia="zh-CN"/>
                    </w:rPr>
                    <w:t>过滤器</w:t>
                  </w:r>
                  <w:r>
                    <w:rPr>
                      <w:rFonts w:hint="eastAsia" w:ascii="Times New Roman" w:hAnsi="Times New Roman" w:eastAsia="宋体" w:cs="Times New Roman"/>
                      <w:color w:val="auto"/>
                      <w:sz w:val="21"/>
                      <w:szCs w:val="21"/>
                      <w:highlight w:val="none"/>
                      <w:lang w:val="en-US" w:eastAsia="zh-CN"/>
                    </w:rPr>
                    <w:t>处理工艺处理</w:t>
                  </w:r>
                  <w:r>
                    <w:rPr>
                      <w:rFonts w:hint="eastAsia" w:cs="Times New Roman"/>
                      <w:color w:val="auto"/>
                      <w:sz w:val="21"/>
                      <w:szCs w:val="21"/>
                      <w:highlight w:val="none"/>
                      <w:lang w:val="en-US" w:eastAsia="zh-CN"/>
                    </w:rPr>
                    <w:t>）</w:t>
                  </w:r>
                </w:p>
              </w:tc>
              <w:tc>
                <w:tcPr>
                  <w:tcW w:w="1284" w:type="pct"/>
                  <w:vMerge w:val="continue"/>
                  <w:vAlign w:val="center"/>
                </w:tcPr>
                <w:p w14:paraId="07345B42">
                  <w:pPr>
                    <w:jc w:val="center"/>
                    <w:rPr>
                      <w:rFonts w:hint="eastAsia"/>
                      <w:color w:val="auto"/>
                      <w:szCs w:val="21"/>
                      <w:highlight w:val="none"/>
                    </w:rPr>
                  </w:pPr>
                </w:p>
              </w:tc>
              <w:tc>
                <w:tcPr>
                  <w:tcW w:w="456" w:type="pct"/>
                  <w:vMerge w:val="continue"/>
                  <w:vAlign w:val="center"/>
                </w:tcPr>
                <w:p w14:paraId="1833E70E">
                  <w:pPr>
                    <w:jc w:val="center"/>
                    <w:rPr>
                      <w:rFonts w:hint="eastAsia"/>
                      <w:color w:val="auto"/>
                      <w:szCs w:val="21"/>
                      <w:highlight w:val="none"/>
                    </w:rPr>
                  </w:pPr>
                </w:p>
              </w:tc>
              <w:tc>
                <w:tcPr>
                  <w:tcW w:w="375" w:type="pct"/>
                  <w:vMerge w:val="continue"/>
                  <w:vAlign w:val="center"/>
                </w:tcPr>
                <w:p w14:paraId="2B8F04E1">
                  <w:pPr>
                    <w:jc w:val="center"/>
                    <w:rPr>
                      <w:color w:val="auto"/>
                      <w:szCs w:val="21"/>
                      <w:highlight w:val="none"/>
                    </w:rPr>
                  </w:pPr>
                </w:p>
              </w:tc>
            </w:tr>
            <w:tr w14:paraId="74132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4" w:type="pct"/>
                  <w:vAlign w:val="center"/>
                </w:tcPr>
                <w:p w14:paraId="0194B5F4">
                  <w:pPr>
                    <w:jc w:val="center"/>
                    <w:rPr>
                      <w:color w:val="auto"/>
                      <w:szCs w:val="21"/>
                      <w:highlight w:val="none"/>
                    </w:rPr>
                  </w:pPr>
                  <w:r>
                    <w:rPr>
                      <w:rFonts w:hint="eastAsia"/>
                      <w:color w:val="auto"/>
                      <w:szCs w:val="21"/>
                      <w:highlight w:val="none"/>
                    </w:rPr>
                    <w:t>噪声</w:t>
                  </w:r>
                </w:p>
              </w:tc>
              <w:tc>
                <w:tcPr>
                  <w:tcW w:w="541" w:type="pct"/>
                  <w:gridSpan w:val="2"/>
                  <w:vAlign w:val="center"/>
                </w:tcPr>
                <w:p w14:paraId="4E0F68AE">
                  <w:pPr>
                    <w:jc w:val="center"/>
                    <w:rPr>
                      <w:color w:val="auto"/>
                      <w:szCs w:val="21"/>
                      <w:highlight w:val="none"/>
                    </w:rPr>
                  </w:pPr>
                  <w:r>
                    <w:rPr>
                      <w:rFonts w:hint="eastAsia"/>
                      <w:color w:val="auto"/>
                      <w:szCs w:val="21"/>
                      <w:highlight w:val="none"/>
                    </w:rPr>
                    <w:t>生产设备</w:t>
                  </w:r>
                </w:p>
              </w:tc>
              <w:tc>
                <w:tcPr>
                  <w:tcW w:w="686" w:type="pct"/>
                  <w:vAlign w:val="center"/>
                </w:tcPr>
                <w:p w14:paraId="3E97AA54">
                  <w:pPr>
                    <w:jc w:val="center"/>
                    <w:rPr>
                      <w:color w:val="auto"/>
                      <w:szCs w:val="21"/>
                      <w:highlight w:val="none"/>
                    </w:rPr>
                  </w:pPr>
                  <w:r>
                    <w:rPr>
                      <w:rFonts w:hint="eastAsia"/>
                      <w:color w:val="auto"/>
                      <w:szCs w:val="21"/>
                      <w:highlight w:val="none"/>
                    </w:rPr>
                    <w:t>—</w:t>
                  </w:r>
                </w:p>
              </w:tc>
              <w:tc>
                <w:tcPr>
                  <w:tcW w:w="1230" w:type="pct"/>
                  <w:gridSpan w:val="2"/>
                  <w:vAlign w:val="center"/>
                </w:tcPr>
                <w:p w14:paraId="4063802E">
                  <w:pPr>
                    <w:jc w:val="center"/>
                    <w:rPr>
                      <w:color w:val="auto"/>
                      <w:szCs w:val="21"/>
                      <w:highlight w:val="none"/>
                    </w:rPr>
                  </w:pPr>
                  <w:r>
                    <w:rPr>
                      <w:rFonts w:hint="eastAsia"/>
                      <w:color w:val="auto"/>
                      <w:szCs w:val="21"/>
                      <w:highlight w:val="none"/>
                    </w:rPr>
                    <w:t>消声、基础减振、厂房隔声</w:t>
                  </w:r>
                </w:p>
              </w:tc>
              <w:tc>
                <w:tcPr>
                  <w:tcW w:w="1284" w:type="pct"/>
                  <w:vAlign w:val="center"/>
                </w:tcPr>
                <w:p w14:paraId="4978924E">
                  <w:pPr>
                    <w:jc w:val="center"/>
                    <w:rPr>
                      <w:color w:val="auto"/>
                      <w:szCs w:val="21"/>
                      <w:highlight w:val="none"/>
                    </w:rPr>
                  </w:pPr>
                  <w:r>
                    <w:rPr>
                      <w:rFonts w:hint="eastAsia"/>
                      <w:color w:val="auto"/>
                      <w:szCs w:val="21"/>
                      <w:highlight w:val="none"/>
                    </w:rPr>
                    <w:t>《工业企业厂界环境噪声排放标准》（GB12348-2008）3类标准</w:t>
                  </w:r>
                </w:p>
              </w:tc>
              <w:tc>
                <w:tcPr>
                  <w:tcW w:w="456" w:type="pct"/>
                  <w:vAlign w:val="center"/>
                </w:tcPr>
                <w:p w14:paraId="32578855">
                  <w:pPr>
                    <w:jc w:val="center"/>
                    <w:rPr>
                      <w:rFonts w:hint="eastAsia" w:eastAsia="宋体"/>
                      <w:color w:val="auto"/>
                      <w:szCs w:val="21"/>
                      <w:highlight w:val="none"/>
                      <w:lang w:eastAsia="zh-CN"/>
                    </w:rPr>
                  </w:pPr>
                  <w:r>
                    <w:rPr>
                      <w:rFonts w:hint="eastAsia"/>
                      <w:color w:val="auto"/>
                      <w:szCs w:val="21"/>
                      <w:highlight w:val="none"/>
                      <w:lang w:val="en-US" w:eastAsia="zh-CN"/>
                    </w:rPr>
                    <w:t>5</w:t>
                  </w:r>
                </w:p>
              </w:tc>
              <w:tc>
                <w:tcPr>
                  <w:tcW w:w="375" w:type="pct"/>
                  <w:vMerge w:val="continue"/>
                  <w:vAlign w:val="center"/>
                </w:tcPr>
                <w:p w14:paraId="1173EF1C">
                  <w:pPr>
                    <w:jc w:val="center"/>
                    <w:rPr>
                      <w:color w:val="auto"/>
                      <w:szCs w:val="21"/>
                      <w:highlight w:val="none"/>
                    </w:rPr>
                  </w:pPr>
                </w:p>
              </w:tc>
            </w:tr>
            <w:tr w14:paraId="79342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restart"/>
                  <w:vAlign w:val="center"/>
                </w:tcPr>
                <w:p w14:paraId="51EBBD42">
                  <w:pPr>
                    <w:jc w:val="center"/>
                    <w:rPr>
                      <w:color w:val="auto"/>
                      <w:szCs w:val="21"/>
                      <w:highlight w:val="none"/>
                    </w:rPr>
                  </w:pPr>
                  <w:r>
                    <w:rPr>
                      <w:rFonts w:hint="eastAsia"/>
                      <w:color w:val="auto"/>
                      <w:szCs w:val="21"/>
                      <w:highlight w:val="none"/>
                    </w:rPr>
                    <w:t>固废</w:t>
                  </w:r>
                </w:p>
              </w:tc>
              <w:tc>
                <w:tcPr>
                  <w:tcW w:w="1228" w:type="pct"/>
                  <w:gridSpan w:val="3"/>
                  <w:vAlign w:val="center"/>
                </w:tcPr>
                <w:p w14:paraId="3F7D6A57">
                  <w:pPr>
                    <w:jc w:val="center"/>
                    <w:rPr>
                      <w:rFonts w:hint="default" w:eastAsia="宋体"/>
                      <w:color w:val="auto"/>
                      <w:szCs w:val="21"/>
                      <w:highlight w:val="none"/>
                      <w:lang w:val="en-US" w:eastAsia="zh-CN"/>
                    </w:rPr>
                  </w:pPr>
                  <w:r>
                    <w:rPr>
                      <w:rFonts w:hint="eastAsia"/>
                      <w:color w:val="auto"/>
                      <w:szCs w:val="21"/>
                      <w:highlight w:val="none"/>
                      <w:lang w:val="en-US" w:eastAsia="zh-CN"/>
                    </w:rPr>
                    <w:t>生活垃圾</w:t>
                  </w:r>
                </w:p>
              </w:tc>
              <w:tc>
                <w:tcPr>
                  <w:tcW w:w="1230" w:type="pct"/>
                  <w:gridSpan w:val="2"/>
                  <w:vAlign w:val="center"/>
                </w:tcPr>
                <w:p w14:paraId="1272C0B5">
                  <w:pPr>
                    <w:jc w:val="center"/>
                    <w:rPr>
                      <w:rFonts w:hint="eastAsia" w:eastAsia="宋体"/>
                      <w:color w:val="auto"/>
                      <w:szCs w:val="21"/>
                      <w:highlight w:val="none"/>
                      <w:lang w:val="en-US" w:eastAsia="zh-CN"/>
                    </w:rPr>
                  </w:pPr>
                  <w:r>
                    <w:rPr>
                      <w:rFonts w:hint="eastAsia"/>
                      <w:color w:val="auto"/>
                      <w:szCs w:val="21"/>
                      <w:highlight w:val="none"/>
                      <w:lang w:val="en-US" w:eastAsia="zh-CN"/>
                    </w:rPr>
                    <w:t>环卫清运</w:t>
                  </w:r>
                </w:p>
              </w:tc>
              <w:tc>
                <w:tcPr>
                  <w:tcW w:w="1284" w:type="pct"/>
                  <w:vAlign w:val="center"/>
                </w:tcPr>
                <w:p w14:paraId="25BBB336">
                  <w:pPr>
                    <w:jc w:val="center"/>
                    <w:rPr>
                      <w:color w:val="auto"/>
                      <w:szCs w:val="21"/>
                      <w:highlight w:val="none"/>
                    </w:rPr>
                  </w:pPr>
                  <w:r>
                    <w:rPr>
                      <w:rFonts w:hint="eastAsia"/>
                      <w:color w:val="auto"/>
                      <w:szCs w:val="21"/>
                      <w:highlight w:val="none"/>
                    </w:rPr>
                    <w:t>妥善处置</w:t>
                  </w:r>
                </w:p>
              </w:tc>
              <w:tc>
                <w:tcPr>
                  <w:tcW w:w="456" w:type="pct"/>
                  <w:vMerge w:val="restart"/>
                  <w:vAlign w:val="center"/>
                </w:tcPr>
                <w:p w14:paraId="33131943">
                  <w:pPr>
                    <w:jc w:val="center"/>
                    <w:rPr>
                      <w:rFonts w:hint="eastAsia" w:eastAsia="宋体"/>
                      <w:color w:val="auto"/>
                      <w:szCs w:val="21"/>
                      <w:highlight w:val="none"/>
                      <w:lang w:val="en-US" w:eastAsia="zh-CN"/>
                    </w:rPr>
                  </w:pPr>
                  <w:r>
                    <w:rPr>
                      <w:rFonts w:hint="eastAsia"/>
                      <w:color w:val="auto"/>
                      <w:szCs w:val="21"/>
                      <w:highlight w:val="none"/>
                      <w:lang w:val="en-US" w:eastAsia="zh-CN"/>
                    </w:rPr>
                    <w:t>10</w:t>
                  </w:r>
                </w:p>
              </w:tc>
              <w:tc>
                <w:tcPr>
                  <w:tcW w:w="375" w:type="pct"/>
                  <w:vMerge w:val="continue"/>
                  <w:vAlign w:val="center"/>
                </w:tcPr>
                <w:p w14:paraId="14ECD4E9">
                  <w:pPr>
                    <w:jc w:val="center"/>
                    <w:rPr>
                      <w:color w:val="auto"/>
                      <w:szCs w:val="21"/>
                      <w:highlight w:val="none"/>
                    </w:rPr>
                  </w:pPr>
                </w:p>
              </w:tc>
            </w:tr>
            <w:tr w14:paraId="6DBBE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14:paraId="3DBDC198">
                  <w:pPr>
                    <w:jc w:val="center"/>
                    <w:rPr>
                      <w:color w:val="auto"/>
                      <w:szCs w:val="21"/>
                      <w:highlight w:val="none"/>
                    </w:rPr>
                  </w:pPr>
                </w:p>
              </w:tc>
              <w:tc>
                <w:tcPr>
                  <w:tcW w:w="541" w:type="pct"/>
                  <w:gridSpan w:val="2"/>
                  <w:vAlign w:val="center"/>
                </w:tcPr>
                <w:p w14:paraId="3D886480">
                  <w:pPr>
                    <w:jc w:val="center"/>
                    <w:rPr>
                      <w:color w:val="auto"/>
                      <w:szCs w:val="21"/>
                      <w:highlight w:val="none"/>
                    </w:rPr>
                  </w:pPr>
                  <w:r>
                    <w:rPr>
                      <w:rFonts w:hint="eastAsia"/>
                      <w:color w:val="auto"/>
                      <w:szCs w:val="21"/>
                      <w:highlight w:val="none"/>
                    </w:rPr>
                    <w:t>危险废物</w:t>
                  </w:r>
                </w:p>
              </w:tc>
              <w:tc>
                <w:tcPr>
                  <w:tcW w:w="686" w:type="pct"/>
                  <w:vAlign w:val="center"/>
                </w:tcPr>
                <w:p w14:paraId="104E8DB5">
                  <w:pPr>
                    <w:jc w:val="center"/>
                    <w:rPr>
                      <w:rFonts w:hint="default"/>
                      <w:color w:val="auto"/>
                      <w:szCs w:val="21"/>
                      <w:highlight w:val="none"/>
                      <w:lang w:val="en-US"/>
                    </w:rPr>
                  </w:pPr>
                  <w:r>
                    <w:rPr>
                      <w:rFonts w:hint="eastAsia"/>
                      <w:color w:val="auto"/>
                      <w:szCs w:val="21"/>
                      <w:highlight w:val="none"/>
                      <w:lang w:val="en-US" w:eastAsia="zh-CN"/>
                    </w:rPr>
                    <w:t>废布袋、槽渣、</w:t>
                  </w:r>
                  <w:r>
                    <w:rPr>
                      <w:rFonts w:hint="eastAsia"/>
                      <w:color w:val="auto"/>
                      <w:szCs w:val="21"/>
                      <w:highlight w:val="none"/>
                    </w:rPr>
                    <w:t>废活性炭、</w:t>
                  </w:r>
                  <w:r>
                    <w:rPr>
                      <w:rFonts w:hint="eastAsia"/>
                      <w:color w:val="auto"/>
                      <w:szCs w:val="21"/>
                      <w:highlight w:val="none"/>
                      <w:lang w:val="en-US" w:eastAsia="zh-CN"/>
                    </w:rPr>
                    <w:t>污泥、废油、废油</w:t>
                  </w:r>
                </w:p>
              </w:tc>
              <w:tc>
                <w:tcPr>
                  <w:tcW w:w="1230" w:type="pct"/>
                  <w:gridSpan w:val="2"/>
                  <w:vAlign w:val="center"/>
                </w:tcPr>
                <w:p w14:paraId="3BDDB37E">
                  <w:pPr>
                    <w:jc w:val="center"/>
                    <w:rPr>
                      <w:color w:val="auto"/>
                      <w:szCs w:val="21"/>
                      <w:highlight w:val="none"/>
                    </w:rPr>
                  </w:pPr>
                  <w:r>
                    <w:rPr>
                      <w:rFonts w:hint="eastAsia"/>
                      <w:bCs/>
                      <w:color w:val="auto"/>
                      <w:szCs w:val="21"/>
                      <w:highlight w:val="none"/>
                    </w:rPr>
                    <w:t>委托有资质单位处置</w:t>
                  </w:r>
                </w:p>
              </w:tc>
              <w:tc>
                <w:tcPr>
                  <w:tcW w:w="1284" w:type="pct"/>
                  <w:vAlign w:val="center"/>
                </w:tcPr>
                <w:p w14:paraId="75FB21A3">
                  <w:pPr>
                    <w:jc w:val="center"/>
                    <w:rPr>
                      <w:color w:val="auto"/>
                      <w:szCs w:val="21"/>
                      <w:highlight w:val="none"/>
                    </w:rPr>
                  </w:pPr>
                  <w:r>
                    <w:rPr>
                      <w:color w:val="auto"/>
                      <w:szCs w:val="21"/>
                      <w:highlight w:val="none"/>
                    </w:rPr>
                    <w:t>执行《危险废物贮存污染控制标准》（GB18597-20</w:t>
                  </w:r>
                  <w:r>
                    <w:rPr>
                      <w:rFonts w:hint="eastAsia"/>
                      <w:color w:val="auto"/>
                      <w:szCs w:val="21"/>
                      <w:highlight w:val="none"/>
                    </w:rPr>
                    <w:t>23</w:t>
                  </w:r>
                  <w:r>
                    <w:rPr>
                      <w:color w:val="auto"/>
                      <w:szCs w:val="21"/>
                      <w:highlight w:val="none"/>
                    </w:rPr>
                    <w:t>）</w:t>
                  </w:r>
                </w:p>
              </w:tc>
              <w:tc>
                <w:tcPr>
                  <w:tcW w:w="456" w:type="pct"/>
                  <w:vMerge w:val="continue"/>
                  <w:vAlign w:val="center"/>
                </w:tcPr>
                <w:p w14:paraId="7A29E81B">
                  <w:pPr>
                    <w:jc w:val="center"/>
                    <w:rPr>
                      <w:color w:val="auto"/>
                      <w:szCs w:val="21"/>
                      <w:highlight w:val="none"/>
                    </w:rPr>
                  </w:pPr>
                </w:p>
              </w:tc>
              <w:tc>
                <w:tcPr>
                  <w:tcW w:w="375" w:type="pct"/>
                  <w:vMerge w:val="continue"/>
                  <w:vAlign w:val="center"/>
                </w:tcPr>
                <w:p w14:paraId="399D455E">
                  <w:pPr>
                    <w:jc w:val="center"/>
                    <w:rPr>
                      <w:color w:val="auto"/>
                      <w:szCs w:val="21"/>
                      <w:highlight w:val="none"/>
                    </w:rPr>
                  </w:pPr>
                </w:p>
              </w:tc>
            </w:tr>
            <w:tr w14:paraId="7C199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pct"/>
                  <w:gridSpan w:val="3"/>
                  <w:vAlign w:val="center"/>
                </w:tcPr>
                <w:p w14:paraId="08332F63">
                  <w:pPr>
                    <w:jc w:val="center"/>
                    <w:rPr>
                      <w:color w:val="auto"/>
                      <w:szCs w:val="21"/>
                      <w:highlight w:val="none"/>
                    </w:rPr>
                  </w:pPr>
                  <w:r>
                    <w:rPr>
                      <w:rFonts w:hint="eastAsia"/>
                      <w:color w:val="auto"/>
                      <w:szCs w:val="21"/>
                      <w:highlight w:val="none"/>
                    </w:rPr>
                    <w:t>土壤、地下水</w:t>
                  </w:r>
                </w:p>
              </w:tc>
              <w:tc>
                <w:tcPr>
                  <w:tcW w:w="1916" w:type="pct"/>
                  <w:gridSpan w:val="3"/>
                  <w:vAlign w:val="center"/>
                </w:tcPr>
                <w:p w14:paraId="2148B3EC">
                  <w:pPr>
                    <w:jc w:val="center"/>
                    <w:rPr>
                      <w:color w:val="auto"/>
                      <w:szCs w:val="21"/>
                      <w:highlight w:val="none"/>
                    </w:rPr>
                  </w:pPr>
                  <w:r>
                    <w:rPr>
                      <w:rFonts w:hint="eastAsia"/>
                      <w:color w:val="auto"/>
                      <w:szCs w:val="21"/>
                      <w:highlight w:val="none"/>
                    </w:rPr>
                    <w:t>分区防渗</w:t>
                  </w:r>
                </w:p>
              </w:tc>
              <w:tc>
                <w:tcPr>
                  <w:tcW w:w="1284" w:type="pct"/>
                  <w:vAlign w:val="center"/>
                </w:tcPr>
                <w:p w14:paraId="7E2BB1EC">
                  <w:pPr>
                    <w:jc w:val="center"/>
                    <w:rPr>
                      <w:color w:val="auto"/>
                      <w:szCs w:val="21"/>
                      <w:highlight w:val="none"/>
                    </w:rPr>
                  </w:pPr>
                  <w:r>
                    <w:rPr>
                      <w:rFonts w:hint="eastAsia"/>
                      <w:color w:val="auto"/>
                      <w:szCs w:val="21"/>
                      <w:highlight w:val="none"/>
                    </w:rPr>
                    <w:t>防风、防雨、防晒，满足规范要求，不影响土壤和地下水环境</w:t>
                  </w:r>
                </w:p>
              </w:tc>
              <w:tc>
                <w:tcPr>
                  <w:tcW w:w="456" w:type="pct"/>
                  <w:vAlign w:val="center"/>
                </w:tcPr>
                <w:p w14:paraId="23C8CF3C">
                  <w:pPr>
                    <w:jc w:val="center"/>
                    <w:rPr>
                      <w:color w:val="auto"/>
                      <w:szCs w:val="21"/>
                      <w:highlight w:val="none"/>
                    </w:rPr>
                  </w:pPr>
                  <w:r>
                    <w:rPr>
                      <w:rFonts w:hint="eastAsia"/>
                      <w:color w:val="auto"/>
                      <w:szCs w:val="21"/>
                      <w:highlight w:val="none"/>
                    </w:rPr>
                    <w:t>5</w:t>
                  </w:r>
                </w:p>
              </w:tc>
              <w:tc>
                <w:tcPr>
                  <w:tcW w:w="375" w:type="pct"/>
                  <w:vMerge w:val="continue"/>
                  <w:vAlign w:val="center"/>
                </w:tcPr>
                <w:p w14:paraId="74F1694F">
                  <w:pPr>
                    <w:jc w:val="center"/>
                    <w:rPr>
                      <w:color w:val="auto"/>
                      <w:szCs w:val="21"/>
                      <w:highlight w:val="none"/>
                    </w:rPr>
                  </w:pPr>
                </w:p>
              </w:tc>
            </w:tr>
            <w:tr w14:paraId="7BA4C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pct"/>
                  <w:gridSpan w:val="3"/>
                  <w:vAlign w:val="center"/>
                </w:tcPr>
                <w:p w14:paraId="78FD4ABE">
                  <w:pPr>
                    <w:jc w:val="center"/>
                    <w:rPr>
                      <w:color w:val="auto"/>
                      <w:szCs w:val="21"/>
                      <w:highlight w:val="none"/>
                    </w:rPr>
                  </w:pPr>
                  <w:r>
                    <w:rPr>
                      <w:rFonts w:hint="eastAsia"/>
                      <w:color w:val="auto"/>
                      <w:szCs w:val="21"/>
                      <w:highlight w:val="none"/>
                    </w:rPr>
                    <w:t>事故应急和风险防范措施</w:t>
                  </w:r>
                </w:p>
              </w:tc>
              <w:tc>
                <w:tcPr>
                  <w:tcW w:w="1916" w:type="pct"/>
                  <w:gridSpan w:val="3"/>
                  <w:vAlign w:val="center"/>
                </w:tcPr>
                <w:p w14:paraId="22BBD4D1">
                  <w:pPr>
                    <w:jc w:val="center"/>
                    <w:rPr>
                      <w:color w:val="auto"/>
                      <w:szCs w:val="21"/>
                      <w:highlight w:val="none"/>
                    </w:rPr>
                  </w:pPr>
                  <w:r>
                    <w:rPr>
                      <w:rFonts w:hint="eastAsia"/>
                      <w:color w:val="auto"/>
                      <w:szCs w:val="21"/>
                      <w:highlight w:val="none"/>
                    </w:rPr>
                    <w:t>应急预案及应急物资</w:t>
                  </w:r>
                </w:p>
              </w:tc>
              <w:tc>
                <w:tcPr>
                  <w:tcW w:w="1284" w:type="pct"/>
                  <w:vAlign w:val="center"/>
                </w:tcPr>
                <w:p w14:paraId="18ABBDE9">
                  <w:pPr>
                    <w:jc w:val="center"/>
                    <w:rPr>
                      <w:color w:val="auto"/>
                      <w:szCs w:val="21"/>
                      <w:highlight w:val="none"/>
                    </w:rPr>
                  </w:pPr>
                  <w:r>
                    <w:rPr>
                      <w:rFonts w:hint="eastAsia"/>
                      <w:color w:val="auto"/>
                      <w:szCs w:val="21"/>
                      <w:highlight w:val="none"/>
                    </w:rPr>
                    <w:t>事故时及时启动，能控制和处理事故</w:t>
                  </w:r>
                </w:p>
              </w:tc>
              <w:tc>
                <w:tcPr>
                  <w:tcW w:w="456" w:type="pct"/>
                  <w:vAlign w:val="center"/>
                </w:tcPr>
                <w:p w14:paraId="61161AB8">
                  <w:pPr>
                    <w:jc w:val="center"/>
                    <w:rPr>
                      <w:rFonts w:hint="eastAsia" w:eastAsia="宋体"/>
                      <w:color w:val="auto"/>
                      <w:szCs w:val="21"/>
                      <w:highlight w:val="none"/>
                      <w:lang w:eastAsia="zh-CN"/>
                    </w:rPr>
                  </w:pPr>
                  <w:r>
                    <w:rPr>
                      <w:rFonts w:hint="eastAsia"/>
                      <w:color w:val="auto"/>
                      <w:szCs w:val="21"/>
                      <w:highlight w:val="none"/>
                      <w:lang w:val="en-US" w:eastAsia="zh-CN"/>
                    </w:rPr>
                    <w:t>5</w:t>
                  </w:r>
                </w:p>
              </w:tc>
              <w:tc>
                <w:tcPr>
                  <w:tcW w:w="375" w:type="pct"/>
                  <w:vMerge w:val="continue"/>
                  <w:vAlign w:val="center"/>
                </w:tcPr>
                <w:p w14:paraId="3CA20A5C">
                  <w:pPr>
                    <w:jc w:val="center"/>
                    <w:rPr>
                      <w:color w:val="auto"/>
                      <w:szCs w:val="21"/>
                      <w:highlight w:val="none"/>
                    </w:rPr>
                  </w:pPr>
                </w:p>
              </w:tc>
            </w:tr>
            <w:tr w14:paraId="2B63F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66" w:type="pct"/>
                  <w:gridSpan w:val="3"/>
                  <w:vAlign w:val="center"/>
                </w:tcPr>
                <w:p w14:paraId="35E6B06F">
                  <w:pPr>
                    <w:jc w:val="center"/>
                    <w:rPr>
                      <w:color w:val="auto"/>
                      <w:szCs w:val="21"/>
                      <w:highlight w:val="none"/>
                    </w:rPr>
                  </w:pPr>
                  <w:r>
                    <w:rPr>
                      <w:rFonts w:hint="eastAsia"/>
                      <w:color w:val="auto"/>
                      <w:szCs w:val="21"/>
                      <w:highlight w:val="none"/>
                    </w:rPr>
                    <w:t>清污分流、排污口规范化设置</w:t>
                  </w:r>
                </w:p>
              </w:tc>
              <w:tc>
                <w:tcPr>
                  <w:tcW w:w="1916" w:type="pct"/>
                  <w:gridSpan w:val="3"/>
                  <w:vAlign w:val="center"/>
                </w:tcPr>
                <w:p w14:paraId="6A90468C">
                  <w:pPr>
                    <w:jc w:val="center"/>
                    <w:rPr>
                      <w:rFonts w:hint="default" w:eastAsia="宋体"/>
                      <w:color w:val="auto"/>
                      <w:szCs w:val="21"/>
                      <w:highlight w:val="none"/>
                      <w:lang w:val="en-US" w:eastAsia="zh-CN"/>
                    </w:rPr>
                  </w:pPr>
                  <w:r>
                    <w:rPr>
                      <w:rFonts w:hint="eastAsia"/>
                      <w:color w:val="auto"/>
                      <w:szCs w:val="21"/>
                      <w:highlight w:val="none"/>
                    </w:rPr>
                    <w:t>按照《江苏省排污口设置及规范化整治管理办法》（苏环控〔97〕122号）进行设置。</w:t>
                  </w:r>
                  <w:r>
                    <w:rPr>
                      <w:rFonts w:hint="eastAsia"/>
                      <w:color w:val="auto"/>
                      <w:szCs w:val="21"/>
                      <w:highlight w:val="none"/>
                      <w:lang w:val="en-US" w:eastAsia="zh-CN"/>
                    </w:rPr>
                    <w:t>有机废气在线监测。</w:t>
                  </w:r>
                </w:p>
              </w:tc>
              <w:tc>
                <w:tcPr>
                  <w:tcW w:w="1284" w:type="pct"/>
                  <w:vAlign w:val="center"/>
                </w:tcPr>
                <w:p w14:paraId="4E7A8474">
                  <w:pPr>
                    <w:jc w:val="center"/>
                    <w:rPr>
                      <w:color w:val="auto"/>
                      <w:szCs w:val="21"/>
                      <w:highlight w:val="none"/>
                    </w:rPr>
                  </w:pPr>
                  <w:r>
                    <w:rPr>
                      <w:rFonts w:hint="eastAsia"/>
                      <w:color w:val="auto"/>
                      <w:szCs w:val="21"/>
                      <w:highlight w:val="none"/>
                    </w:rPr>
                    <w:t>符合环保要求</w:t>
                  </w:r>
                </w:p>
              </w:tc>
              <w:tc>
                <w:tcPr>
                  <w:tcW w:w="456" w:type="pct"/>
                  <w:vAlign w:val="center"/>
                </w:tcPr>
                <w:p w14:paraId="576ECFD6">
                  <w:pPr>
                    <w:jc w:val="center"/>
                    <w:rPr>
                      <w:rFonts w:hint="default"/>
                      <w:color w:val="auto"/>
                      <w:szCs w:val="21"/>
                      <w:highlight w:val="none"/>
                      <w:lang w:val="en-US"/>
                    </w:rPr>
                  </w:pPr>
                  <w:r>
                    <w:rPr>
                      <w:rFonts w:hint="eastAsia"/>
                      <w:color w:val="auto"/>
                      <w:szCs w:val="21"/>
                      <w:highlight w:val="none"/>
                      <w:lang w:val="en-US" w:eastAsia="zh-CN"/>
                    </w:rPr>
                    <w:t>10</w:t>
                  </w:r>
                </w:p>
              </w:tc>
              <w:tc>
                <w:tcPr>
                  <w:tcW w:w="375" w:type="pct"/>
                  <w:vMerge w:val="continue"/>
                  <w:vAlign w:val="center"/>
                </w:tcPr>
                <w:p w14:paraId="05087727">
                  <w:pPr>
                    <w:jc w:val="center"/>
                    <w:rPr>
                      <w:color w:val="auto"/>
                      <w:szCs w:val="21"/>
                      <w:highlight w:val="none"/>
                    </w:rPr>
                  </w:pPr>
                </w:p>
              </w:tc>
            </w:tr>
            <w:tr w14:paraId="47F0D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68" w:type="pct"/>
                  <w:gridSpan w:val="7"/>
                  <w:vAlign w:val="center"/>
                </w:tcPr>
                <w:p w14:paraId="12790060">
                  <w:pPr>
                    <w:jc w:val="center"/>
                    <w:rPr>
                      <w:b/>
                      <w:bCs/>
                      <w:color w:val="auto"/>
                      <w:szCs w:val="21"/>
                      <w:highlight w:val="none"/>
                    </w:rPr>
                  </w:pPr>
                  <w:r>
                    <w:rPr>
                      <w:rFonts w:hint="eastAsia"/>
                      <w:b/>
                      <w:bCs/>
                      <w:color w:val="auto"/>
                      <w:szCs w:val="21"/>
                      <w:highlight w:val="none"/>
                    </w:rPr>
                    <w:t>环保投资合计</w:t>
                  </w:r>
                </w:p>
              </w:tc>
              <w:tc>
                <w:tcPr>
                  <w:tcW w:w="456" w:type="pct"/>
                  <w:vAlign w:val="center"/>
                </w:tcPr>
                <w:p w14:paraId="7BF6A8F9">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85</w:t>
                  </w:r>
                </w:p>
              </w:tc>
              <w:tc>
                <w:tcPr>
                  <w:tcW w:w="375" w:type="pct"/>
                  <w:vMerge w:val="continue"/>
                  <w:vAlign w:val="center"/>
                </w:tcPr>
                <w:p w14:paraId="097E1CEA">
                  <w:pPr>
                    <w:jc w:val="center"/>
                    <w:rPr>
                      <w:color w:val="auto"/>
                      <w:szCs w:val="21"/>
                      <w:highlight w:val="none"/>
                    </w:rPr>
                  </w:pPr>
                </w:p>
              </w:tc>
            </w:tr>
          </w:tbl>
          <w:p w14:paraId="1388813C">
            <w:pPr>
              <w:spacing w:line="300" w:lineRule="auto"/>
              <w:ind w:firstLine="420" w:firstLineChars="200"/>
              <w:rPr>
                <w:color w:val="FF0000"/>
                <w:szCs w:val="21"/>
                <w:highlight w:val="none"/>
              </w:rPr>
            </w:pPr>
          </w:p>
        </w:tc>
      </w:tr>
    </w:tbl>
    <w:p w14:paraId="56B78296">
      <w:pPr>
        <w:adjustRightInd w:val="0"/>
        <w:snapToGrid w:val="0"/>
        <w:spacing w:line="360" w:lineRule="auto"/>
        <w:rPr>
          <w:rFonts w:ascii="宋体" w:cs="宋体"/>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97770FA">
      <w:pPr>
        <w:pStyle w:val="25"/>
        <w:jc w:val="center"/>
        <w:outlineLvl w:val="0"/>
        <w:rPr>
          <w:rFonts w:ascii="黑体" w:hAnsi="黑体" w:eastAsia="黑体"/>
          <w:snapToGrid w:val="0"/>
          <w:color w:val="auto"/>
          <w:sz w:val="30"/>
          <w:szCs w:val="30"/>
          <w:highlight w:val="none"/>
        </w:rPr>
      </w:pPr>
      <w:bookmarkStart w:id="27" w:name="_Toc11733"/>
      <w:bookmarkStart w:id="28" w:name="_Toc20919"/>
      <w:r>
        <w:rPr>
          <w:rFonts w:hint="eastAsia" w:ascii="黑体" w:hAnsi="黑体" w:eastAsia="黑体"/>
          <w:snapToGrid w:val="0"/>
          <w:color w:val="auto"/>
          <w:sz w:val="30"/>
          <w:szCs w:val="30"/>
          <w:highlight w:val="none"/>
        </w:rPr>
        <w:t>五、</w:t>
      </w:r>
      <w:bookmarkStart w:id="29" w:name="_Hlk54167917"/>
      <w:r>
        <w:rPr>
          <w:rFonts w:hint="eastAsia" w:ascii="黑体" w:hAnsi="黑体" w:eastAsia="黑体"/>
          <w:snapToGrid w:val="0"/>
          <w:color w:val="auto"/>
          <w:sz w:val="30"/>
          <w:szCs w:val="30"/>
          <w:highlight w:val="none"/>
        </w:rPr>
        <w:t>环境保护措施监督检查清单</w:t>
      </w:r>
      <w:bookmarkEnd w:id="27"/>
      <w:bookmarkEnd w:id="28"/>
      <w:bookmarkEnd w:id="29"/>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778"/>
        <w:gridCol w:w="782"/>
        <w:gridCol w:w="783"/>
        <w:gridCol w:w="1350"/>
        <w:gridCol w:w="1509"/>
        <w:gridCol w:w="2598"/>
      </w:tblGrid>
      <w:tr w14:paraId="7C1DC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778" w:type="dxa"/>
            <w:tcBorders>
              <w:tl2br w:val="single" w:color="auto" w:sz="4" w:space="0"/>
            </w:tcBorders>
          </w:tcPr>
          <w:p w14:paraId="3AA9EDD7">
            <w:pPr>
              <w:adjustRightInd w:val="0"/>
              <w:snapToGrid w:val="0"/>
              <w:ind w:firstLine="840"/>
              <w:rPr>
                <w:color w:val="auto"/>
                <w:szCs w:val="21"/>
                <w:highlight w:val="none"/>
              </w:rPr>
            </w:pPr>
            <w:r>
              <w:rPr>
                <w:color w:val="auto"/>
                <w:szCs w:val="21"/>
                <w:highlight w:val="none"/>
              </w:rPr>
              <w:t>内容</w:t>
            </w:r>
          </w:p>
          <w:p w14:paraId="2396E71D">
            <w:pPr>
              <w:adjustRightInd w:val="0"/>
              <w:snapToGrid w:val="0"/>
              <w:rPr>
                <w:color w:val="auto"/>
                <w:szCs w:val="21"/>
                <w:highlight w:val="none"/>
              </w:rPr>
            </w:pPr>
            <w:r>
              <w:rPr>
                <w:color w:val="auto"/>
                <w:szCs w:val="21"/>
                <w:highlight w:val="none"/>
              </w:rPr>
              <w:t>要素</w:t>
            </w:r>
          </w:p>
        </w:tc>
        <w:tc>
          <w:tcPr>
            <w:tcW w:w="1565" w:type="dxa"/>
            <w:gridSpan w:val="2"/>
            <w:vAlign w:val="center"/>
          </w:tcPr>
          <w:p w14:paraId="6298C04F">
            <w:pPr>
              <w:adjustRightInd w:val="0"/>
              <w:snapToGrid w:val="0"/>
              <w:jc w:val="center"/>
              <w:rPr>
                <w:color w:val="auto"/>
                <w:szCs w:val="21"/>
                <w:highlight w:val="none"/>
              </w:rPr>
            </w:pPr>
            <w:r>
              <w:rPr>
                <w:color w:val="auto"/>
                <w:szCs w:val="21"/>
                <w:highlight w:val="none"/>
              </w:rPr>
              <w:t>排放口(编号、名称)/污染源</w:t>
            </w:r>
          </w:p>
        </w:tc>
        <w:tc>
          <w:tcPr>
            <w:tcW w:w="1350" w:type="dxa"/>
            <w:vAlign w:val="center"/>
          </w:tcPr>
          <w:p w14:paraId="694183BD">
            <w:pPr>
              <w:adjustRightInd w:val="0"/>
              <w:snapToGrid w:val="0"/>
              <w:jc w:val="center"/>
              <w:rPr>
                <w:color w:val="auto"/>
                <w:szCs w:val="21"/>
                <w:highlight w:val="none"/>
              </w:rPr>
            </w:pPr>
            <w:r>
              <w:rPr>
                <w:color w:val="auto"/>
                <w:szCs w:val="21"/>
                <w:highlight w:val="none"/>
              </w:rPr>
              <w:t>污染物项目</w:t>
            </w:r>
          </w:p>
        </w:tc>
        <w:tc>
          <w:tcPr>
            <w:tcW w:w="1509" w:type="dxa"/>
            <w:vAlign w:val="center"/>
          </w:tcPr>
          <w:p w14:paraId="393D27FE">
            <w:pPr>
              <w:adjustRightInd w:val="0"/>
              <w:snapToGrid w:val="0"/>
              <w:jc w:val="center"/>
              <w:rPr>
                <w:color w:val="auto"/>
                <w:szCs w:val="21"/>
                <w:highlight w:val="none"/>
              </w:rPr>
            </w:pPr>
            <w:r>
              <w:rPr>
                <w:color w:val="auto"/>
                <w:szCs w:val="21"/>
                <w:highlight w:val="none"/>
              </w:rPr>
              <w:t>环境保护措施</w:t>
            </w:r>
          </w:p>
        </w:tc>
        <w:tc>
          <w:tcPr>
            <w:tcW w:w="2598" w:type="dxa"/>
            <w:vAlign w:val="center"/>
          </w:tcPr>
          <w:p w14:paraId="750E38CC">
            <w:pPr>
              <w:adjustRightInd w:val="0"/>
              <w:snapToGrid w:val="0"/>
              <w:jc w:val="center"/>
              <w:rPr>
                <w:color w:val="auto"/>
                <w:szCs w:val="21"/>
                <w:highlight w:val="none"/>
              </w:rPr>
            </w:pPr>
            <w:r>
              <w:rPr>
                <w:color w:val="auto"/>
                <w:szCs w:val="21"/>
                <w:highlight w:val="none"/>
              </w:rPr>
              <w:t>执行标准</w:t>
            </w:r>
          </w:p>
        </w:tc>
      </w:tr>
      <w:tr w14:paraId="2A98D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778" w:type="dxa"/>
            <w:vMerge w:val="restart"/>
            <w:vAlign w:val="center"/>
          </w:tcPr>
          <w:p w14:paraId="3B9E0005">
            <w:pPr>
              <w:adjustRightInd w:val="0"/>
              <w:snapToGrid w:val="0"/>
              <w:jc w:val="center"/>
              <w:rPr>
                <w:color w:val="auto"/>
                <w:highlight w:val="none"/>
              </w:rPr>
            </w:pPr>
            <w:r>
              <w:rPr>
                <w:color w:val="auto"/>
                <w:szCs w:val="21"/>
                <w:highlight w:val="none"/>
              </w:rPr>
              <w:t>大气环境</w:t>
            </w:r>
          </w:p>
        </w:tc>
        <w:tc>
          <w:tcPr>
            <w:tcW w:w="1565" w:type="dxa"/>
            <w:gridSpan w:val="2"/>
            <w:vAlign w:val="center"/>
          </w:tcPr>
          <w:p w14:paraId="3D7028D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DA00</w:t>
            </w:r>
            <w:r>
              <w:rPr>
                <w:rFonts w:hint="eastAsia" w:cs="Times New Roman"/>
                <w:color w:val="auto"/>
                <w:sz w:val="21"/>
                <w:szCs w:val="21"/>
                <w:highlight w:val="none"/>
                <w:lang w:val="en-US" w:eastAsia="zh-CN"/>
              </w:rPr>
              <w:t>6</w:t>
            </w:r>
          </w:p>
        </w:tc>
        <w:tc>
          <w:tcPr>
            <w:tcW w:w="1350" w:type="dxa"/>
            <w:vAlign w:val="center"/>
          </w:tcPr>
          <w:p w14:paraId="5B49206C">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颗粒物、SO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、NOx、</w:t>
            </w:r>
            <w:r>
              <w:rPr>
                <w:rFonts w:hint="eastAsia"/>
                <w:color w:val="auto"/>
                <w:sz w:val="21"/>
                <w:szCs w:val="21"/>
                <w:highlight w:val="none"/>
              </w:rPr>
              <w:t>非甲烷总烃</w:t>
            </w:r>
          </w:p>
        </w:tc>
        <w:tc>
          <w:tcPr>
            <w:tcW w:w="1509" w:type="dxa"/>
            <w:vAlign w:val="center"/>
          </w:tcPr>
          <w:p w14:paraId="1E8C2BB9">
            <w:pPr>
              <w:jc w:val="center"/>
              <w:rPr>
                <w:color w:val="auto"/>
                <w:szCs w:val="21"/>
                <w:highlight w:val="none"/>
              </w:rPr>
            </w:pPr>
            <w:r>
              <w:rPr>
                <w:rFonts w:hint="eastAsia" w:cs="Times New Roman"/>
                <w:color w:val="auto"/>
                <w:sz w:val="21"/>
                <w:szCs w:val="21"/>
                <w:highlight w:val="none"/>
                <w:lang w:val="en-US" w:eastAsia="zh-CN"/>
              </w:rPr>
              <w:t>密闭</w:t>
            </w:r>
            <w:r>
              <w:rPr>
                <w:rFonts w:hint="eastAsia" w:ascii="Times New Roman" w:hAnsi="Times New Roman" w:cs="Times New Roman"/>
                <w:color w:val="auto"/>
                <w:sz w:val="21"/>
                <w:szCs w:val="21"/>
                <w:highlight w:val="none"/>
                <w:lang w:val="en-US" w:eastAsia="zh-CN"/>
              </w:rPr>
              <w:t>收集+</w:t>
            </w:r>
            <w:r>
              <w:rPr>
                <w:rFonts w:hint="eastAsia" w:cs="Times New Roman"/>
                <w:color w:val="auto"/>
                <w:sz w:val="21"/>
                <w:szCs w:val="21"/>
                <w:highlight w:val="none"/>
                <w:lang w:val="en-US" w:eastAsia="zh-CN"/>
              </w:rPr>
              <w:t>布袋除尘器+二级活性炭吸附装置+15</w:t>
            </w:r>
            <w:r>
              <w:rPr>
                <w:rFonts w:hint="eastAsia" w:eastAsia="宋体" w:cs="Times New Roman"/>
                <w:color w:val="auto"/>
                <w:sz w:val="21"/>
                <w:szCs w:val="21"/>
                <w:highlight w:val="none"/>
                <w:lang w:val="en-US" w:eastAsia="zh-CN"/>
              </w:rPr>
              <w:t>m高排气筒DA00</w:t>
            </w:r>
            <w:r>
              <w:rPr>
                <w:rFonts w:hint="eastAsia" w:cs="Times New Roman"/>
                <w:color w:val="auto"/>
                <w:sz w:val="21"/>
                <w:szCs w:val="21"/>
                <w:highlight w:val="none"/>
                <w:lang w:val="en-US" w:eastAsia="zh-CN"/>
              </w:rPr>
              <w:t>6</w:t>
            </w:r>
            <w:r>
              <w:rPr>
                <w:rFonts w:hint="eastAsia" w:eastAsia="宋体" w:cs="Times New Roman"/>
                <w:color w:val="auto"/>
                <w:sz w:val="21"/>
                <w:szCs w:val="21"/>
                <w:highlight w:val="none"/>
                <w:lang w:val="en-US" w:eastAsia="zh-CN"/>
              </w:rPr>
              <w:t>排放</w:t>
            </w:r>
          </w:p>
        </w:tc>
        <w:tc>
          <w:tcPr>
            <w:tcW w:w="2598" w:type="dxa"/>
            <w:vAlign w:val="center"/>
          </w:tcPr>
          <w:p w14:paraId="7FF31A32">
            <w:pPr>
              <w:adjustRightInd w:val="0"/>
              <w:snapToGrid w:val="0"/>
              <w:spacing w:line="280" w:lineRule="exact"/>
              <w:jc w:val="center"/>
              <w:rPr>
                <w:color w:val="auto"/>
                <w:kern w:val="0"/>
                <w:szCs w:val="21"/>
                <w:highlight w:val="none"/>
              </w:rPr>
            </w:pPr>
            <w:r>
              <w:rPr>
                <w:rFonts w:hint="default" w:ascii="Times New Roman" w:hAnsi="Times New Roman" w:eastAsia="宋体" w:cs="Times New Roman"/>
                <w:color w:val="auto"/>
                <w:sz w:val="21"/>
                <w:szCs w:val="16"/>
                <w:highlight w:val="none"/>
              </w:rPr>
              <w:t>《</w:t>
            </w:r>
            <w:r>
              <w:rPr>
                <w:rFonts w:hint="default" w:ascii="Times New Roman" w:hAnsi="Times New Roman" w:eastAsia="宋体" w:cs="Times New Roman"/>
                <w:color w:val="auto"/>
                <w:sz w:val="21"/>
                <w:szCs w:val="16"/>
                <w:highlight w:val="none"/>
                <w:lang w:val="en-US" w:eastAsia="zh-CN"/>
              </w:rPr>
              <w:t>工业涂装工序</w:t>
            </w:r>
            <w:r>
              <w:rPr>
                <w:rFonts w:hint="default" w:ascii="Times New Roman" w:hAnsi="Times New Roman" w:eastAsia="宋体" w:cs="Times New Roman"/>
                <w:color w:val="auto"/>
                <w:sz w:val="21"/>
                <w:szCs w:val="16"/>
                <w:highlight w:val="none"/>
              </w:rPr>
              <w:t>大气污染物排放标准》（DB32/4</w:t>
            </w:r>
            <w:r>
              <w:rPr>
                <w:rFonts w:hint="default" w:ascii="Times New Roman" w:hAnsi="Times New Roman" w:eastAsia="宋体" w:cs="Times New Roman"/>
                <w:color w:val="auto"/>
                <w:sz w:val="21"/>
                <w:szCs w:val="16"/>
                <w:highlight w:val="none"/>
                <w:lang w:val="en-US" w:eastAsia="zh-CN"/>
              </w:rPr>
              <w:t>439</w:t>
            </w:r>
            <w:r>
              <w:rPr>
                <w:rFonts w:hint="default" w:ascii="Times New Roman" w:hAnsi="Times New Roman" w:eastAsia="宋体" w:cs="Times New Roman"/>
                <w:color w:val="auto"/>
                <w:sz w:val="21"/>
                <w:szCs w:val="16"/>
                <w:highlight w:val="none"/>
              </w:rPr>
              <w:t>-202</w:t>
            </w:r>
            <w:r>
              <w:rPr>
                <w:rFonts w:hint="default" w:ascii="Times New Roman" w:hAnsi="Times New Roman" w:eastAsia="宋体" w:cs="Times New Roman"/>
                <w:color w:val="auto"/>
                <w:sz w:val="21"/>
                <w:szCs w:val="16"/>
                <w:highlight w:val="none"/>
                <w:lang w:val="en-US" w:eastAsia="zh-CN"/>
              </w:rPr>
              <w:t>2</w:t>
            </w:r>
            <w:r>
              <w:rPr>
                <w:rFonts w:hint="default" w:ascii="Times New Roman" w:hAnsi="Times New Roman" w:eastAsia="宋体" w:cs="Times New Roman"/>
                <w:color w:val="auto"/>
                <w:sz w:val="21"/>
                <w:szCs w:val="16"/>
                <w:highlight w:val="none"/>
              </w:rPr>
              <w:t>）</w:t>
            </w:r>
            <w:r>
              <w:rPr>
                <w:rFonts w:hint="eastAsia" w:cs="Times New Roman"/>
                <w:color w:val="auto"/>
                <w:sz w:val="21"/>
                <w:szCs w:val="16"/>
                <w:highlight w:val="none"/>
                <w:lang w:eastAsia="zh-CN"/>
              </w:rPr>
              <w:t>、</w:t>
            </w:r>
            <w:r>
              <w:rPr>
                <w:rFonts w:hint="default" w:ascii="Times New Roman" w:hAnsi="Times New Roman" w:eastAsia="宋体" w:cs="Times New Roman"/>
                <w:color w:val="auto"/>
                <w:sz w:val="21"/>
                <w:szCs w:val="16"/>
                <w:highlight w:val="none"/>
                <w:lang w:val="en-US" w:eastAsia="zh-CN"/>
              </w:rPr>
              <w:t>《工业炉窑大气污染物排放标准》</w:t>
            </w:r>
            <w:r>
              <w:rPr>
                <w:rFonts w:hint="default" w:ascii="Times New Roman" w:hAnsi="Times New Roman" w:eastAsia="宋体" w:cs="Times New Roman"/>
                <w:color w:val="auto"/>
                <w:sz w:val="21"/>
                <w:szCs w:val="16"/>
                <w:highlight w:val="none"/>
              </w:rPr>
              <w:t>（DB32/</w:t>
            </w:r>
            <w:r>
              <w:rPr>
                <w:rFonts w:hint="default" w:ascii="Times New Roman" w:hAnsi="Times New Roman" w:eastAsia="宋体" w:cs="Times New Roman"/>
                <w:color w:val="auto"/>
                <w:sz w:val="21"/>
                <w:szCs w:val="16"/>
                <w:highlight w:val="none"/>
                <w:lang w:val="en-US" w:eastAsia="zh-CN"/>
              </w:rPr>
              <w:t>3728</w:t>
            </w:r>
            <w:r>
              <w:rPr>
                <w:rFonts w:hint="default" w:ascii="Times New Roman" w:hAnsi="Times New Roman" w:eastAsia="宋体" w:cs="Times New Roman"/>
                <w:color w:val="auto"/>
                <w:sz w:val="21"/>
                <w:szCs w:val="16"/>
                <w:highlight w:val="none"/>
              </w:rPr>
              <w:t>-20</w:t>
            </w:r>
            <w:r>
              <w:rPr>
                <w:rFonts w:hint="default" w:ascii="Times New Roman" w:hAnsi="Times New Roman" w:eastAsia="宋体" w:cs="Times New Roman"/>
                <w:color w:val="auto"/>
                <w:sz w:val="21"/>
                <w:szCs w:val="16"/>
                <w:highlight w:val="none"/>
                <w:lang w:val="en-US" w:eastAsia="zh-CN"/>
              </w:rPr>
              <w:t>20</w:t>
            </w:r>
            <w:r>
              <w:rPr>
                <w:rFonts w:hint="default" w:ascii="Times New Roman" w:hAnsi="Times New Roman" w:eastAsia="宋体" w:cs="Times New Roman"/>
                <w:color w:val="auto"/>
                <w:sz w:val="21"/>
                <w:szCs w:val="16"/>
                <w:highlight w:val="none"/>
              </w:rPr>
              <w:t>）</w:t>
            </w:r>
          </w:p>
        </w:tc>
      </w:tr>
      <w:tr w14:paraId="7E69E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778" w:type="dxa"/>
            <w:vMerge w:val="continue"/>
            <w:vAlign w:val="center"/>
          </w:tcPr>
          <w:p w14:paraId="7BFB551A">
            <w:pPr>
              <w:adjustRightInd w:val="0"/>
              <w:snapToGrid w:val="0"/>
              <w:jc w:val="center"/>
              <w:rPr>
                <w:color w:val="auto"/>
                <w:szCs w:val="21"/>
                <w:highlight w:val="none"/>
              </w:rPr>
            </w:pPr>
          </w:p>
        </w:tc>
        <w:tc>
          <w:tcPr>
            <w:tcW w:w="782" w:type="dxa"/>
            <w:vMerge w:val="restart"/>
            <w:vAlign w:val="center"/>
          </w:tcPr>
          <w:p w14:paraId="509092C6">
            <w:pPr>
              <w:widowControl/>
              <w:jc w:val="center"/>
              <w:rPr>
                <w:color w:val="auto"/>
                <w:szCs w:val="21"/>
                <w:highlight w:val="none"/>
              </w:rPr>
            </w:pPr>
            <w:r>
              <w:rPr>
                <w:color w:val="auto"/>
                <w:kern w:val="0"/>
                <w:szCs w:val="21"/>
                <w:highlight w:val="none"/>
                <w:lang w:bidi="ar"/>
              </w:rPr>
              <w:t>无组织废气</w:t>
            </w:r>
          </w:p>
        </w:tc>
        <w:tc>
          <w:tcPr>
            <w:tcW w:w="783" w:type="dxa"/>
            <w:vAlign w:val="center"/>
          </w:tcPr>
          <w:p w14:paraId="4A79BBC7">
            <w:pPr>
              <w:widowControl/>
              <w:jc w:val="center"/>
              <w:rPr>
                <w:color w:val="auto"/>
                <w:kern w:val="0"/>
                <w:szCs w:val="21"/>
                <w:highlight w:val="none"/>
                <w:lang w:bidi="ar"/>
              </w:rPr>
            </w:pPr>
            <w:r>
              <w:rPr>
                <w:color w:val="auto"/>
                <w:kern w:val="0"/>
                <w:szCs w:val="21"/>
                <w:highlight w:val="none"/>
                <w:lang w:bidi="ar"/>
              </w:rPr>
              <w:t>厂界</w:t>
            </w:r>
          </w:p>
        </w:tc>
        <w:tc>
          <w:tcPr>
            <w:tcW w:w="1350" w:type="dxa"/>
            <w:vAlign w:val="center"/>
          </w:tcPr>
          <w:p w14:paraId="455B74B3">
            <w:pPr>
              <w:adjustRightInd w:val="0"/>
              <w:snapToGrid w:val="0"/>
              <w:jc w:val="center"/>
              <w:rPr>
                <w:color w:val="auto"/>
                <w:szCs w:val="21"/>
                <w:highlight w:val="none"/>
              </w:rPr>
            </w:pPr>
            <w:r>
              <w:rPr>
                <w:color w:val="auto"/>
                <w:szCs w:val="21"/>
                <w:highlight w:val="none"/>
              </w:rPr>
              <w:t>颗粒物</w:t>
            </w:r>
            <w:r>
              <w:rPr>
                <w:rFonts w:hint="eastAsia"/>
                <w:color w:val="auto"/>
                <w:szCs w:val="21"/>
                <w:highlight w:val="none"/>
                <w:lang w:val="en-US" w:eastAsia="zh-CN"/>
              </w:rPr>
              <w:t>、</w:t>
            </w:r>
            <w:r>
              <w:rPr>
                <w:color w:val="auto"/>
                <w:szCs w:val="21"/>
                <w:highlight w:val="none"/>
              </w:rPr>
              <w:t>非甲烷总烃</w:t>
            </w:r>
          </w:p>
        </w:tc>
        <w:tc>
          <w:tcPr>
            <w:tcW w:w="1509" w:type="dxa"/>
            <w:vMerge w:val="restart"/>
            <w:vAlign w:val="center"/>
          </w:tcPr>
          <w:p w14:paraId="36E6ACC8">
            <w:pPr>
              <w:spacing w:line="260" w:lineRule="exact"/>
              <w:jc w:val="center"/>
              <w:rPr>
                <w:color w:val="auto"/>
                <w:szCs w:val="21"/>
                <w:highlight w:val="none"/>
              </w:rPr>
            </w:pPr>
            <w:r>
              <w:rPr>
                <w:color w:val="auto"/>
                <w:szCs w:val="21"/>
                <w:highlight w:val="none"/>
              </w:rPr>
              <w:t>提高废气收集和处理效率</w:t>
            </w:r>
          </w:p>
        </w:tc>
        <w:tc>
          <w:tcPr>
            <w:tcW w:w="2598" w:type="dxa"/>
            <w:vAlign w:val="center"/>
          </w:tcPr>
          <w:p w14:paraId="2540F429">
            <w:pPr>
              <w:adjustRightInd w:val="0"/>
              <w:snapToGrid w:val="0"/>
              <w:spacing w:line="300" w:lineRule="exact"/>
              <w:jc w:val="center"/>
              <w:rPr>
                <w:color w:val="auto"/>
                <w:szCs w:val="21"/>
                <w:highlight w:val="none"/>
              </w:rPr>
            </w:pPr>
            <w:r>
              <w:rPr>
                <w:rFonts w:hint="eastAsia"/>
                <w:b w:val="0"/>
                <w:bCs/>
                <w:color w:val="auto"/>
                <w:szCs w:val="21"/>
                <w:highlight w:val="none"/>
                <w:lang w:val="en-US" w:eastAsia="zh-CN"/>
              </w:rPr>
              <w:t>《大气污染物综合排放标准》（DB32/4041-2021）</w:t>
            </w:r>
          </w:p>
        </w:tc>
      </w:tr>
      <w:tr w14:paraId="099963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778" w:type="dxa"/>
            <w:vMerge w:val="continue"/>
            <w:vAlign w:val="center"/>
          </w:tcPr>
          <w:p w14:paraId="51B35A76">
            <w:pPr>
              <w:adjustRightInd w:val="0"/>
              <w:snapToGrid w:val="0"/>
              <w:jc w:val="center"/>
              <w:rPr>
                <w:color w:val="auto"/>
                <w:szCs w:val="21"/>
                <w:highlight w:val="none"/>
              </w:rPr>
            </w:pPr>
          </w:p>
        </w:tc>
        <w:tc>
          <w:tcPr>
            <w:tcW w:w="782" w:type="dxa"/>
            <w:vMerge w:val="continue"/>
            <w:vAlign w:val="center"/>
          </w:tcPr>
          <w:p w14:paraId="182A9F51">
            <w:pPr>
              <w:widowControl/>
              <w:jc w:val="center"/>
              <w:rPr>
                <w:color w:val="auto"/>
                <w:kern w:val="0"/>
                <w:szCs w:val="21"/>
                <w:highlight w:val="none"/>
                <w:lang w:bidi="ar"/>
              </w:rPr>
            </w:pPr>
          </w:p>
        </w:tc>
        <w:tc>
          <w:tcPr>
            <w:tcW w:w="783" w:type="dxa"/>
            <w:vAlign w:val="center"/>
          </w:tcPr>
          <w:p w14:paraId="63B4A1EB">
            <w:pPr>
              <w:widowControl/>
              <w:jc w:val="center"/>
              <w:rPr>
                <w:rFonts w:hint="default" w:eastAsia="宋体"/>
                <w:color w:val="auto"/>
                <w:kern w:val="0"/>
                <w:szCs w:val="21"/>
                <w:highlight w:val="none"/>
                <w:lang w:val="en-US" w:eastAsia="zh-CN" w:bidi="ar"/>
              </w:rPr>
            </w:pPr>
            <w:r>
              <w:rPr>
                <w:color w:val="auto"/>
                <w:kern w:val="0"/>
                <w:szCs w:val="21"/>
                <w:highlight w:val="none"/>
                <w:lang w:bidi="ar"/>
              </w:rPr>
              <w:t>厂区内</w:t>
            </w:r>
            <w:r>
              <w:rPr>
                <w:rFonts w:hint="eastAsia"/>
                <w:color w:val="auto"/>
                <w:kern w:val="0"/>
                <w:szCs w:val="21"/>
                <w:highlight w:val="none"/>
                <w:lang w:val="en-US" w:eastAsia="zh-CN" w:bidi="ar"/>
              </w:rPr>
              <w:t>厂房外</w:t>
            </w:r>
          </w:p>
        </w:tc>
        <w:tc>
          <w:tcPr>
            <w:tcW w:w="1350" w:type="dxa"/>
            <w:vAlign w:val="center"/>
          </w:tcPr>
          <w:p w14:paraId="2783FD5B">
            <w:pPr>
              <w:adjustRightInd w:val="0"/>
              <w:snapToGrid w:val="0"/>
              <w:jc w:val="center"/>
              <w:rPr>
                <w:rFonts w:hint="default" w:eastAsia="宋体"/>
                <w:color w:val="auto"/>
                <w:szCs w:val="21"/>
                <w:highlight w:val="none"/>
                <w:lang w:val="en-US" w:eastAsia="zh-CN"/>
              </w:rPr>
            </w:pPr>
            <w:r>
              <w:rPr>
                <w:color w:val="auto"/>
                <w:szCs w:val="21"/>
                <w:highlight w:val="none"/>
              </w:rPr>
              <w:t>非甲烷总烃</w:t>
            </w:r>
          </w:p>
        </w:tc>
        <w:tc>
          <w:tcPr>
            <w:tcW w:w="1509" w:type="dxa"/>
            <w:vMerge w:val="continue"/>
            <w:vAlign w:val="center"/>
          </w:tcPr>
          <w:p w14:paraId="648163A6">
            <w:pPr>
              <w:spacing w:line="260" w:lineRule="exact"/>
              <w:jc w:val="center"/>
              <w:rPr>
                <w:color w:val="auto"/>
                <w:szCs w:val="21"/>
                <w:highlight w:val="none"/>
              </w:rPr>
            </w:pPr>
          </w:p>
        </w:tc>
        <w:tc>
          <w:tcPr>
            <w:tcW w:w="2598" w:type="dxa"/>
            <w:vAlign w:val="center"/>
          </w:tcPr>
          <w:p w14:paraId="5BF50F7D">
            <w:pPr>
              <w:adjustRightInd w:val="0"/>
              <w:snapToGrid w:val="0"/>
              <w:spacing w:line="300" w:lineRule="exact"/>
              <w:jc w:val="center"/>
              <w:rPr>
                <w:color w:val="auto"/>
                <w:szCs w:val="21"/>
                <w:highlight w:val="none"/>
              </w:rPr>
            </w:pPr>
            <w:r>
              <w:rPr>
                <w:rFonts w:hint="default" w:ascii="Times New Roman" w:hAnsi="Times New Roman" w:eastAsia="宋体" w:cs="Times New Roman"/>
                <w:color w:val="auto"/>
                <w:sz w:val="21"/>
                <w:szCs w:val="16"/>
                <w:highlight w:val="none"/>
              </w:rPr>
              <w:t>《</w:t>
            </w:r>
            <w:r>
              <w:rPr>
                <w:rFonts w:hint="default" w:ascii="Times New Roman" w:hAnsi="Times New Roman" w:eastAsia="宋体" w:cs="Times New Roman"/>
                <w:color w:val="auto"/>
                <w:sz w:val="21"/>
                <w:szCs w:val="16"/>
                <w:highlight w:val="none"/>
                <w:lang w:val="en-US" w:eastAsia="zh-CN"/>
              </w:rPr>
              <w:t>工业涂装工序</w:t>
            </w:r>
            <w:r>
              <w:rPr>
                <w:rFonts w:hint="default" w:ascii="Times New Roman" w:hAnsi="Times New Roman" w:eastAsia="宋体" w:cs="Times New Roman"/>
                <w:color w:val="auto"/>
                <w:sz w:val="21"/>
                <w:szCs w:val="16"/>
                <w:highlight w:val="none"/>
              </w:rPr>
              <w:t>大气污染物排放标准》（DB32/4</w:t>
            </w:r>
            <w:r>
              <w:rPr>
                <w:rFonts w:hint="default" w:ascii="Times New Roman" w:hAnsi="Times New Roman" w:eastAsia="宋体" w:cs="Times New Roman"/>
                <w:color w:val="auto"/>
                <w:sz w:val="21"/>
                <w:szCs w:val="16"/>
                <w:highlight w:val="none"/>
                <w:lang w:val="en-US" w:eastAsia="zh-CN"/>
              </w:rPr>
              <w:t>439</w:t>
            </w:r>
            <w:r>
              <w:rPr>
                <w:rFonts w:hint="default" w:ascii="Times New Roman" w:hAnsi="Times New Roman" w:eastAsia="宋体" w:cs="Times New Roman"/>
                <w:color w:val="auto"/>
                <w:sz w:val="21"/>
                <w:szCs w:val="16"/>
                <w:highlight w:val="none"/>
              </w:rPr>
              <w:t>-202</w:t>
            </w:r>
            <w:r>
              <w:rPr>
                <w:rFonts w:hint="default" w:ascii="Times New Roman" w:hAnsi="Times New Roman" w:eastAsia="宋体" w:cs="Times New Roman"/>
                <w:color w:val="auto"/>
                <w:sz w:val="21"/>
                <w:szCs w:val="16"/>
                <w:highlight w:val="none"/>
                <w:lang w:val="en-US" w:eastAsia="zh-CN"/>
              </w:rPr>
              <w:t>2</w:t>
            </w:r>
            <w:r>
              <w:rPr>
                <w:rFonts w:hint="default" w:ascii="Times New Roman" w:hAnsi="Times New Roman" w:eastAsia="宋体" w:cs="Times New Roman"/>
                <w:color w:val="auto"/>
                <w:sz w:val="21"/>
                <w:szCs w:val="16"/>
                <w:highlight w:val="none"/>
              </w:rPr>
              <w:t>）</w:t>
            </w:r>
          </w:p>
        </w:tc>
      </w:tr>
      <w:tr w14:paraId="5A40C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778" w:type="dxa"/>
            <w:vMerge w:val="restart"/>
            <w:vAlign w:val="center"/>
          </w:tcPr>
          <w:p w14:paraId="599C2F93">
            <w:pPr>
              <w:adjustRightInd w:val="0"/>
              <w:snapToGrid w:val="0"/>
              <w:jc w:val="center"/>
              <w:rPr>
                <w:color w:val="auto"/>
                <w:szCs w:val="21"/>
                <w:highlight w:val="none"/>
              </w:rPr>
            </w:pPr>
            <w:r>
              <w:rPr>
                <w:color w:val="auto"/>
                <w:szCs w:val="21"/>
                <w:highlight w:val="none"/>
              </w:rPr>
              <w:t>地表水环境</w:t>
            </w:r>
          </w:p>
        </w:tc>
        <w:tc>
          <w:tcPr>
            <w:tcW w:w="1565" w:type="dxa"/>
            <w:gridSpan w:val="2"/>
            <w:vAlign w:val="center"/>
          </w:tcPr>
          <w:p w14:paraId="3BB6CF9B">
            <w:pPr>
              <w:widowControl/>
              <w:jc w:val="center"/>
              <w:rPr>
                <w:color w:val="auto"/>
                <w:kern w:val="0"/>
                <w:szCs w:val="21"/>
                <w:highlight w:val="none"/>
                <w:lang w:bidi="ar"/>
              </w:rPr>
            </w:pPr>
            <w:r>
              <w:rPr>
                <w:rFonts w:hint="eastAsia"/>
                <w:color w:val="auto"/>
                <w:kern w:val="0"/>
                <w:szCs w:val="21"/>
                <w:highlight w:val="none"/>
                <w:lang w:val="en-US" w:eastAsia="zh-CN" w:bidi="ar"/>
              </w:rPr>
              <w:t>生活污水</w:t>
            </w:r>
          </w:p>
        </w:tc>
        <w:tc>
          <w:tcPr>
            <w:tcW w:w="1350" w:type="dxa"/>
            <w:vAlign w:val="center"/>
          </w:tcPr>
          <w:p w14:paraId="7C70FCCF">
            <w:pPr>
              <w:adjustRightInd w:val="0"/>
              <w:snapToGrid w:val="0"/>
              <w:jc w:val="center"/>
              <w:rPr>
                <w:color w:val="auto"/>
                <w:szCs w:val="21"/>
                <w:highlight w:val="none"/>
              </w:rPr>
            </w:pPr>
            <w:r>
              <w:rPr>
                <w:rFonts w:hint="eastAsia"/>
                <w:color w:val="auto"/>
                <w:szCs w:val="21"/>
                <w:highlight w:val="none"/>
                <w:lang w:val="en-US" w:eastAsia="zh-CN"/>
              </w:rPr>
              <w:t>pH、</w:t>
            </w:r>
            <w:r>
              <w:rPr>
                <w:color w:val="auto"/>
                <w:szCs w:val="21"/>
                <w:highlight w:val="none"/>
              </w:rPr>
              <w:t>COD、</w:t>
            </w:r>
            <w:r>
              <w:rPr>
                <w:rFonts w:hint="eastAsia"/>
                <w:color w:val="auto"/>
                <w:szCs w:val="21"/>
                <w:highlight w:val="none"/>
                <w:lang w:val="en-US" w:eastAsia="zh-CN"/>
              </w:rPr>
              <w:t>BOD</w:t>
            </w:r>
            <w:r>
              <w:rPr>
                <w:rFonts w:hint="eastAsia"/>
                <w:color w:val="auto"/>
                <w:szCs w:val="21"/>
                <w:highlight w:val="none"/>
                <w:vertAlign w:val="subscript"/>
                <w:lang w:val="en-US" w:eastAsia="zh-CN"/>
              </w:rPr>
              <w:t>5</w:t>
            </w:r>
            <w:r>
              <w:rPr>
                <w:color w:val="auto"/>
                <w:szCs w:val="21"/>
                <w:highlight w:val="none"/>
              </w:rPr>
              <w:t>、SS、NH</w:t>
            </w:r>
            <w:r>
              <w:rPr>
                <w:color w:val="auto"/>
                <w:szCs w:val="21"/>
                <w:highlight w:val="none"/>
                <w:vertAlign w:val="subscript"/>
              </w:rPr>
              <w:t>3</w:t>
            </w:r>
            <w:r>
              <w:rPr>
                <w:color w:val="auto"/>
                <w:szCs w:val="21"/>
                <w:highlight w:val="none"/>
              </w:rPr>
              <w:t>-N、总氮、总磷</w:t>
            </w:r>
          </w:p>
        </w:tc>
        <w:tc>
          <w:tcPr>
            <w:tcW w:w="1509" w:type="dxa"/>
            <w:vAlign w:val="center"/>
          </w:tcPr>
          <w:p w14:paraId="2FF2B17F">
            <w:pPr>
              <w:spacing w:line="260" w:lineRule="exact"/>
              <w:jc w:val="center"/>
              <w:rPr>
                <w:color w:val="auto"/>
                <w:szCs w:val="21"/>
                <w:highlight w:val="none"/>
              </w:rPr>
            </w:pPr>
            <w:r>
              <w:rPr>
                <w:rFonts w:hint="eastAsia"/>
                <w:color w:val="auto"/>
                <w:szCs w:val="21"/>
                <w:highlight w:val="none"/>
                <w:lang w:val="en-US" w:eastAsia="zh-CN"/>
              </w:rPr>
              <w:t>化粪池</w:t>
            </w:r>
          </w:p>
        </w:tc>
        <w:tc>
          <w:tcPr>
            <w:tcW w:w="2598" w:type="dxa"/>
            <w:vMerge w:val="restart"/>
            <w:vAlign w:val="center"/>
          </w:tcPr>
          <w:p w14:paraId="3150659C">
            <w:pPr>
              <w:adjustRightInd w:val="0"/>
              <w:snapToGrid w:val="0"/>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李口镇污水处理厂接管标准，</w:t>
            </w:r>
            <w:r>
              <w:rPr>
                <w:rFonts w:hint="eastAsia"/>
                <w:color w:val="auto"/>
                <w:sz w:val="21"/>
                <w:szCs w:val="21"/>
                <w:highlight w:val="none"/>
                <w:lang w:val="en-US" w:eastAsia="zh-CN"/>
              </w:rPr>
              <w:t>总锌</w:t>
            </w:r>
            <w:r>
              <w:rPr>
                <w:rFonts w:hint="eastAsia"/>
                <w:bCs/>
                <w:color w:val="auto"/>
                <w:sz w:val="21"/>
                <w:szCs w:val="21"/>
                <w:highlight w:val="none"/>
                <w:lang w:val="en-US" w:eastAsia="zh-CN"/>
              </w:rPr>
              <w:t>浓度企业总排口达到《城镇污水处理厂污染物排放标准》（DB32/4440-2022）中表4标准限值</w:t>
            </w:r>
          </w:p>
        </w:tc>
      </w:tr>
      <w:tr w14:paraId="27C20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778" w:type="dxa"/>
            <w:vMerge w:val="continue"/>
            <w:vAlign w:val="center"/>
          </w:tcPr>
          <w:p w14:paraId="09E87A1E">
            <w:pPr>
              <w:adjustRightInd w:val="0"/>
              <w:snapToGrid w:val="0"/>
              <w:jc w:val="center"/>
              <w:rPr>
                <w:color w:val="auto"/>
                <w:szCs w:val="21"/>
                <w:highlight w:val="none"/>
              </w:rPr>
            </w:pPr>
          </w:p>
        </w:tc>
        <w:tc>
          <w:tcPr>
            <w:tcW w:w="1565" w:type="dxa"/>
            <w:gridSpan w:val="2"/>
            <w:vAlign w:val="center"/>
          </w:tcPr>
          <w:p w14:paraId="76C4B3C4">
            <w:pPr>
              <w:widowControl/>
              <w:jc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表面处理废水</w:t>
            </w:r>
          </w:p>
        </w:tc>
        <w:tc>
          <w:tcPr>
            <w:tcW w:w="1350" w:type="dxa"/>
            <w:vAlign w:val="center"/>
          </w:tcPr>
          <w:p w14:paraId="2E4AE14D">
            <w:pPr>
              <w:adjustRightInd w:val="0"/>
              <w:snapToGrid w:val="0"/>
              <w:jc w:val="center"/>
              <w:rPr>
                <w:color w:val="auto"/>
                <w:szCs w:val="21"/>
                <w:highlight w:val="none"/>
              </w:rPr>
            </w:pPr>
            <w:r>
              <w:rPr>
                <w:rFonts w:hint="eastAsia" w:cs="Times New Roman"/>
                <w:color w:val="auto"/>
                <w:kern w:val="2"/>
                <w:sz w:val="21"/>
                <w:szCs w:val="22"/>
                <w:highlight w:val="none"/>
                <w:lang w:val="en-US" w:eastAsia="zh-CN" w:bidi="ar-SA"/>
              </w:rPr>
              <w:t>pH、</w:t>
            </w:r>
            <w:r>
              <w:rPr>
                <w:rFonts w:hint="eastAsia" w:ascii="Times New Roman" w:hAnsi="Times New Roman" w:eastAsia="宋体" w:cs="Times New Roman"/>
                <w:color w:val="auto"/>
                <w:kern w:val="2"/>
                <w:sz w:val="21"/>
                <w:szCs w:val="22"/>
                <w:highlight w:val="none"/>
                <w:lang w:val="en-US" w:eastAsia="zh-CN" w:bidi="ar-SA"/>
              </w:rPr>
              <w:t>COD、BOD</w:t>
            </w:r>
            <w:r>
              <w:rPr>
                <w:rFonts w:hint="eastAsia" w:ascii="Times New Roman" w:hAnsi="Times New Roman" w:eastAsia="宋体" w:cs="Times New Roman"/>
                <w:color w:val="auto"/>
                <w:kern w:val="2"/>
                <w:sz w:val="21"/>
                <w:szCs w:val="22"/>
                <w:highlight w:val="none"/>
                <w:vertAlign w:val="subscript"/>
                <w:lang w:val="en-US" w:eastAsia="zh-CN" w:bidi="ar-SA"/>
              </w:rPr>
              <w:t>5</w:t>
            </w:r>
            <w:r>
              <w:rPr>
                <w:rFonts w:hint="eastAsia" w:ascii="Times New Roman" w:hAnsi="Times New Roman" w:eastAsia="宋体" w:cs="Times New Roman"/>
                <w:color w:val="auto"/>
                <w:kern w:val="2"/>
                <w:sz w:val="21"/>
                <w:szCs w:val="22"/>
                <w:highlight w:val="none"/>
                <w:lang w:val="en-US" w:eastAsia="zh-CN" w:bidi="ar-SA"/>
              </w:rPr>
              <w:t>、SS、总氮、总磷</w:t>
            </w:r>
            <w:r>
              <w:rPr>
                <w:rFonts w:hint="eastAsia" w:cs="Times New Roman"/>
                <w:color w:val="auto"/>
                <w:kern w:val="2"/>
                <w:sz w:val="21"/>
                <w:szCs w:val="22"/>
                <w:highlight w:val="none"/>
                <w:lang w:val="en-US" w:eastAsia="zh-CN" w:bidi="ar-SA"/>
              </w:rPr>
              <w:t>、石油类、总锌</w:t>
            </w:r>
          </w:p>
        </w:tc>
        <w:tc>
          <w:tcPr>
            <w:tcW w:w="1509" w:type="dxa"/>
            <w:vAlign w:val="center"/>
          </w:tcPr>
          <w:p w14:paraId="412A43B1">
            <w:pPr>
              <w:spacing w:line="260" w:lineRule="exact"/>
              <w:jc w:val="center"/>
              <w:rPr>
                <w:color w:val="auto"/>
                <w:szCs w:val="21"/>
                <w:highlight w:val="none"/>
              </w:rPr>
            </w:pPr>
            <w:r>
              <w:rPr>
                <w:rFonts w:hint="eastAsia" w:cs="Times New Roman"/>
                <w:color w:val="auto"/>
                <w:sz w:val="21"/>
                <w:szCs w:val="21"/>
                <w:highlight w:val="none"/>
                <w:lang w:val="en-US" w:eastAsia="zh-CN"/>
              </w:rPr>
              <w:t>污水处理站TW002（</w:t>
            </w:r>
            <w:r>
              <w:rPr>
                <w:rFonts w:hint="default" w:ascii="Times New Roman" w:hAnsi="Times New Roman" w:eastAsia="宋体" w:cs="Times New Roman"/>
                <w:color w:val="auto"/>
                <w:sz w:val="21"/>
                <w:szCs w:val="21"/>
                <w:highlight w:val="none"/>
              </w:rPr>
              <w:t>隔油+中和+絮凝+斜管沉淀+</w:t>
            </w:r>
            <w:r>
              <w:rPr>
                <w:rFonts w:hint="eastAsia" w:ascii="Times New Roman" w:hAnsi="Times New Roman" w:eastAsia="宋体" w:cs="Times New Roman"/>
                <w:color w:val="auto"/>
                <w:sz w:val="21"/>
                <w:szCs w:val="21"/>
                <w:highlight w:val="none"/>
                <w:lang w:eastAsia="zh-CN"/>
              </w:rPr>
              <w:t>过滤器</w:t>
            </w:r>
            <w:r>
              <w:rPr>
                <w:rFonts w:hint="eastAsia" w:ascii="Times New Roman" w:hAnsi="Times New Roman" w:eastAsia="宋体" w:cs="Times New Roman"/>
                <w:color w:val="auto"/>
                <w:sz w:val="21"/>
                <w:szCs w:val="21"/>
                <w:highlight w:val="none"/>
                <w:lang w:val="en-US" w:eastAsia="zh-CN"/>
              </w:rPr>
              <w:t>处理工艺</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highlight w:val="none"/>
                <w:lang w:val="en-US" w:eastAsia="zh-CN"/>
              </w:rPr>
              <w:t>）</w:t>
            </w:r>
          </w:p>
        </w:tc>
        <w:tc>
          <w:tcPr>
            <w:tcW w:w="2598" w:type="dxa"/>
            <w:vMerge w:val="continue"/>
            <w:vAlign w:val="center"/>
          </w:tcPr>
          <w:p w14:paraId="27ECED9C">
            <w:pPr>
              <w:adjustRightInd w:val="0"/>
              <w:snapToGrid w:val="0"/>
              <w:spacing w:line="300" w:lineRule="exact"/>
              <w:jc w:val="center"/>
              <w:rPr>
                <w:color w:val="auto"/>
                <w:szCs w:val="21"/>
                <w:highlight w:val="none"/>
              </w:rPr>
            </w:pPr>
          </w:p>
        </w:tc>
      </w:tr>
      <w:tr w14:paraId="13AC2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778" w:type="dxa"/>
            <w:vAlign w:val="center"/>
          </w:tcPr>
          <w:p w14:paraId="389F9996">
            <w:pPr>
              <w:adjustRightInd w:val="0"/>
              <w:snapToGrid w:val="0"/>
              <w:jc w:val="center"/>
              <w:rPr>
                <w:color w:val="auto"/>
                <w:szCs w:val="21"/>
                <w:highlight w:val="none"/>
              </w:rPr>
            </w:pPr>
            <w:r>
              <w:rPr>
                <w:color w:val="auto"/>
                <w:szCs w:val="21"/>
                <w:highlight w:val="none"/>
              </w:rPr>
              <w:t>声环境</w:t>
            </w:r>
          </w:p>
        </w:tc>
        <w:tc>
          <w:tcPr>
            <w:tcW w:w="1565" w:type="dxa"/>
            <w:gridSpan w:val="2"/>
            <w:vAlign w:val="center"/>
          </w:tcPr>
          <w:p w14:paraId="40E25BFD">
            <w:pPr>
              <w:adjustRightInd w:val="0"/>
              <w:snapToGrid w:val="0"/>
              <w:spacing w:line="300" w:lineRule="exact"/>
              <w:jc w:val="center"/>
              <w:rPr>
                <w:color w:val="auto"/>
                <w:szCs w:val="21"/>
                <w:highlight w:val="none"/>
              </w:rPr>
            </w:pPr>
            <w:r>
              <w:rPr>
                <w:color w:val="auto"/>
                <w:szCs w:val="21"/>
                <w:highlight w:val="none"/>
              </w:rPr>
              <w:t>设备噪声</w:t>
            </w:r>
          </w:p>
        </w:tc>
        <w:tc>
          <w:tcPr>
            <w:tcW w:w="1350" w:type="dxa"/>
            <w:vAlign w:val="center"/>
          </w:tcPr>
          <w:p w14:paraId="01A240BB">
            <w:pPr>
              <w:adjustRightInd w:val="0"/>
              <w:snapToGrid w:val="0"/>
              <w:spacing w:line="300" w:lineRule="exact"/>
              <w:jc w:val="center"/>
              <w:rPr>
                <w:color w:val="auto"/>
                <w:szCs w:val="21"/>
                <w:highlight w:val="none"/>
              </w:rPr>
            </w:pPr>
            <w:r>
              <w:rPr>
                <w:color w:val="auto"/>
                <w:szCs w:val="21"/>
                <w:highlight w:val="none"/>
              </w:rPr>
              <w:t>噪声</w:t>
            </w:r>
          </w:p>
        </w:tc>
        <w:tc>
          <w:tcPr>
            <w:tcW w:w="1509" w:type="dxa"/>
            <w:vAlign w:val="center"/>
          </w:tcPr>
          <w:p w14:paraId="0189B190">
            <w:pPr>
              <w:adjustRightInd w:val="0"/>
              <w:snapToGrid w:val="0"/>
              <w:spacing w:line="300" w:lineRule="exact"/>
              <w:jc w:val="center"/>
              <w:rPr>
                <w:color w:val="auto"/>
                <w:szCs w:val="21"/>
                <w:highlight w:val="none"/>
              </w:rPr>
            </w:pPr>
            <w:r>
              <w:rPr>
                <w:color w:val="auto"/>
                <w:szCs w:val="21"/>
                <w:highlight w:val="none"/>
              </w:rPr>
              <w:t>厂房隔声，设备</w:t>
            </w:r>
            <w:r>
              <w:rPr>
                <w:rFonts w:hint="eastAsia"/>
                <w:color w:val="auto"/>
                <w:szCs w:val="21"/>
                <w:highlight w:val="none"/>
              </w:rPr>
              <w:t>减振、</w:t>
            </w:r>
            <w:r>
              <w:rPr>
                <w:color w:val="auto"/>
                <w:szCs w:val="21"/>
                <w:highlight w:val="none"/>
              </w:rPr>
              <w:t>合理布局等</w:t>
            </w:r>
          </w:p>
        </w:tc>
        <w:tc>
          <w:tcPr>
            <w:tcW w:w="2598" w:type="dxa"/>
            <w:vAlign w:val="center"/>
          </w:tcPr>
          <w:p w14:paraId="289441D6">
            <w:pPr>
              <w:adjustRightInd w:val="0"/>
              <w:snapToGrid w:val="0"/>
              <w:spacing w:line="300" w:lineRule="exact"/>
              <w:jc w:val="center"/>
              <w:rPr>
                <w:color w:val="auto"/>
                <w:szCs w:val="21"/>
                <w:highlight w:val="none"/>
              </w:rPr>
            </w:pPr>
            <w:r>
              <w:rPr>
                <w:bCs/>
                <w:color w:val="auto"/>
                <w:szCs w:val="21"/>
                <w:highlight w:val="none"/>
              </w:rPr>
              <w:t>《工业企业厂界环境噪声排放标准》（GB12348-2008）中的3类标准值</w:t>
            </w:r>
          </w:p>
        </w:tc>
      </w:tr>
      <w:tr w14:paraId="0C968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1778" w:type="dxa"/>
            <w:vAlign w:val="center"/>
          </w:tcPr>
          <w:p w14:paraId="7998FEA2">
            <w:pPr>
              <w:adjustRightInd w:val="0"/>
              <w:snapToGrid w:val="0"/>
              <w:jc w:val="center"/>
              <w:rPr>
                <w:color w:val="auto"/>
                <w:szCs w:val="21"/>
                <w:highlight w:val="none"/>
              </w:rPr>
            </w:pPr>
            <w:r>
              <w:rPr>
                <w:color w:val="auto"/>
                <w:szCs w:val="21"/>
                <w:highlight w:val="none"/>
              </w:rPr>
              <w:t>电磁辐射</w:t>
            </w:r>
          </w:p>
        </w:tc>
        <w:tc>
          <w:tcPr>
            <w:tcW w:w="7022" w:type="dxa"/>
            <w:gridSpan w:val="5"/>
            <w:vAlign w:val="center"/>
          </w:tcPr>
          <w:p w14:paraId="5B33122C">
            <w:pPr>
              <w:adjustRightInd w:val="0"/>
              <w:snapToGrid w:val="0"/>
              <w:jc w:val="center"/>
              <w:rPr>
                <w:color w:val="auto"/>
                <w:szCs w:val="21"/>
                <w:highlight w:val="none"/>
              </w:rPr>
            </w:pPr>
            <w:r>
              <w:rPr>
                <w:color w:val="auto"/>
                <w:szCs w:val="21"/>
                <w:highlight w:val="none"/>
              </w:rPr>
              <w:t>无</w:t>
            </w:r>
          </w:p>
        </w:tc>
      </w:tr>
      <w:tr w14:paraId="12462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1778" w:type="dxa"/>
            <w:vAlign w:val="center"/>
          </w:tcPr>
          <w:p w14:paraId="635FFC87">
            <w:pPr>
              <w:adjustRightInd w:val="0"/>
              <w:snapToGrid w:val="0"/>
              <w:jc w:val="center"/>
              <w:rPr>
                <w:color w:val="auto"/>
                <w:szCs w:val="21"/>
                <w:highlight w:val="none"/>
              </w:rPr>
            </w:pPr>
            <w:r>
              <w:rPr>
                <w:color w:val="auto"/>
                <w:szCs w:val="21"/>
                <w:highlight w:val="none"/>
              </w:rPr>
              <w:t>固体废物</w:t>
            </w:r>
          </w:p>
        </w:tc>
        <w:tc>
          <w:tcPr>
            <w:tcW w:w="7022" w:type="dxa"/>
            <w:gridSpan w:val="5"/>
            <w:vAlign w:val="center"/>
          </w:tcPr>
          <w:p w14:paraId="3D56C660">
            <w:pPr>
              <w:adjustRightInd w:val="0"/>
              <w:snapToGrid w:val="0"/>
              <w:jc w:val="left"/>
              <w:rPr>
                <w:color w:val="auto"/>
                <w:szCs w:val="21"/>
                <w:highlight w:val="none"/>
              </w:rPr>
            </w:pPr>
            <w:r>
              <w:rPr>
                <w:color w:val="auto"/>
                <w:kern w:val="0"/>
                <w:highlight w:val="none"/>
              </w:rPr>
              <w:t>生活垃圾由环卫统一收集定期清运。</w:t>
            </w:r>
            <w:r>
              <w:rPr>
                <w:rFonts w:hint="eastAsia"/>
                <w:color w:val="auto"/>
                <w:kern w:val="0"/>
                <w:highlight w:val="none"/>
                <w:lang w:val="en-US" w:eastAsia="zh-CN"/>
              </w:rPr>
              <w:t>废布袋、</w:t>
            </w:r>
            <w:r>
              <w:rPr>
                <w:rFonts w:hint="eastAsia"/>
                <w:color w:val="auto"/>
                <w:szCs w:val="21"/>
                <w:highlight w:val="none"/>
              </w:rPr>
              <w:t>废活性炭、</w:t>
            </w:r>
            <w:r>
              <w:rPr>
                <w:rFonts w:hint="eastAsia"/>
                <w:color w:val="auto"/>
                <w:szCs w:val="21"/>
                <w:highlight w:val="none"/>
                <w:lang w:val="en-US" w:eastAsia="zh-CN"/>
              </w:rPr>
              <w:t>污泥、废油</w:t>
            </w:r>
            <w:r>
              <w:rPr>
                <w:color w:val="auto"/>
                <w:kern w:val="0"/>
                <w:highlight w:val="none"/>
              </w:rPr>
              <w:t>委托有资质单位处</w:t>
            </w:r>
            <w:r>
              <w:rPr>
                <w:rFonts w:hint="eastAsia"/>
                <w:color w:val="auto"/>
                <w:kern w:val="0"/>
                <w:highlight w:val="none"/>
                <w:lang w:val="en-US" w:eastAsia="zh-CN"/>
              </w:rPr>
              <w:t>理</w:t>
            </w:r>
            <w:r>
              <w:rPr>
                <w:color w:val="auto"/>
                <w:kern w:val="0"/>
                <w:highlight w:val="none"/>
              </w:rPr>
              <w:t>。</w:t>
            </w:r>
            <w:r>
              <w:rPr>
                <w:color w:val="auto"/>
                <w:szCs w:val="21"/>
                <w:highlight w:val="none"/>
              </w:rPr>
              <w:t>企业需做好垃圾分类工作，各类废物分开收集，并按上述措施分类处理。各类废物经妥善处理后，对周边环境无影响。</w:t>
            </w:r>
          </w:p>
        </w:tc>
      </w:tr>
      <w:tr w14:paraId="26913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1778" w:type="dxa"/>
            <w:vAlign w:val="center"/>
          </w:tcPr>
          <w:p w14:paraId="3D7AB9B6">
            <w:pPr>
              <w:adjustRightInd w:val="0"/>
              <w:snapToGrid w:val="0"/>
              <w:jc w:val="center"/>
              <w:rPr>
                <w:color w:val="auto"/>
                <w:szCs w:val="21"/>
                <w:highlight w:val="none"/>
              </w:rPr>
            </w:pPr>
            <w:r>
              <w:rPr>
                <w:color w:val="auto"/>
                <w:szCs w:val="21"/>
                <w:highlight w:val="none"/>
              </w:rPr>
              <w:t>土壤及地下水</w:t>
            </w:r>
          </w:p>
          <w:p w14:paraId="33A164FB">
            <w:pPr>
              <w:adjustRightInd w:val="0"/>
              <w:snapToGrid w:val="0"/>
              <w:jc w:val="center"/>
              <w:rPr>
                <w:color w:val="auto"/>
                <w:szCs w:val="21"/>
                <w:highlight w:val="none"/>
              </w:rPr>
            </w:pPr>
            <w:r>
              <w:rPr>
                <w:color w:val="auto"/>
                <w:szCs w:val="21"/>
                <w:highlight w:val="none"/>
              </w:rPr>
              <w:t>污染防治措施</w:t>
            </w:r>
          </w:p>
        </w:tc>
        <w:tc>
          <w:tcPr>
            <w:tcW w:w="7022" w:type="dxa"/>
            <w:gridSpan w:val="5"/>
            <w:vAlign w:val="center"/>
          </w:tcPr>
          <w:p w14:paraId="79AD1D2E">
            <w:pPr>
              <w:widowControl/>
              <w:rPr>
                <w:color w:val="auto"/>
                <w:szCs w:val="21"/>
                <w:highlight w:val="none"/>
              </w:rPr>
            </w:pPr>
            <w:r>
              <w:rPr>
                <w:color w:val="auto"/>
                <w:kern w:val="0"/>
                <w:szCs w:val="21"/>
                <w:highlight w:val="none"/>
              </w:rPr>
              <w:t>建设项目应加强</w:t>
            </w:r>
            <w:r>
              <w:rPr>
                <w:rFonts w:hint="eastAsia"/>
                <w:color w:val="auto"/>
                <w:kern w:val="0"/>
                <w:szCs w:val="21"/>
                <w:highlight w:val="none"/>
              </w:rPr>
              <w:t>原料仓库、</w:t>
            </w:r>
            <w:r>
              <w:rPr>
                <w:rFonts w:hint="eastAsia"/>
                <w:color w:val="auto"/>
                <w:kern w:val="0"/>
                <w:szCs w:val="21"/>
                <w:highlight w:val="none"/>
                <w:lang w:val="en-US" w:eastAsia="zh-CN"/>
              </w:rPr>
              <w:t>生产</w:t>
            </w:r>
            <w:r>
              <w:rPr>
                <w:rFonts w:hint="eastAsia"/>
                <w:color w:val="auto"/>
                <w:kern w:val="0"/>
                <w:szCs w:val="21"/>
                <w:highlight w:val="none"/>
              </w:rPr>
              <w:t>车间</w:t>
            </w:r>
            <w:r>
              <w:rPr>
                <w:color w:val="auto"/>
                <w:kern w:val="0"/>
                <w:szCs w:val="21"/>
                <w:highlight w:val="none"/>
              </w:rPr>
              <w:t>、危废暂存间、</w:t>
            </w:r>
            <w:r>
              <w:rPr>
                <w:rFonts w:hint="eastAsia"/>
                <w:color w:val="auto"/>
                <w:kern w:val="0"/>
                <w:szCs w:val="21"/>
                <w:highlight w:val="none"/>
                <w:lang w:val="en-US" w:eastAsia="zh-CN"/>
              </w:rPr>
              <w:t>废气处理设施、废水处理设施</w:t>
            </w:r>
            <w:r>
              <w:rPr>
                <w:color w:val="auto"/>
                <w:kern w:val="0"/>
                <w:szCs w:val="21"/>
                <w:highlight w:val="none"/>
              </w:rPr>
              <w:t>等容易发生渗漏引起土壤和地下水污染的区域的管理工作，定期巡查，避免发生跑冒滴漏的现象，如发现应立即采取紧急处理措施。防渗处理是防止地下水污染的重要环保保护措施，也是杜绝土壤和地下水污染的最后一道防线</w:t>
            </w:r>
            <w:r>
              <w:rPr>
                <w:color w:val="auto"/>
                <w:highlight w:val="none"/>
              </w:rPr>
              <w:t>。</w:t>
            </w:r>
          </w:p>
        </w:tc>
      </w:tr>
      <w:tr w14:paraId="50888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1778" w:type="dxa"/>
            <w:vAlign w:val="center"/>
          </w:tcPr>
          <w:p w14:paraId="4224853D">
            <w:pPr>
              <w:adjustRightInd w:val="0"/>
              <w:snapToGrid w:val="0"/>
              <w:jc w:val="center"/>
              <w:rPr>
                <w:color w:val="auto"/>
                <w:szCs w:val="21"/>
                <w:highlight w:val="none"/>
              </w:rPr>
            </w:pPr>
            <w:r>
              <w:rPr>
                <w:color w:val="auto"/>
                <w:szCs w:val="21"/>
                <w:highlight w:val="none"/>
              </w:rPr>
              <w:t>生态保护措施</w:t>
            </w:r>
          </w:p>
        </w:tc>
        <w:tc>
          <w:tcPr>
            <w:tcW w:w="7022" w:type="dxa"/>
            <w:gridSpan w:val="5"/>
            <w:vAlign w:val="center"/>
          </w:tcPr>
          <w:p w14:paraId="1230DD2A">
            <w:pPr>
              <w:adjustRightInd w:val="0"/>
              <w:snapToGrid w:val="0"/>
              <w:jc w:val="center"/>
              <w:rPr>
                <w:color w:val="auto"/>
                <w:szCs w:val="21"/>
                <w:highlight w:val="none"/>
              </w:rPr>
            </w:pPr>
            <w:r>
              <w:rPr>
                <w:color w:val="auto"/>
                <w:szCs w:val="21"/>
                <w:highlight w:val="none"/>
              </w:rPr>
              <w:t>无</w:t>
            </w:r>
          </w:p>
        </w:tc>
      </w:tr>
      <w:tr w14:paraId="5BDA05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1778" w:type="dxa"/>
            <w:vAlign w:val="center"/>
          </w:tcPr>
          <w:p w14:paraId="01B02A4A">
            <w:pPr>
              <w:adjustRightInd w:val="0"/>
              <w:snapToGrid w:val="0"/>
              <w:jc w:val="center"/>
              <w:rPr>
                <w:color w:val="auto"/>
                <w:spacing w:val="-8"/>
                <w:szCs w:val="21"/>
                <w:highlight w:val="none"/>
              </w:rPr>
            </w:pPr>
            <w:r>
              <w:rPr>
                <w:color w:val="auto"/>
                <w:spacing w:val="-8"/>
                <w:szCs w:val="21"/>
                <w:highlight w:val="none"/>
              </w:rPr>
              <w:t>环境风险</w:t>
            </w:r>
          </w:p>
          <w:p w14:paraId="1D87CB2D">
            <w:pPr>
              <w:adjustRightInd w:val="0"/>
              <w:snapToGrid w:val="0"/>
              <w:jc w:val="center"/>
              <w:rPr>
                <w:color w:val="auto"/>
                <w:spacing w:val="-8"/>
                <w:szCs w:val="21"/>
                <w:highlight w:val="none"/>
              </w:rPr>
            </w:pPr>
            <w:r>
              <w:rPr>
                <w:color w:val="auto"/>
                <w:spacing w:val="-8"/>
                <w:szCs w:val="21"/>
                <w:highlight w:val="none"/>
              </w:rPr>
              <w:t>防范措施</w:t>
            </w:r>
          </w:p>
        </w:tc>
        <w:tc>
          <w:tcPr>
            <w:tcW w:w="7022" w:type="dxa"/>
            <w:gridSpan w:val="5"/>
            <w:vAlign w:val="center"/>
          </w:tcPr>
          <w:p w14:paraId="546EE27D">
            <w:pPr>
              <w:pStyle w:val="63"/>
              <w:tabs>
                <w:tab w:val="left" w:pos="268"/>
              </w:tabs>
              <w:spacing w:before="45" w:line="288" w:lineRule="auto"/>
              <w:ind w:right="101"/>
              <w:jc w:val="left"/>
              <w:rPr>
                <w:rFonts w:ascii="Times New Roman" w:hAnsi="Times New Roman" w:eastAsia="宋体" w:cs="Times New Roman"/>
                <w:color w:val="auto"/>
                <w:highlight w:val="none"/>
                <w:lang w:val="en-US"/>
              </w:rPr>
            </w:pPr>
            <w:r>
              <w:rPr>
                <w:rFonts w:ascii="Times New Roman" w:hAnsi="Times New Roman" w:eastAsia="宋体" w:cs="Times New Roman"/>
                <w:color w:val="auto"/>
                <w:highlight w:val="none"/>
                <w:lang w:val="en-US"/>
              </w:rPr>
              <w:t>1、加强事故预警监控，定期巡检、调节、保养、维修。及时发现有可能引起事故的异常运行苗头，消除事故隐患。</w:t>
            </w:r>
          </w:p>
          <w:p w14:paraId="4D250891">
            <w:pPr>
              <w:pStyle w:val="63"/>
              <w:tabs>
                <w:tab w:val="left" w:pos="268"/>
              </w:tabs>
              <w:spacing w:line="285" w:lineRule="auto"/>
              <w:ind w:right="101"/>
              <w:jc w:val="left"/>
              <w:rPr>
                <w:rFonts w:ascii="Times New Roman" w:hAnsi="Times New Roman" w:eastAsia="宋体" w:cs="Times New Roman"/>
                <w:color w:val="auto"/>
                <w:highlight w:val="none"/>
                <w:lang w:val="en-US"/>
              </w:rPr>
            </w:pPr>
            <w:r>
              <w:rPr>
                <w:rFonts w:ascii="Times New Roman" w:hAnsi="Times New Roman" w:eastAsia="宋体" w:cs="Times New Roman"/>
                <w:color w:val="auto"/>
                <w:highlight w:val="none"/>
                <w:lang w:val="en-US"/>
              </w:rPr>
              <w:t>2、加强管理和设备维护工作，保持设备的完好率和处理的高效率。备用设备或替换下来的设备要及时检修，并定期检查，使其在需要时能及时使用。</w:t>
            </w:r>
          </w:p>
          <w:p w14:paraId="7D3FF910">
            <w:pPr>
              <w:autoSpaceDE w:val="0"/>
              <w:autoSpaceDN w:val="0"/>
              <w:rPr>
                <w:color w:val="auto"/>
                <w:szCs w:val="21"/>
                <w:highlight w:val="none"/>
              </w:rPr>
            </w:pPr>
            <w:r>
              <w:rPr>
                <w:color w:val="auto"/>
                <w:szCs w:val="21"/>
                <w:highlight w:val="none"/>
              </w:rPr>
              <w:t>3、废气处理装置故障事故：加强设施的日常维护与保养，定期更换耗材：落实日常巡检、巡视制度现事故及时上报：一旦发生事故应紧急停止，待排除故障后方可恢复运行。</w:t>
            </w:r>
          </w:p>
          <w:p w14:paraId="399271CB">
            <w:pPr>
              <w:autoSpaceDE w:val="0"/>
              <w:autoSpaceDN w:val="0"/>
              <w:rPr>
                <w:color w:val="auto"/>
                <w:szCs w:val="21"/>
                <w:highlight w:val="none"/>
              </w:rPr>
            </w:pPr>
            <w:r>
              <w:rPr>
                <w:rFonts w:hint="eastAsia"/>
                <w:color w:val="auto"/>
                <w:szCs w:val="21"/>
                <w:highlight w:val="none"/>
              </w:rPr>
              <w:t>4、</w:t>
            </w:r>
            <w:r>
              <w:rPr>
                <w:color w:val="auto"/>
                <w:szCs w:val="21"/>
                <w:highlight w:val="none"/>
              </w:rPr>
              <w:t>风险防范措施严格执行《建筑设计防火规范》（GB50016-2014）（修订版）相关要求。</w:t>
            </w:r>
          </w:p>
          <w:p w14:paraId="51831C19">
            <w:pPr>
              <w:autoSpaceDE w:val="0"/>
              <w:autoSpaceDN w:val="0"/>
              <w:rPr>
                <w:color w:val="auto"/>
                <w:szCs w:val="21"/>
                <w:highlight w:val="none"/>
              </w:rPr>
            </w:pPr>
            <w:r>
              <w:rPr>
                <w:rFonts w:hint="eastAsia"/>
                <w:color w:val="auto"/>
                <w:szCs w:val="21"/>
                <w:highlight w:val="none"/>
              </w:rPr>
              <w:t>5、</w:t>
            </w:r>
            <w:r>
              <w:rPr>
                <w:color w:val="auto"/>
                <w:szCs w:val="21"/>
                <w:highlight w:val="none"/>
              </w:rPr>
              <w:t>建设项目按照要求进行环境风险防范措施和事故应急预案，建立完善的环境应急管理体系，提高环境风险防控水平。</w:t>
            </w:r>
          </w:p>
          <w:p w14:paraId="70CAE108">
            <w:pPr>
              <w:autoSpaceDE w:val="0"/>
              <w:autoSpaceDN w:val="0"/>
              <w:rPr>
                <w:color w:val="auto"/>
                <w:szCs w:val="21"/>
                <w:highlight w:val="none"/>
              </w:rPr>
            </w:pPr>
            <w:r>
              <w:rPr>
                <w:rFonts w:hint="default" w:ascii="Times New Roman" w:hAnsi="Times New Roman" w:cs="Times New Roman"/>
                <w:color w:val="auto"/>
                <w:kern w:val="0"/>
                <w:szCs w:val="21"/>
                <w:lang w:val="en-US" w:eastAsia="zh-CN"/>
              </w:rPr>
              <w:t>6、</w:t>
            </w:r>
            <w:r>
              <w:rPr>
                <w:rFonts w:hint="eastAsia" w:ascii="宋体" w:hAnsi="宋体" w:cs="宋体"/>
                <w:color w:val="auto"/>
                <w:kern w:val="0"/>
                <w:szCs w:val="21"/>
              </w:rPr>
              <w:t>编制环保设施的安全评估，识别和分析环保设施在规划、建设和运营过程中可能存在的安全风险，提出预防措施，防止事故发生。</w:t>
            </w:r>
          </w:p>
        </w:tc>
      </w:tr>
      <w:tr w14:paraId="67708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1778" w:type="dxa"/>
            <w:vAlign w:val="center"/>
          </w:tcPr>
          <w:p w14:paraId="1E12FEE3">
            <w:pPr>
              <w:adjustRightInd w:val="0"/>
              <w:snapToGrid w:val="0"/>
              <w:jc w:val="center"/>
              <w:rPr>
                <w:color w:val="auto"/>
                <w:spacing w:val="-8"/>
                <w:szCs w:val="21"/>
                <w:highlight w:val="none"/>
              </w:rPr>
            </w:pPr>
            <w:r>
              <w:rPr>
                <w:color w:val="auto"/>
                <w:spacing w:val="-8"/>
                <w:szCs w:val="21"/>
                <w:highlight w:val="none"/>
              </w:rPr>
              <w:t>其他环境</w:t>
            </w:r>
          </w:p>
          <w:p w14:paraId="0FE9132F">
            <w:pPr>
              <w:adjustRightInd w:val="0"/>
              <w:snapToGrid w:val="0"/>
              <w:jc w:val="center"/>
              <w:rPr>
                <w:color w:val="auto"/>
                <w:spacing w:val="-8"/>
                <w:szCs w:val="21"/>
                <w:highlight w:val="none"/>
              </w:rPr>
            </w:pPr>
            <w:r>
              <w:rPr>
                <w:color w:val="auto"/>
                <w:spacing w:val="-8"/>
                <w:szCs w:val="21"/>
                <w:highlight w:val="none"/>
              </w:rPr>
              <w:t>管理要求</w:t>
            </w:r>
          </w:p>
        </w:tc>
        <w:tc>
          <w:tcPr>
            <w:tcW w:w="7022" w:type="dxa"/>
            <w:gridSpan w:val="5"/>
            <w:vAlign w:val="center"/>
          </w:tcPr>
          <w:p w14:paraId="5272259D">
            <w:pPr>
              <w:adjustRightInd w:val="0"/>
              <w:snapToGrid w:val="0"/>
              <w:rPr>
                <w:color w:val="auto"/>
                <w:szCs w:val="21"/>
                <w:highlight w:val="none"/>
              </w:rPr>
            </w:pPr>
            <w:r>
              <w:rPr>
                <w:color w:val="auto"/>
                <w:szCs w:val="21"/>
                <w:highlight w:val="none"/>
              </w:rPr>
              <w:t>1.排污许可</w:t>
            </w:r>
          </w:p>
          <w:p w14:paraId="0309811B">
            <w:pPr>
              <w:adjustRightInd w:val="0"/>
              <w:snapToGrid w:val="0"/>
              <w:ind w:firstLine="420" w:firstLineChars="200"/>
              <w:rPr>
                <w:color w:val="auto"/>
                <w:szCs w:val="21"/>
                <w:highlight w:val="none"/>
              </w:rPr>
            </w:pPr>
            <w:r>
              <w:rPr>
                <w:color w:val="auto"/>
                <w:szCs w:val="21"/>
                <w:highlight w:val="none"/>
              </w:rPr>
              <w:t>根据《排污许可管理办法（试行）》以及《固定污染源排污许可分类管理名录（2019年版）》，本项目应当在启动生产设施或者发生实际排污之前在全国排污许可证管理信息平台</w:t>
            </w:r>
            <w:r>
              <w:rPr>
                <w:rFonts w:hint="eastAsia"/>
                <w:color w:val="auto"/>
                <w:szCs w:val="21"/>
                <w:highlight w:val="none"/>
                <w:lang w:val="en-US" w:eastAsia="zh-CN"/>
              </w:rPr>
              <w:t>重新</w:t>
            </w:r>
            <w:r>
              <w:rPr>
                <w:rFonts w:hint="eastAsia"/>
                <w:color w:val="auto"/>
                <w:szCs w:val="21"/>
                <w:highlight w:val="none"/>
              </w:rPr>
              <w:t>申领</w:t>
            </w:r>
            <w:r>
              <w:rPr>
                <w:color w:val="auto"/>
                <w:szCs w:val="21"/>
                <w:highlight w:val="none"/>
              </w:rPr>
              <w:t>排污许可</w:t>
            </w:r>
            <w:r>
              <w:rPr>
                <w:rFonts w:hint="eastAsia"/>
                <w:color w:val="auto"/>
                <w:szCs w:val="21"/>
                <w:highlight w:val="none"/>
              </w:rPr>
              <w:t>证</w:t>
            </w:r>
            <w:r>
              <w:rPr>
                <w:color w:val="auto"/>
                <w:szCs w:val="21"/>
                <w:highlight w:val="none"/>
              </w:rPr>
              <w:t>。</w:t>
            </w:r>
          </w:p>
          <w:p w14:paraId="5605B611">
            <w:pPr>
              <w:adjustRightInd w:val="0"/>
              <w:snapToGrid w:val="0"/>
              <w:rPr>
                <w:color w:val="auto"/>
                <w:szCs w:val="21"/>
                <w:highlight w:val="none"/>
              </w:rPr>
            </w:pPr>
            <w:r>
              <w:rPr>
                <w:color w:val="auto"/>
                <w:szCs w:val="21"/>
                <w:highlight w:val="none"/>
              </w:rPr>
              <w:t>2.竣工验收</w:t>
            </w:r>
          </w:p>
          <w:p w14:paraId="6F2BB345">
            <w:pPr>
              <w:widowControl/>
              <w:ind w:firstLine="420" w:firstLineChars="200"/>
              <w:jc w:val="left"/>
              <w:rPr>
                <w:color w:val="auto"/>
                <w:szCs w:val="21"/>
                <w:highlight w:val="none"/>
              </w:rPr>
            </w:pPr>
            <w:r>
              <w:rPr>
                <w:color w:val="auto"/>
                <w:szCs w:val="21"/>
                <w:highlight w:val="none"/>
              </w:rPr>
              <w:t>根据《国务院关于修改〈建设项目环境保护管理条例〉的决定》（国务院〔2017〕第682号令）、《建设项目竣工环境保护验收暂行办法》（国环规环评〔2017〕4号）等文件精神，项目竣工后建设单位应自主开展环境保护验收。</w:t>
            </w:r>
          </w:p>
        </w:tc>
      </w:tr>
    </w:tbl>
    <w:p w14:paraId="3F6813E5">
      <w:pPr>
        <w:pStyle w:val="25"/>
        <w:jc w:val="center"/>
        <w:outlineLvl w:val="0"/>
        <w:rPr>
          <w:rFonts w:ascii="黑体" w:hAnsi="黑体" w:eastAsia="黑体"/>
          <w:snapToGrid w:val="0"/>
          <w:color w:val="auto"/>
          <w:sz w:val="30"/>
          <w:szCs w:val="30"/>
          <w:highlight w:val="none"/>
        </w:rPr>
      </w:pPr>
      <w:r>
        <w:rPr>
          <w:snapToGrid w:val="0"/>
          <w:color w:val="FF0000"/>
          <w:highlight w:val="none"/>
        </w:rPr>
        <w:br w:type="page"/>
      </w:r>
      <w:bookmarkStart w:id="30" w:name="_Toc7735"/>
      <w:bookmarkStart w:id="31" w:name="_Toc6201"/>
      <w:r>
        <w:rPr>
          <w:rFonts w:hint="eastAsia" w:ascii="黑体" w:hAnsi="黑体" w:eastAsia="黑体"/>
          <w:snapToGrid w:val="0"/>
          <w:color w:val="auto"/>
          <w:sz w:val="30"/>
          <w:szCs w:val="30"/>
          <w:highlight w:val="none"/>
        </w:rPr>
        <w:t>六、结论</w:t>
      </w:r>
      <w:bookmarkEnd w:id="30"/>
      <w:bookmarkEnd w:id="31"/>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8721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35BCE1F">
            <w:pPr>
              <w:spacing w:line="360" w:lineRule="auto"/>
              <w:ind w:firstLine="422" w:firstLineChars="200"/>
              <w:jc w:val="left"/>
              <w:rPr>
                <w:b/>
                <w:color w:val="auto"/>
                <w:szCs w:val="21"/>
                <w:highlight w:val="none"/>
              </w:rPr>
            </w:pPr>
            <w:r>
              <w:rPr>
                <w:rFonts w:hint="eastAsia"/>
                <w:b/>
                <w:color w:val="auto"/>
                <w:szCs w:val="21"/>
                <w:highlight w:val="none"/>
              </w:rPr>
              <w:t>一、</w:t>
            </w:r>
            <w:r>
              <w:rPr>
                <w:b/>
                <w:color w:val="auto"/>
                <w:szCs w:val="21"/>
                <w:highlight w:val="none"/>
              </w:rPr>
              <w:t>总结论</w:t>
            </w:r>
          </w:p>
          <w:p w14:paraId="0172252E">
            <w:pPr>
              <w:pStyle w:val="64"/>
              <w:snapToGrid/>
              <w:ind w:firstLine="420"/>
              <w:jc w:val="left"/>
              <w:rPr>
                <w:color w:val="auto"/>
                <w:sz w:val="21"/>
                <w:szCs w:val="21"/>
                <w:highlight w:val="none"/>
              </w:rPr>
            </w:pPr>
            <w:r>
              <w:rPr>
                <w:color w:val="auto"/>
                <w:sz w:val="21"/>
                <w:szCs w:val="21"/>
                <w:highlight w:val="none"/>
              </w:rPr>
              <w:t>综上所述，本项目符合国家产业政策，</w:t>
            </w:r>
            <w:r>
              <w:rPr>
                <w:rFonts w:hint="eastAsia"/>
                <w:color w:val="auto"/>
                <w:sz w:val="21"/>
                <w:szCs w:val="21"/>
                <w:highlight w:val="none"/>
                <w:lang w:val="en-US" w:eastAsia="zh-CN"/>
              </w:rPr>
              <w:t>项目地块土地证中的用地性质为工业用地，与镇区规划用地性质不符，后续镇区将调整地块性质，确保项目用地性质与规划用地性质相符。</w:t>
            </w:r>
            <w:r>
              <w:rPr>
                <w:color w:val="auto"/>
                <w:sz w:val="21"/>
                <w:szCs w:val="21"/>
                <w:highlight w:val="none"/>
              </w:rPr>
              <w:t>在落实本环评提出的各项污染防治措施后，污染物均能达标排放，符合总量控制原则，项目实施后各污染物经治理达标排放后对周围环境的贡献量较小，当地环境质量仍能维持现状。</w:t>
            </w:r>
            <w:bookmarkStart w:id="32" w:name="_Toc151124833"/>
            <w:bookmarkStart w:id="33" w:name="_Toc151124312"/>
            <w:bookmarkStart w:id="34" w:name="_Toc151124771"/>
            <w:bookmarkStart w:id="35" w:name="_Toc160864269"/>
            <w:r>
              <w:rPr>
                <w:color w:val="auto"/>
                <w:sz w:val="21"/>
                <w:szCs w:val="21"/>
                <w:highlight w:val="none"/>
              </w:rPr>
              <w:t>通过对项目所在地区的环境现状评价以及项目的环境影响分析，在严格落实本环评提出的各项污染防治措施后，从环保角度而言是可行的。</w:t>
            </w:r>
            <w:bookmarkEnd w:id="32"/>
            <w:bookmarkEnd w:id="33"/>
            <w:bookmarkEnd w:id="34"/>
            <w:bookmarkEnd w:id="35"/>
          </w:p>
          <w:p w14:paraId="0DB50EB5">
            <w:pPr>
              <w:pStyle w:val="12"/>
              <w:spacing w:after="0" w:line="360" w:lineRule="auto"/>
              <w:ind w:left="0" w:leftChars="0" w:firstLine="420" w:firstLineChars="200"/>
              <w:jc w:val="left"/>
              <w:rPr>
                <w:rFonts w:ascii="宋体" w:cs="宋体"/>
                <w:color w:val="FF0000"/>
                <w:sz w:val="24"/>
                <w:highlight w:val="none"/>
              </w:rPr>
            </w:pPr>
            <w:r>
              <w:rPr>
                <w:color w:val="auto"/>
                <w:sz w:val="21"/>
                <w:szCs w:val="21"/>
                <w:highlight w:val="none"/>
              </w:rPr>
              <w:t>上述评价结果是仅根据建设方提供的规模、工艺、布局所做出的，如建设方扩大规模、变动工艺、改变布局，建设方必须按照建设项目环境管理程序要求，进行申报审批。</w:t>
            </w:r>
          </w:p>
        </w:tc>
      </w:tr>
    </w:tbl>
    <w:p w14:paraId="508398F2">
      <w:pPr>
        <w:rPr>
          <w:rFonts w:ascii="宋体"/>
          <w:color w:val="FF0000"/>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B72B058">
      <w:pPr>
        <w:pStyle w:val="25"/>
        <w:adjustRightInd w:val="0"/>
        <w:snapToGrid w:val="0"/>
        <w:spacing w:before="0" w:beforeAutospacing="0" w:after="0" w:afterAutospacing="0" w:line="648" w:lineRule="auto"/>
        <w:outlineLvl w:val="0"/>
        <w:rPr>
          <w:rFonts w:ascii="黑体" w:hAnsi="黑体" w:eastAsia="黑体"/>
          <w:snapToGrid w:val="0"/>
          <w:color w:val="auto"/>
          <w:sz w:val="32"/>
          <w:szCs w:val="32"/>
          <w:highlight w:val="none"/>
        </w:rPr>
      </w:pPr>
      <w:bookmarkStart w:id="36" w:name="_Toc65"/>
      <w:bookmarkStart w:id="37" w:name="_Toc22416"/>
      <w:r>
        <w:rPr>
          <w:rFonts w:hint="eastAsia" w:ascii="黑体" w:hAnsi="黑体" w:eastAsia="黑体"/>
          <w:snapToGrid w:val="0"/>
          <w:color w:val="auto"/>
          <w:sz w:val="32"/>
          <w:szCs w:val="32"/>
          <w:highlight w:val="none"/>
        </w:rPr>
        <w:t>附表</w:t>
      </w:r>
      <w:bookmarkEnd w:id="36"/>
      <w:bookmarkEnd w:id="37"/>
    </w:p>
    <w:p w14:paraId="59EC9ED9">
      <w:pPr>
        <w:pStyle w:val="25"/>
        <w:adjustRightInd w:val="0"/>
        <w:snapToGrid w:val="0"/>
        <w:spacing w:before="0" w:beforeAutospacing="0" w:after="0" w:afterAutospacing="0" w:line="552" w:lineRule="auto"/>
        <w:jc w:val="center"/>
        <w:outlineLvl w:val="0"/>
        <w:rPr>
          <w:rFonts w:ascii="方正小标宋_GBK" w:hAnsi="黑体" w:eastAsia="方正小标宋_GBK"/>
          <w:snapToGrid w:val="0"/>
          <w:color w:val="auto"/>
          <w:sz w:val="38"/>
          <w:szCs w:val="38"/>
          <w:highlight w:val="none"/>
        </w:rPr>
      </w:pPr>
      <w:bookmarkStart w:id="38" w:name="_Toc26085"/>
      <w:bookmarkStart w:id="39" w:name="_Toc24254"/>
      <w:r>
        <w:rPr>
          <w:rFonts w:hint="eastAsia" w:ascii="方正小标宋_GBK" w:hAnsi="黑体" w:eastAsia="方正小标宋_GBK"/>
          <w:snapToGrid w:val="0"/>
          <w:color w:val="auto"/>
          <w:sz w:val="38"/>
          <w:szCs w:val="38"/>
          <w:highlight w:val="none"/>
        </w:rPr>
        <w:t>建设项目污染物排放量汇总表</w:t>
      </w:r>
      <w:bookmarkEnd w:id="38"/>
      <w:bookmarkEnd w:id="39"/>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55"/>
        <w:gridCol w:w="660"/>
        <w:gridCol w:w="1190"/>
        <w:gridCol w:w="1701"/>
        <w:gridCol w:w="1276"/>
        <w:gridCol w:w="1701"/>
        <w:gridCol w:w="1559"/>
        <w:gridCol w:w="1761"/>
        <w:gridCol w:w="1816"/>
        <w:gridCol w:w="969"/>
      </w:tblGrid>
      <w:tr w14:paraId="73CF8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tcBorders>
              <w:tl2br w:val="single" w:color="auto" w:sz="4" w:space="0"/>
            </w:tcBorders>
            <w:tcMar>
              <w:left w:w="28" w:type="dxa"/>
              <w:right w:w="28" w:type="dxa"/>
            </w:tcMar>
            <w:vAlign w:val="center"/>
          </w:tcPr>
          <w:p w14:paraId="1B098217">
            <w:pPr>
              <w:pStyle w:val="57"/>
              <w:spacing w:beforeLines="0" w:afterLines="0" w:line="240" w:lineRule="auto"/>
              <w:jc w:val="right"/>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14:paraId="0F28A48F">
            <w:pPr>
              <w:pStyle w:val="57"/>
              <w:spacing w:beforeLines="0" w:afterLines="0" w:line="240" w:lineRule="auto"/>
              <w:jc w:val="left"/>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1850" w:type="dxa"/>
            <w:gridSpan w:val="2"/>
            <w:tcMar>
              <w:left w:w="28" w:type="dxa"/>
              <w:right w:w="28" w:type="dxa"/>
            </w:tcMar>
            <w:vAlign w:val="center"/>
          </w:tcPr>
          <w:p w14:paraId="6CDFABB0">
            <w:pPr>
              <w:pStyle w:val="57"/>
              <w:spacing w:beforeLines="0" w:afterLines="0" w:line="240" w:lineRule="auto"/>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701" w:type="dxa"/>
            <w:tcMar>
              <w:left w:w="28" w:type="dxa"/>
              <w:right w:w="28" w:type="dxa"/>
            </w:tcMar>
            <w:vAlign w:val="center"/>
          </w:tcPr>
          <w:p w14:paraId="2A51F04B">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44F0504D">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1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①</w:t>
            </w:r>
            <w:r>
              <w:rPr>
                <w:rFonts w:ascii="黑体" w:hAnsi="黑体" w:eastAsia="黑体"/>
                <w:snapToGrid w:val="0"/>
                <w:color w:val="auto"/>
                <w:spacing w:val="-6"/>
                <w:kern w:val="21"/>
                <w:szCs w:val="21"/>
                <w:highlight w:val="none"/>
              </w:rPr>
              <w:fldChar w:fldCharType="end"/>
            </w:r>
            <w:r>
              <w:rPr>
                <w:rFonts w:hint="eastAsia" w:ascii="黑体" w:hAnsi="黑体" w:eastAsia="黑体"/>
                <w:snapToGrid w:val="0"/>
                <w:color w:val="auto"/>
                <w:spacing w:val="-6"/>
                <w:kern w:val="21"/>
                <w:szCs w:val="21"/>
                <w:highlight w:val="none"/>
              </w:rPr>
              <w:t>（t/a）</w:t>
            </w:r>
          </w:p>
        </w:tc>
        <w:tc>
          <w:tcPr>
            <w:tcW w:w="1276" w:type="dxa"/>
            <w:tcMar>
              <w:left w:w="28" w:type="dxa"/>
              <w:right w:w="28" w:type="dxa"/>
            </w:tcMar>
            <w:vAlign w:val="center"/>
          </w:tcPr>
          <w:p w14:paraId="4C0D57FF">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55C75E62">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许可排放量</w:t>
            </w:r>
          </w:p>
          <w:p w14:paraId="7AE1279E">
            <w:pPr>
              <w:pStyle w:val="57"/>
              <w:spacing w:beforeLines="0" w:afterLines="0"/>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2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snapToGrid w:val="0"/>
                <w:color w:val="auto"/>
                <w:spacing w:val="-6"/>
                <w:kern w:val="21"/>
                <w:szCs w:val="21"/>
                <w:highlight w:val="none"/>
              </w:rPr>
              <w:fldChar w:fldCharType="end"/>
            </w:r>
            <w:r>
              <w:rPr>
                <w:rFonts w:hint="eastAsia" w:ascii="黑体" w:hAnsi="黑体" w:eastAsia="黑体"/>
                <w:snapToGrid w:val="0"/>
                <w:color w:val="auto"/>
                <w:spacing w:val="-6"/>
                <w:kern w:val="21"/>
                <w:szCs w:val="21"/>
                <w:highlight w:val="none"/>
              </w:rPr>
              <w:t>（t/a）</w:t>
            </w:r>
          </w:p>
        </w:tc>
        <w:tc>
          <w:tcPr>
            <w:tcW w:w="1701" w:type="dxa"/>
            <w:tcMar>
              <w:left w:w="28" w:type="dxa"/>
              <w:right w:w="28" w:type="dxa"/>
            </w:tcMar>
            <w:vAlign w:val="center"/>
          </w:tcPr>
          <w:p w14:paraId="1FAB8124">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在建工程</w:t>
            </w:r>
          </w:p>
          <w:p w14:paraId="4E160C88">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3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③</w:t>
            </w:r>
            <w:r>
              <w:rPr>
                <w:rFonts w:ascii="黑体" w:hAnsi="黑体" w:eastAsia="黑体"/>
                <w:snapToGrid w:val="0"/>
                <w:color w:val="auto"/>
                <w:spacing w:val="-6"/>
                <w:kern w:val="21"/>
                <w:szCs w:val="21"/>
                <w:highlight w:val="none"/>
              </w:rPr>
              <w:fldChar w:fldCharType="end"/>
            </w:r>
            <w:r>
              <w:rPr>
                <w:rFonts w:hint="eastAsia" w:ascii="黑体" w:hAnsi="黑体" w:eastAsia="黑体"/>
                <w:snapToGrid w:val="0"/>
                <w:color w:val="auto"/>
                <w:spacing w:val="-6"/>
                <w:kern w:val="21"/>
                <w:szCs w:val="21"/>
                <w:highlight w:val="none"/>
              </w:rPr>
              <w:t>（t/a）</w:t>
            </w:r>
          </w:p>
        </w:tc>
        <w:tc>
          <w:tcPr>
            <w:tcW w:w="1559" w:type="dxa"/>
            <w:tcMar>
              <w:left w:w="28" w:type="dxa"/>
              <w:right w:w="28" w:type="dxa"/>
            </w:tcMar>
            <w:vAlign w:val="center"/>
          </w:tcPr>
          <w:p w14:paraId="7A300AEB">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本项目</w:t>
            </w:r>
          </w:p>
          <w:p w14:paraId="58EBB2BE">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4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④</w:t>
            </w:r>
            <w:r>
              <w:rPr>
                <w:rFonts w:ascii="黑体" w:hAnsi="黑体" w:eastAsia="黑体"/>
                <w:snapToGrid w:val="0"/>
                <w:color w:val="auto"/>
                <w:spacing w:val="-6"/>
                <w:kern w:val="21"/>
                <w:szCs w:val="21"/>
                <w:highlight w:val="none"/>
              </w:rPr>
              <w:fldChar w:fldCharType="end"/>
            </w:r>
            <w:r>
              <w:rPr>
                <w:rFonts w:hint="eastAsia" w:ascii="黑体" w:hAnsi="黑体" w:eastAsia="黑体"/>
                <w:snapToGrid w:val="0"/>
                <w:color w:val="auto"/>
                <w:spacing w:val="-6"/>
                <w:kern w:val="21"/>
                <w:szCs w:val="21"/>
                <w:highlight w:val="none"/>
              </w:rPr>
              <w:t>（t/a）</w:t>
            </w:r>
          </w:p>
        </w:tc>
        <w:tc>
          <w:tcPr>
            <w:tcW w:w="1761" w:type="dxa"/>
            <w:tcMar>
              <w:left w:w="28" w:type="dxa"/>
              <w:right w:w="28" w:type="dxa"/>
            </w:tcMar>
            <w:vAlign w:val="center"/>
          </w:tcPr>
          <w:p w14:paraId="70365055">
            <w:pPr>
              <w:pStyle w:val="57"/>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以新带老削减量</w:t>
            </w:r>
          </w:p>
          <w:p w14:paraId="6015C6A6">
            <w:pPr>
              <w:pStyle w:val="57"/>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（新建项目不填）</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5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⑤</w:t>
            </w:r>
            <w:r>
              <w:rPr>
                <w:rFonts w:ascii="黑体" w:hAnsi="黑体" w:eastAsia="黑体"/>
                <w:snapToGrid w:val="0"/>
                <w:color w:val="auto"/>
                <w:spacing w:val="-16"/>
                <w:kern w:val="21"/>
                <w:szCs w:val="21"/>
                <w:highlight w:val="none"/>
              </w:rPr>
              <w:fldChar w:fldCharType="end"/>
            </w:r>
            <w:r>
              <w:rPr>
                <w:rFonts w:hint="eastAsia" w:ascii="黑体" w:hAnsi="黑体" w:eastAsia="黑体"/>
                <w:snapToGrid w:val="0"/>
                <w:color w:val="auto"/>
                <w:spacing w:val="-6"/>
                <w:kern w:val="21"/>
                <w:szCs w:val="21"/>
                <w:highlight w:val="none"/>
              </w:rPr>
              <w:t>（t/a）</w:t>
            </w:r>
          </w:p>
        </w:tc>
        <w:tc>
          <w:tcPr>
            <w:tcW w:w="1816" w:type="dxa"/>
            <w:tcMar>
              <w:left w:w="28" w:type="dxa"/>
              <w:right w:w="28" w:type="dxa"/>
            </w:tcMar>
            <w:vAlign w:val="center"/>
          </w:tcPr>
          <w:p w14:paraId="0F383F4E">
            <w:pPr>
              <w:pStyle w:val="57"/>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本项目建成后</w:t>
            </w:r>
          </w:p>
          <w:p w14:paraId="01E9CBE2">
            <w:pPr>
              <w:pStyle w:val="57"/>
              <w:spacing w:beforeLines="0" w:afterLines="0" w:line="240" w:lineRule="auto"/>
              <w:rPr>
                <w:rFonts w:ascii="黑体" w:hAnsi="黑体" w:eastAsia="黑体"/>
                <w:snapToGrid w:val="0"/>
                <w:color w:val="auto"/>
                <w:spacing w:val="-16"/>
                <w:kern w:val="21"/>
                <w:szCs w:val="21"/>
                <w:highlight w:val="none"/>
              </w:rPr>
            </w:pPr>
            <w:r>
              <w:rPr>
                <w:rFonts w:hint="eastAsia" w:ascii="黑体" w:hAnsi="黑体" w:eastAsia="黑体"/>
                <w:snapToGrid w:val="0"/>
                <w:color w:val="auto"/>
                <w:spacing w:val="-16"/>
                <w:kern w:val="21"/>
                <w:szCs w:val="21"/>
                <w:highlight w:val="none"/>
              </w:rPr>
              <w:t>全厂</w:t>
            </w:r>
            <w:r>
              <w:rPr>
                <w:rFonts w:ascii="黑体" w:hAnsi="黑体" w:eastAsia="黑体"/>
                <w:snapToGrid w:val="0"/>
                <w:color w:val="auto"/>
                <w:spacing w:val="-16"/>
                <w:kern w:val="21"/>
                <w:szCs w:val="21"/>
                <w:highlight w:val="none"/>
              </w:rPr>
              <w:t>排放量（固</w:t>
            </w:r>
            <w:r>
              <w:rPr>
                <w:rFonts w:hint="eastAsia" w:ascii="黑体" w:hAnsi="黑体" w:eastAsia="黑体"/>
                <w:snapToGrid w:val="0"/>
                <w:color w:val="auto"/>
                <w:spacing w:val="-16"/>
                <w:kern w:val="21"/>
                <w:szCs w:val="21"/>
                <w:highlight w:val="none"/>
              </w:rPr>
              <w:t>体</w:t>
            </w:r>
            <w:r>
              <w:rPr>
                <w:rFonts w:ascii="黑体" w:hAnsi="黑体" w:eastAsia="黑体"/>
                <w:snapToGrid w:val="0"/>
                <w:color w:val="auto"/>
                <w:spacing w:val="-16"/>
                <w:kern w:val="21"/>
                <w:szCs w:val="21"/>
                <w:highlight w:val="none"/>
              </w:rPr>
              <w:t>废</w:t>
            </w:r>
            <w:r>
              <w:rPr>
                <w:rFonts w:hint="eastAsia" w:ascii="黑体" w:hAnsi="黑体" w:eastAsia="黑体"/>
                <w:snapToGrid w:val="0"/>
                <w:color w:val="auto"/>
                <w:spacing w:val="-16"/>
                <w:kern w:val="21"/>
                <w:szCs w:val="21"/>
                <w:highlight w:val="none"/>
              </w:rPr>
              <w:t>物</w:t>
            </w:r>
            <w:r>
              <w:rPr>
                <w:rFonts w:ascii="黑体" w:hAnsi="黑体" w:eastAsia="黑体"/>
                <w:snapToGrid w:val="0"/>
                <w:color w:val="auto"/>
                <w:spacing w:val="-16"/>
                <w:kern w:val="21"/>
                <w:szCs w:val="21"/>
                <w:highlight w:val="none"/>
              </w:rPr>
              <w:t>产生量）</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6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⑥</w:t>
            </w:r>
            <w:r>
              <w:rPr>
                <w:rFonts w:ascii="黑体" w:hAnsi="黑体" w:eastAsia="黑体"/>
                <w:snapToGrid w:val="0"/>
                <w:color w:val="auto"/>
                <w:spacing w:val="-16"/>
                <w:kern w:val="21"/>
                <w:szCs w:val="21"/>
                <w:highlight w:val="none"/>
              </w:rPr>
              <w:fldChar w:fldCharType="end"/>
            </w:r>
            <w:r>
              <w:rPr>
                <w:rFonts w:hint="eastAsia" w:ascii="黑体" w:hAnsi="黑体" w:eastAsia="黑体"/>
                <w:snapToGrid w:val="0"/>
                <w:color w:val="auto"/>
                <w:spacing w:val="-6"/>
                <w:kern w:val="21"/>
                <w:szCs w:val="21"/>
                <w:highlight w:val="none"/>
              </w:rPr>
              <w:t>（t/a）</w:t>
            </w:r>
          </w:p>
        </w:tc>
        <w:tc>
          <w:tcPr>
            <w:tcW w:w="969" w:type="dxa"/>
            <w:tcMar>
              <w:left w:w="28" w:type="dxa"/>
              <w:right w:w="28" w:type="dxa"/>
            </w:tcMar>
            <w:vAlign w:val="center"/>
          </w:tcPr>
          <w:p w14:paraId="6CE7E266">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变化量</w:t>
            </w:r>
          </w:p>
          <w:p w14:paraId="3FE9BFA4">
            <w:pPr>
              <w:pStyle w:val="57"/>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7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⑦</w:t>
            </w:r>
            <w:r>
              <w:rPr>
                <w:rFonts w:ascii="黑体" w:hAnsi="黑体" w:eastAsia="黑体"/>
                <w:snapToGrid w:val="0"/>
                <w:color w:val="auto"/>
                <w:spacing w:val="-6"/>
                <w:kern w:val="21"/>
                <w:szCs w:val="21"/>
                <w:highlight w:val="none"/>
              </w:rPr>
              <w:fldChar w:fldCharType="end"/>
            </w:r>
            <w:r>
              <w:rPr>
                <w:rFonts w:hint="eastAsia" w:ascii="黑体" w:hAnsi="黑体" w:eastAsia="黑体"/>
                <w:snapToGrid w:val="0"/>
                <w:color w:val="auto"/>
                <w:spacing w:val="-6"/>
                <w:kern w:val="21"/>
                <w:szCs w:val="21"/>
                <w:highlight w:val="none"/>
              </w:rPr>
              <w:t>（t/a）</w:t>
            </w:r>
          </w:p>
        </w:tc>
      </w:tr>
      <w:tr w14:paraId="0C788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restart"/>
            <w:vAlign w:val="center"/>
          </w:tcPr>
          <w:p w14:paraId="036075DA">
            <w:pPr>
              <w:pStyle w:val="57"/>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废气</w:t>
            </w:r>
          </w:p>
        </w:tc>
        <w:tc>
          <w:tcPr>
            <w:tcW w:w="660" w:type="dxa"/>
            <w:vMerge w:val="restart"/>
            <w:vAlign w:val="center"/>
          </w:tcPr>
          <w:p w14:paraId="76DBB05D">
            <w:pPr>
              <w:pStyle w:val="57"/>
              <w:spacing w:beforeLines="0" w:afterLines="0" w:line="240" w:lineRule="auto"/>
              <w:rPr>
                <w:rFonts w:ascii="Times New Roman"/>
                <w:b w:val="0"/>
                <w:bCs/>
                <w:color w:val="auto"/>
                <w:kern w:val="2"/>
                <w:szCs w:val="21"/>
                <w:highlight w:val="none"/>
              </w:rPr>
            </w:pPr>
            <w:r>
              <w:rPr>
                <w:rFonts w:hint="eastAsia" w:ascii="Times New Roman"/>
                <w:b w:val="0"/>
                <w:bCs/>
                <w:color w:val="auto"/>
                <w:kern w:val="2"/>
                <w:szCs w:val="21"/>
                <w:highlight w:val="none"/>
              </w:rPr>
              <w:t>有组织</w:t>
            </w:r>
          </w:p>
        </w:tc>
        <w:tc>
          <w:tcPr>
            <w:tcW w:w="1190" w:type="dxa"/>
            <w:vAlign w:val="center"/>
          </w:tcPr>
          <w:p w14:paraId="509B909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颗粒物</w:t>
            </w:r>
          </w:p>
        </w:tc>
        <w:tc>
          <w:tcPr>
            <w:tcW w:w="1701" w:type="dxa"/>
            <w:vAlign w:val="center"/>
          </w:tcPr>
          <w:p w14:paraId="69E843CE">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1.0761</w:t>
            </w:r>
          </w:p>
        </w:tc>
        <w:tc>
          <w:tcPr>
            <w:tcW w:w="1276" w:type="dxa"/>
            <w:vAlign w:val="center"/>
          </w:tcPr>
          <w:p w14:paraId="5A64BD18">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1.0761</w:t>
            </w:r>
          </w:p>
        </w:tc>
        <w:tc>
          <w:tcPr>
            <w:tcW w:w="1701" w:type="dxa"/>
            <w:vAlign w:val="center"/>
          </w:tcPr>
          <w:p w14:paraId="7C2383EB">
            <w:pPr>
              <w:jc w:val="center"/>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59" w:type="dxa"/>
            <w:vAlign w:val="center"/>
          </w:tcPr>
          <w:p w14:paraId="2DC20C8D">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0.0286</w:t>
            </w:r>
          </w:p>
        </w:tc>
        <w:tc>
          <w:tcPr>
            <w:tcW w:w="1761" w:type="dxa"/>
            <w:vAlign w:val="center"/>
          </w:tcPr>
          <w:p w14:paraId="12A50981">
            <w:pPr>
              <w:jc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1816" w:type="dxa"/>
            <w:vAlign w:val="center"/>
          </w:tcPr>
          <w:p w14:paraId="370AF318">
            <w:pPr>
              <w:keepNext w:val="0"/>
              <w:keepLines w:val="0"/>
              <w:widowControl/>
              <w:suppressLineNumbers w:val="0"/>
              <w:jc w:val="center"/>
              <w:textAlignment w:val="center"/>
              <w:rPr>
                <w:rFonts w:hint="default" w:eastAsia="等线"/>
                <w:color w:val="auto"/>
                <w:szCs w:val="22"/>
                <w:highlight w:val="none"/>
                <w:lang w:val="en-US" w:eastAsia="zh-CN"/>
              </w:rPr>
            </w:pPr>
            <w:r>
              <w:rPr>
                <w:rFonts w:hint="eastAsia" w:cs="Times New Roman"/>
                <w:i w:val="0"/>
                <w:iCs w:val="0"/>
                <w:color w:val="auto"/>
                <w:kern w:val="0"/>
                <w:sz w:val="21"/>
                <w:szCs w:val="21"/>
                <w:highlight w:val="none"/>
                <w:u w:val="none"/>
                <w:lang w:val="en-US" w:eastAsia="zh-CN" w:bidi="ar"/>
              </w:rPr>
              <w:t>1.1047</w:t>
            </w:r>
          </w:p>
        </w:tc>
        <w:tc>
          <w:tcPr>
            <w:tcW w:w="969" w:type="dxa"/>
            <w:vAlign w:val="center"/>
          </w:tcPr>
          <w:p w14:paraId="0635544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eastAsia" w:cs="Times New Roman"/>
                <w:color w:val="auto"/>
                <w:szCs w:val="21"/>
                <w:highlight w:val="none"/>
                <w:lang w:val="en-US" w:eastAsia="zh-CN"/>
              </w:rPr>
              <w:t>0.0286</w:t>
            </w:r>
          </w:p>
        </w:tc>
      </w:tr>
      <w:tr w14:paraId="5D5B3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3E75E5B8">
            <w:pPr>
              <w:pStyle w:val="57"/>
              <w:spacing w:beforeLines="0" w:afterLines="0" w:line="240" w:lineRule="auto"/>
              <w:rPr>
                <w:rFonts w:hAnsi="宋体" w:cs="宋体"/>
                <w:snapToGrid w:val="0"/>
                <w:color w:val="auto"/>
                <w:kern w:val="21"/>
                <w:szCs w:val="21"/>
                <w:highlight w:val="none"/>
              </w:rPr>
            </w:pPr>
          </w:p>
        </w:tc>
        <w:tc>
          <w:tcPr>
            <w:tcW w:w="660" w:type="dxa"/>
            <w:vMerge w:val="continue"/>
            <w:vAlign w:val="center"/>
          </w:tcPr>
          <w:p w14:paraId="4811AA1A">
            <w:pPr>
              <w:pStyle w:val="57"/>
              <w:spacing w:beforeLines="0" w:afterLines="0" w:line="240" w:lineRule="auto"/>
              <w:rPr>
                <w:rFonts w:ascii="Times New Roman"/>
                <w:b w:val="0"/>
                <w:bCs/>
                <w:color w:val="auto"/>
                <w:szCs w:val="21"/>
                <w:highlight w:val="none"/>
              </w:rPr>
            </w:pPr>
          </w:p>
        </w:tc>
        <w:tc>
          <w:tcPr>
            <w:tcW w:w="1190" w:type="dxa"/>
            <w:vAlign w:val="center"/>
          </w:tcPr>
          <w:p w14:paraId="706495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701" w:type="dxa"/>
            <w:vAlign w:val="center"/>
          </w:tcPr>
          <w:p w14:paraId="4A44B910">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0.216</w:t>
            </w:r>
          </w:p>
        </w:tc>
        <w:tc>
          <w:tcPr>
            <w:tcW w:w="1276" w:type="dxa"/>
            <w:vAlign w:val="center"/>
          </w:tcPr>
          <w:p w14:paraId="0C4D0180">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0.216</w:t>
            </w:r>
          </w:p>
        </w:tc>
        <w:tc>
          <w:tcPr>
            <w:tcW w:w="1701" w:type="dxa"/>
            <w:vAlign w:val="center"/>
          </w:tcPr>
          <w:p w14:paraId="697E0A0E">
            <w:pPr>
              <w:jc w:val="center"/>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59" w:type="dxa"/>
            <w:vAlign w:val="center"/>
          </w:tcPr>
          <w:p w14:paraId="4859725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0.004</w:t>
            </w:r>
          </w:p>
        </w:tc>
        <w:tc>
          <w:tcPr>
            <w:tcW w:w="1761" w:type="dxa"/>
            <w:vAlign w:val="center"/>
          </w:tcPr>
          <w:p w14:paraId="4CAAB475">
            <w:pPr>
              <w:jc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1816" w:type="dxa"/>
            <w:vAlign w:val="center"/>
          </w:tcPr>
          <w:p w14:paraId="3B79F5DD">
            <w:pPr>
              <w:keepNext w:val="0"/>
              <w:keepLines w:val="0"/>
              <w:widowControl/>
              <w:suppressLineNumbers w:val="0"/>
              <w:jc w:val="center"/>
              <w:textAlignment w:val="center"/>
              <w:rPr>
                <w:rFonts w:hint="default" w:eastAsia="宋体"/>
                <w:color w:val="auto"/>
                <w:szCs w:val="22"/>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c>
          <w:tcPr>
            <w:tcW w:w="969" w:type="dxa"/>
            <w:vAlign w:val="center"/>
          </w:tcPr>
          <w:p w14:paraId="23F1A2F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0.004</w:t>
            </w:r>
          </w:p>
        </w:tc>
      </w:tr>
      <w:tr w14:paraId="1E977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265BAB28">
            <w:pPr>
              <w:pStyle w:val="57"/>
              <w:spacing w:beforeLines="0" w:afterLines="0" w:line="240" w:lineRule="auto"/>
              <w:rPr>
                <w:rFonts w:hAnsi="宋体" w:cs="宋体"/>
                <w:snapToGrid w:val="0"/>
                <w:color w:val="auto"/>
                <w:kern w:val="21"/>
                <w:szCs w:val="21"/>
                <w:highlight w:val="none"/>
              </w:rPr>
            </w:pPr>
          </w:p>
        </w:tc>
        <w:tc>
          <w:tcPr>
            <w:tcW w:w="660" w:type="dxa"/>
            <w:vMerge w:val="continue"/>
            <w:vAlign w:val="center"/>
          </w:tcPr>
          <w:p w14:paraId="20FD3CD1">
            <w:pPr>
              <w:pStyle w:val="57"/>
              <w:spacing w:beforeLines="0" w:afterLines="0" w:line="240" w:lineRule="auto"/>
              <w:rPr>
                <w:rFonts w:ascii="Times New Roman"/>
                <w:b w:val="0"/>
                <w:bCs/>
                <w:color w:val="auto"/>
                <w:szCs w:val="21"/>
                <w:highlight w:val="none"/>
              </w:rPr>
            </w:pPr>
          </w:p>
        </w:tc>
        <w:tc>
          <w:tcPr>
            <w:tcW w:w="1190" w:type="dxa"/>
            <w:vAlign w:val="center"/>
          </w:tcPr>
          <w:p w14:paraId="38466ED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1701" w:type="dxa"/>
            <w:vAlign w:val="center"/>
          </w:tcPr>
          <w:p w14:paraId="7B7EFF28">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0.6577</w:t>
            </w:r>
          </w:p>
        </w:tc>
        <w:tc>
          <w:tcPr>
            <w:tcW w:w="1276" w:type="dxa"/>
            <w:vAlign w:val="center"/>
          </w:tcPr>
          <w:p w14:paraId="19C56400">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0.6577</w:t>
            </w:r>
          </w:p>
        </w:tc>
        <w:tc>
          <w:tcPr>
            <w:tcW w:w="1701" w:type="dxa"/>
            <w:vAlign w:val="center"/>
          </w:tcPr>
          <w:p w14:paraId="44526F79">
            <w:pPr>
              <w:jc w:val="center"/>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59" w:type="dxa"/>
            <w:vAlign w:val="center"/>
          </w:tcPr>
          <w:p w14:paraId="2F6B9C1A">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0.0935</w:t>
            </w:r>
          </w:p>
        </w:tc>
        <w:tc>
          <w:tcPr>
            <w:tcW w:w="1761" w:type="dxa"/>
            <w:vAlign w:val="center"/>
          </w:tcPr>
          <w:p w14:paraId="52A6E33F">
            <w:pPr>
              <w:jc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w:t>
            </w:r>
          </w:p>
        </w:tc>
        <w:tc>
          <w:tcPr>
            <w:tcW w:w="1816" w:type="dxa"/>
            <w:vAlign w:val="center"/>
          </w:tcPr>
          <w:p w14:paraId="1AEF5FEC">
            <w:pPr>
              <w:keepNext w:val="0"/>
              <w:keepLines w:val="0"/>
              <w:widowControl/>
              <w:suppressLineNumbers w:val="0"/>
              <w:jc w:val="center"/>
              <w:textAlignment w:val="center"/>
              <w:rPr>
                <w:rFonts w:hint="eastAsia"/>
                <w:color w:val="auto"/>
                <w:szCs w:val="22"/>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0.7512</w:t>
            </w:r>
          </w:p>
        </w:tc>
        <w:tc>
          <w:tcPr>
            <w:tcW w:w="969" w:type="dxa"/>
            <w:vAlign w:val="center"/>
          </w:tcPr>
          <w:p w14:paraId="004F4347">
            <w:pPr>
              <w:keepNext w:val="0"/>
              <w:keepLines w:val="0"/>
              <w:widowControl/>
              <w:suppressLineNumbers w:val="0"/>
              <w:jc w:val="center"/>
              <w:textAlignment w:val="center"/>
              <w:rPr>
                <w:rFonts w:hint="eastAsia" w:cs="Times New Roman"/>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0.0935</w:t>
            </w:r>
          </w:p>
        </w:tc>
      </w:tr>
      <w:tr w14:paraId="1AAB7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5C51CE80">
            <w:pPr>
              <w:pStyle w:val="57"/>
              <w:spacing w:beforeLines="0" w:afterLines="0" w:line="240" w:lineRule="auto"/>
              <w:rPr>
                <w:rFonts w:hAnsi="宋体" w:cs="宋体"/>
                <w:snapToGrid w:val="0"/>
                <w:color w:val="auto"/>
                <w:kern w:val="21"/>
                <w:szCs w:val="21"/>
                <w:highlight w:val="none"/>
              </w:rPr>
            </w:pPr>
          </w:p>
        </w:tc>
        <w:tc>
          <w:tcPr>
            <w:tcW w:w="660" w:type="dxa"/>
            <w:vMerge w:val="continue"/>
            <w:vAlign w:val="center"/>
          </w:tcPr>
          <w:p w14:paraId="423F6792">
            <w:pPr>
              <w:pStyle w:val="57"/>
              <w:spacing w:beforeLines="0" w:afterLines="0" w:line="240" w:lineRule="auto"/>
              <w:rPr>
                <w:rFonts w:ascii="Times New Roman"/>
                <w:b w:val="0"/>
                <w:bCs/>
                <w:color w:val="auto"/>
                <w:szCs w:val="21"/>
                <w:highlight w:val="none"/>
              </w:rPr>
            </w:pPr>
          </w:p>
        </w:tc>
        <w:tc>
          <w:tcPr>
            <w:tcW w:w="1190" w:type="dxa"/>
            <w:vAlign w:val="center"/>
          </w:tcPr>
          <w:p w14:paraId="4B88F57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Style w:val="129"/>
                <w:color w:val="auto"/>
                <w:highlight w:val="none"/>
                <w:lang w:val="en-US" w:eastAsia="zh-CN" w:bidi="ar"/>
              </w:rPr>
              <w:t>氯化氢</w:t>
            </w:r>
          </w:p>
        </w:tc>
        <w:tc>
          <w:tcPr>
            <w:tcW w:w="1701" w:type="dxa"/>
            <w:vAlign w:val="center"/>
          </w:tcPr>
          <w:p w14:paraId="52F96BAB">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0.53</w:t>
            </w:r>
          </w:p>
        </w:tc>
        <w:tc>
          <w:tcPr>
            <w:tcW w:w="1276" w:type="dxa"/>
            <w:vAlign w:val="center"/>
          </w:tcPr>
          <w:p w14:paraId="372F09C0">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0.53</w:t>
            </w:r>
          </w:p>
        </w:tc>
        <w:tc>
          <w:tcPr>
            <w:tcW w:w="1701" w:type="dxa"/>
            <w:vAlign w:val="center"/>
          </w:tcPr>
          <w:p w14:paraId="66F7F0B4">
            <w:pPr>
              <w:jc w:val="center"/>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59" w:type="dxa"/>
            <w:vAlign w:val="center"/>
          </w:tcPr>
          <w:p w14:paraId="1BE00041">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1761" w:type="dxa"/>
            <w:vAlign w:val="center"/>
          </w:tcPr>
          <w:p w14:paraId="5AE97275">
            <w:pPr>
              <w:jc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w:t>
            </w:r>
          </w:p>
        </w:tc>
        <w:tc>
          <w:tcPr>
            <w:tcW w:w="1816" w:type="dxa"/>
            <w:vAlign w:val="center"/>
          </w:tcPr>
          <w:p w14:paraId="285F991B">
            <w:pPr>
              <w:keepNext w:val="0"/>
              <w:keepLines w:val="0"/>
              <w:widowControl/>
              <w:suppressLineNumbers w:val="0"/>
              <w:jc w:val="center"/>
              <w:textAlignment w:val="center"/>
              <w:rPr>
                <w:rFonts w:hint="eastAsia"/>
                <w:color w:val="auto"/>
                <w:szCs w:val="22"/>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0.53</w:t>
            </w:r>
          </w:p>
        </w:tc>
        <w:tc>
          <w:tcPr>
            <w:tcW w:w="969" w:type="dxa"/>
            <w:vAlign w:val="center"/>
          </w:tcPr>
          <w:p w14:paraId="5DF5A4D4">
            <w:pPr>
              <w:keepNext w:val="0"/>
              <w:keepLines w:val="0"/>
              <w:widowControl/>
              <w:suppressLineNumbers w:val="0"/>
              <w:jc w:val="center"/>
              <w:textAlignment w:val="center"/>
              <w:rPr>
                <w:rFonts w:hint="eastAsia" w:cs="Times New Roman"/>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37E7E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65D39C75">
            <w:pPr>
              <w:pStyle w:val="57"/>
              <w:spacing w:beforeLines="0" w:afterLines="0" w:line="240" w:lineRule="auto"/>
              <w:rPr>
                <w:rFonts w:hAnsi="宋体" w:cs="宋体"/>
                <w:snapToGrid w:val="0"/>
                <w:color w:val="auto"/>
                <w:kern w:val="21"/>
                <w:szCs w:val="21"/>
                <w:highlight w:val="none"/>
              </w:rPr>
            </w:pPr>
          </w:p>
        </w:tc>
        <w:tc>
          <w:tcPr>
            <w:tcW w:w="660" w:type="dxa"/>
            <w:vMerge w:val="continue"/>
            <w:vAlign w:val="center"/>
          </w:tcPr>
          <w:p w14:paraId="49804CE5">
            <w:pPr>
              <w:pStyle w:val="57"/>
              <w:spacing w:beforeLines="0" w:afterLines="0" w:line="240" w:lineRule="auto"/>
              <w:rPr>
                <w:rFonts w:ascii="Times New Roman"/>
                <w:b w:val="0"/>
                <w:bCs/>
                <w:color w:val="auto"/>
                <w:szCs w:val="21"/>
                <w:highlight w:val="none"/>
              </w:rPr>
            </w:pPr>
          </w:p>
        </w:tc>
        <w:tc>
          <w:tcPr>
            <w:tcW w:w="1190" w:type="dxa"/>
            <w:vAlign w:val="center"/>
          </w:tcPr>
          <w:p w14:paraId="770E7F0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VOCs</w:t>
            </w:r>
          </w:p>
        </w:tc>
        <w:tc>
          <w:tcPr>
            <w:tcW w:w="1701" w:type="dxa"/>
            <w:vAlign w:val="center"/>
          </w:tcPr>
          <w:p w14:paraId="431642ED">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0.04018</w:t>
            </w:r>
          </w:p>
        </w:tc>
        <w:tc>
          <w:tcPr>
            <w:tcW w:w="1276" w:type="dxa"/>
            <w:vAlign w:val="center"/>
          </w:tcPr>
          <w:p w14:paraId="054BF45F">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0.04018</w:t>
            </w:r>
          </w:p>
        </w:tc>
        <w:tc>
          <w:tcPr>
            <w:tcW w:w="1701" w:type="dxa"/>
            <w:vAlign w:val="center"/>
          </w:tcPr>
          <w:p w14:paraId="53B07CCB">
            <w:pPr>
              <w:jc w:val="center"/>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59" w:type="dxa"/>
            <w:vAlign w:val="center"/>
          </w:tcPr>
          <w:p w14:paraId="5C34B4E8">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0.0041</w:t>
            </w:r>
          </w:p>
        </w:tc>
        <w:tc>
          <w:tcPr>
            <w:tcW w:w="1761" w:type="dxa"/>
            <w:vAlign w:val="center"/>
          </w:tcPr>
          <w:p w14:paraId="07CE6875">
            <w:pPr>
              <w:jc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w:t>
            </w:r>
          </w:p>
        </w:tc>
        <w:tc>
          <w:tcPr>
            <w:tcW w:w="1816" w:type="dxa"/>
            <w:vAlign w:val="center"/>
          </w:tcPr>
          <w:p w14:paraId="38FE726B">
            <w:pPr>
              <w:keepNext w:val="0"/>
              <w:keepLines w:val="0"/>
              <w:widowControl/>
              <w:suppressLineNumbers w:val="0"/>
              <w:jc w:val="center"/>
              <w:textAlignment w:val="center"/>
              <w:rPr>
                <w:rFonts w:hint="eastAsia"/>
                <w:color w:val="auto"/>
                <w:szCs w:val="22"/>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0.04428</w:t>
            </w:r>
          </w:p>
        </w:tc>
        <w:tc>
          <w:tcPr>
            <w:tcW w:w="969" w:type="dxa"/>
            <w:vAlign w:val="center"/>
          </w:tcPr>
          <w:p w14:paraId="03E0F1C3">
            <w:pPr>
              <w:keepNext w:val="0"/>
              <w:keepLines w:val="0"/>
              <w:widowControl/>
              <w:suppressLineNumbers w:val="0"/>
              <w:jc w:val="center"/>
              <w:textAlignment w:val="center"/>
              <w:rPr>
                <w:rFonts w:hint="eastAsia" w:cs="Times New Roman"/>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0.0041</w:t>
            </w:r>
          </w:p>
        </w:tc>
      </w:tr>
      <w:tr w14:paraId="55EA3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0927656C">
            <w:pPr>
              <w:pStyle w:val="57"/>
              <w:spacing w:beforeLines="0" w:afterLines="0" w:line="240" w:lineRule="auto"/>
              <w:rPr>
                <w:rFonts w:hAnsi="宋体" w:cs="宋体"/>
                <w:snapToGrid w:val="0"/>
                <w:color w:val="auto"/>
                <w:kern w:val="21"/>
                <w:szCs w:val="21"/>
                <w:highlight w:val="none"/>
              </w:rPr>
            </w:pPr>
          </w:p>
        </w:tc>
        <w:tc>
          <w:tcPr>
            <w:tcW w:w="660" w:type="dxa"/>
            <w:vMerge w:val="restart"/>
            <w:vAlign w:val="center"/>
          </w:tcPr>
          <w:p w14:paraId="1E420D4F">
            <w:pPr>
              <w:pStyle w:val="57"/>
              <w:spacing w:beforeLines="0" w:afterLines="0" w:line="240" w:lineRule="auto"/>
              <w:rPr>
                <w:rFonts w:ascii="Times New Roman"/>
                <w:b w:val="0"/>
                <w:bCs/>
                <w:color w:val="auto"/>
                <w:szCs w:val="21"/>
                <w:highlight w:val="none"/>
              </w:rPr>
            </w:pPr>
            <w:r>
              <w:rPr>
                <w:rFonts w:hint="eastAsia" w:ascii="Times New Roman"/>
                <w:b w:val="0"/>
                <w:bCs/>
                <w:color w:val="auto"/>
                <w:szCs w:val="21"/>
                <w:highlight w:val="none"/>
              </w:rPr>
              <w:t>无组织</w:t>
            </w:r>
          </w:p>
        </w:tc>
        <w:tc>
          <w:tcPr>
            <w:tcW w:w="1190" w:type="dxa"/>
            <w:vAlign w:val="center"/>
          </w:tcPr>
          <w:p w14:paraId="4DB6B998">
            <w:pPr>
              <w:pStyle w:val="119"/>
              <w:widowControl w:val="0"/>
              <w:spacing w:line="240" w:lineRule="auto"/>
              <w:rPr>
                <w:rFonts w:hint="default" w:eastAsia="宋体"/>
                <w:color w:val="auto"/>
                <w:szCs w:val="22"/>
                <w:highlight w:val="none"/>
                <w:lang w:val="en-US" w:eastAsia="zh-CN"/>
              </w:rPr>
            </w:pPr>
            <w:r>
              <w:rPr>
                <w:rFonts w:hint="eastAsia"/>
                <w:color w:val="auto"/>
                <w:szCs w:val="22"/>
                <w:highlight w:val="none"/>
                <w:lang w:val="en-US" w:eastAsia="zh-CN"/>
              </w:rPr>
              <w:t>VOCs</w:t>
            </w:r>
          </w:p>
        </w:tc>
        <w:tc>
          <w:tcPr>
            <w:tcW w:w="1701" w:type="dxa"/>
            <w:vAlign w:val="center"/>
          </w:tcPr>
          <w:p w14:paraId="360DDC73">
            <w:pPr>
              <w:pStyle w:val="119"/>
              <w:spacing w:line="240" w:lineRule="auto"/>
              <w:rPr>
                <w:rFonts w:hint="eastAsia" w:eastAsia="宋体"/>
                <w:color w:val="auto"/>
                <w:szCs w:val="22"/>
                <w:highlight w:val="none"/>
                <w:lang w:val="en-US" w:eastAsia="zh-CN"/>
              </w:rPr>
            </w:pPr>
            <w:r>
              <w:rPr>
                <w:rFonts w:hint="eastAsia"/>
                <w:color w:val="auto"/>
                <w:szCs w:val="22"/>
                <w:highlight w:val="none"/>
                <w:lang w:val="en-US" w:eastAsia="zh-CN"/>
              </w:rPr>
              <w:t>/</w:t>
            </w:r>
          </w:p>
        </w:tc>
        <w:tc>
          <w:tcPr>
            <w:tcW w:w="1276" w:type="dxa"/>
            <w:vAlign w:val="center"/>
          </w:tcPr>
          <w:p w14:paraId="2A521957">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1" w:type="dxa"/>
            <w:vAlign w:val="center"/>
          </w:tcPr>
          <w:p w14:paraId="40A01072">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59" w:type="dxa"/>
            <w:vAlign w:val="center"/>
          </w:tcPr>
          <w:p w14:paraId="29F891C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0.0022</w:t>
            </w:r>
          </w:p>
        </w:tc>
        <w:tc>
          <w:tcPr>
            <w:tcW w:w="1761" w:type="dxa"/>
            <w:vAlign w:val="center"/>
          </w:tcPr>
          <w:p w14:paraId="07A98B19">
            <w:pPr>
              <w:pStyle w:val="119"/>
              <w:spacing w:line="240" w:lineRule="auto"/>
              <w:rPr>
                <w:rFonts w:hint="eastAsia" w:eastAsia="宋体"/>
                <w:color w:val="auto"/>
                <w:szCs w:val="22"/>
                <w:highlight w:val="none"/>
                <w:lang w:val="en-US" w:eastAsia="zh-CN"/>
              </w:rPr>
            </w:pPr>
            <w:r>
              <w:rPr>
                <w:rFonts w:hint="eastAsia"/>
                <w:color w:val="auto"/>
                <w:szCs w:val="22"/>
                <w:highlight w:val="none"/>
                <w:lang w:val="en-US" w:eastAsia="zh-CN"/>
              </w:rPr>
              <w:t>/</w:t>
            </w:r>
          </w:p>
        </w:tc>
        <w:tc>
          <w:tcPr>
            <w:tcW w:w="1816" w:type="dxa"/>
            <w:vAlign w:val="center"/>
          </w:tcPr>
          <w:p w14:paraId="30C3E327">
            <w:pPr>
              <w:keepNext w:val="0"/>
              <w:keepLines w:val="0"/>
              <w:widowControl/>
              <w:suppressLineNumbers w:val="0"/>
              <w:jc w:val="center"/>
              <w:textAlignment w:val="center"/>
              <w:rPr>
                <w:color w:val="auto"/>
                <w:kern w:val="2"/>
                <w:szCs w:val="22"/>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0.0022</w:t>
            </w:r>
          </w:p>
        </w:tc>
        <w:tc>
          <w:tcPr>
            <w:tcW w:w="969" w:type="dxa"/>
            <w:vAlign w:val="center"/>
          </w:tcPr>
          <w:p w14:paraId="72DF58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0.0022</w:t>
            </w:r>
          </w:p>
        </w:tc>
      </w:tr>
      <w:tr w14:paraId="5CE864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6C9D67E8">
            <w:pPr>
              <w:pStyle w:val="57"/>
              <w:spacing w:beforeLines="0" w:afterLines="0" w:line="240" w:lineRule="auto"/>
              <w:rPr>
                <w:rFonts w:hAnsi="宋体" w:cs="宋体"/>
                <w:snapToGrid w:val="0"/>
                <w:color w:val="auto"/>
                <w:kern w:val="21"/>
                <w:szCs w:val="21"/>
                <w:highlight w:val="none"/>
              </w:rPr>
            </w:pPr>
          </w:p>
        </w:tc>
        <w:tc>
          <w:tcPr>
            <w:tcW w:w="660" w:type="dxa"/>
            <w:vMerge w:val="continue"/>
            <w:vAlign w:val="center"/>
          </w:tcPr>
          <w:p w14:paraId="528EFBA3">
            <w:pPr>
              <w:pStyle w:val="57"/>
              <w:spacing w:beforeLines="0" w:afterLines="0" w:line="240" w:lineRule="auto"/>
              <w:rPr>
                <w:rFonts w:ascii="Times New Roman"/>
                <w:b w:val="0"/>
                <w:bCs/>
                <w:color w:val="auto"/>
                <w:szCs w:val="21"/>
                <w:highlight w:val="none"/>
              </w:rPr>
            </w:pPr>
          </w:p>
        </w:tc>
        <w:tc>
          <w:tcPr>
            <w:tcW w:w="1190" w:type="dxa"/>
            <w:vAlign w:val="center"/>
          </w:tcPr>
          <w:p w14:paraId="555A805D">
            <w:pPr>
              <w:pStyle w:val="119"/>
              <w:widowControl w:val="0"/>
              <w:spacing w:line="240" w:lineRule="auto"/>
              <w:rPr>
                <w:color w:val="auto"/>
                <w:szCs w:val="22"/>
                <w:highlight w:val="none"/>
              </w:rPr>
            </w:pPr>
            <w:r>
              <w:rPr>
                <w:rFonts w:hint="eastAsia"/>
                <w:color w:val="auto"/>
                <w:szCs w:val="22"/>
                <w:highlight w:val="none"/>
              </w:rPr>
              <w:t>颗粒物</w:t>
            </w:r>
          </w:p>
        </w:tc>
        <w:tc>
          <w:tcPr>
            <w:tcW w:w="1701" w:type="dxa"/>
            <w:vAlign w:val="center"/>
          </w:tcPr>
          <w:p w14:paraId="7DFC92D2">
            <w:pPr>
              <w:pStyle w:val="119"/>
              <w:spacing w:line="240" w:lineRule="auto"/>
              <w:rPr>
                <w:rFonts w:hint="eastAsia" w:eastAsia="宋体"/>
                <w:color w:val="auto"/>
                <w:szCs w:val="22"/>
                <w:highlight w:val="none"/>
                <w:lang w:val="en-US" w:eastAsia="zh-CN"/>
              </w:rPr>
            </w:pPr>
            <w:r>
              <w:rPr>
                <w:rFonts w:hint="eastAsia"/>
                <w:color w:val="auto"/>
                <w:szCs w:val="22"/>
                <w:highlight w:val="none"/>
                <w:lang w:val="en-US" w:eastAsia="zh-CN"/>
              </w:rPr>
              <w:t>/</w:t>
            </w:r>
          </w:p>
        </w:tc>
        <w:tc>
          <w:tcPr>
            <w:tcW w:w="1276" w:type="dxa"/>
            <w:vAlign w:val="center"/>
          </w:tcPr>
          <w:p w14:paraId="1A744592">
            <w:pPr>
              <w:jc w:val="center"/>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701" w:type="dxa"/>
            <w:vAlign w:val="center"/>
          </w:tcPr>
          <w:p w14:paraId="5069A598">
            <w:pPr>
              <w:jc w:val="center"/>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59" w:type="dxa"/>
            <w:vAlign w:val="center"/>
          </w:tcPr>
          <w:p w14:paraId="67A76B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0.162</w:t>
            </w:r>
          </w:p>
        </w:tc>
        <w:tc>
          <w:tcPr>
            <w:tcW w:w="1761" w:type="dxa"/>
            <w:vAlign w:val="center"/>
          </w:tcPr>
          <w:p w14:paraId="10C62B4F">
            <w:pPr>
              <w:pStyle w:val="119"/>
              <w:spacing w:line="240" w:lineRule="auto"/>
              <w:rPr>
                <w:rFonts w:hint="eastAsia" w:eastAsia="宋体"/>
                <w:color w:val="auto"/>
                <w:szCs w:val="22"/>
                <w:highlight w:val="none"/>
                <w:lang w:val="en-US" w:eastAsia="zh-CN"/>
              </w:rPr>
            </w:pPr>
            <w:r>
              <w:rPr>
                <w:rFonts w:hint="eastAsia"/>
                <w:color w:val="auto"/>
                <w:szCs w:val="22"/>
                <w:highlight w:val="none"/>
                <w:lang w:val="en-US" w:eastAsia="zh-CN"/>
              </w:rPr>
              <w:t>/</w:t>
            </w:r>
          </w:p>
        </w:tc>
        <w:tc>
          <w:tcPr>
            <w:tcW w:w="1816" w:type="dxa"/>
            <w:vAlign w:val="center"/>
          </w:tcPr>
          <w:p w14:paraId="5FD60A27">
            <w:pPr>
              <w:keepNext w:val="0"/>
              <w:keepLines w:val="0"/>
              <w:widowControl/>
              <w:suppressLineNumbers w:val="0"/>
              <w:jc w:val="center"/>
              <w:textAlignment w:val="center"/>
              <w:rPr>
                <w:color w:val="auto"/>
                <w:kern w:val="2"/>
                <w:szCs w:val="22"/>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0.162</w:t>
            </w:r>
          </w:p>
        </w:tc>
        <w:tc>
          <w:tcPr>
            <w:tcW w:w="969" w:type="dxa"/>
            <w:vAlign w:val="center"/>
          </w:tcPr>
          <w:p w14:paraId="309BD74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0.162</w:t>
            </w:r>
          </w:p>
        </w:tc>
      </w:tr>
      <w:tr w14:paraId="1CED9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restart"/>
            <w:vAlign w:val="center"/>
          </w:tcPr>
          <w:p w14:paraId="0603FE68">
            <w:pPr>
              <w:pStyle w:val="57"/>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废水</w:t>
            </w:r>
          </w:p>
        </w:tc>
        <w:tc>
          <w:tcPr>
            <w:tcW w:w="1850" w:type="dxa"/>
            <w:gridSpan w:val="2"/>
            <w:vAlign w:val="center"/>
          </w:tcPr>
          <w:p w14:paraId="149DE8ED">
            <w:pPr>
              <w:jc w:val="center"/>
              <w:rPr>
                <w:color w:val="auto"/>
                <w:szCs w:val="21"/>
                <w:highlight w:val="none"/>
              </w:rPr>
            </w:pPr>
            <w:r>
              <w:rPr>
                <w:rFonts w:hint="eastAsia"/>
                <w:color w:val="auto"/>
                <w:szCs w:val="21"/>
                <w:highlight w:val="none"/>
              </w:rPr>
              <w:t>废水量m</w:t>
            </w:r>
            <w:r>
              <w:rPr>
                <w:rFonts w:hint="eastAsia"/>
                <w:color w:val="auto"/>
                <w:szCs w:val="21"/>
                <w:highlight w:val="none"/>
                <w:vertAlign w:val="superscript"/>
              </w:rPr>
              <w:t>3</w:t>
            </w:r>
            <w:r>
              <w:rPr>
                <w:rFonts w:hint="eastAsia"/>
                <w:color w:val="auto"/>
                <w:szCs w:val="21"/>
                <w:highlight w:val="none"/>
              </w:rPr>
              <w:t>/a</w:t>
            </w:r>
          </w:p>
        </w:tc>
        <w:tc>
          <w:tcPr>
            <w:tcW w:w="1701" w:type="dxa"/>
            <w:vAlign w:val="center"/>
          </w:tcPr>
          <w:p w14:paraId="7EEBE0A6">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7266</w:t>
            </w:r>
          </w:p>
        </w:tc>
        <w:tc>
          <w:tcPr>
            <w:tcW w:w="1276" w:type="dxa"/>
            <w:vAlign w:val="center"/>
          </w:tcPr>
          <w:p w14:paraId="31150285">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7266</w:t>
            </w:r>
          </w:p>
        </w:tc>
        <w:tc>
          <w:tcPr>
            <w:tcW w:w="1701" w:type="dxa"/>
            <w:vAlign w:val="center"/>
          </w:tcPr>
          <w:p w14:paraId="2A7CE7A1">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59" w:type="dxa"/>
            <w:vAlign w:val="center"/>
          </w:tcPr>
          <w:p w14:paraId="4D9FF29A">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1142</w:t>
            </w:r>
          </w:p>
        </w:tc>
        <w:tc>
          <w:tcPr>
            <w:tcW w:w="1761" w:type="dxa"/>
            <w:vAlign w:val="center"/>
          </w:tcPr>
          <w:p w14:paraId="6E0FE5D3">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-200</w:t>
            </w:r>
          </w:p>
        </w:tc>
        <w:tc>
          <w:tcPr>
            <w:tcW w:w="1816" w:type="dxa"/>
            <w:vAlign w:val="center"/>
          </w:tcPr>
          <w:p w14:paraId="1BAED6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8608</w:t>
            </w:r>
          </w:p>
        </w:tc>
        <w:tc>
          <w:tcPr>
            <w:tcW w:w="969" w:type="dxa"/>
            <w:vAlign w:val="center"/>
          </w:tcPr>
          <w:p w14:paraId="747E05ED">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eastAsia" w:cs="Times New Roman"/>
                <w:i w:val="0"/>
                <w:iCs w:val="0"/>
                <w:color w:val="auto"/>
                <w:kern w:val="0"/>
                <w:sz w:val="21"/>
                <w:szCs w:val="21"/>
                <w:highlight w:val="none"/>
                <w:u w:val="none"/>
                <w:lang w:val="en-US" w:eastAsia="zh-CN" w:bidi="ar"/>
              </w:rPr>
              <w:t>+1342</w:t>
            </w:r>
          </w:p>
        </w:tc>
      </w:tr>
      <w:tr w14:paraId="37AF6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0122897B">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494DAA3A">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COD</w:t>
            </w:r>
          </w:p>
        </w:tc>
        <w:tc>
          <w:tcPr>
            <w:tcW w:w="1701" w:type="dxa"/>
            <w:vAlign w:val="center"/>
          </w:tcPr>
          <w:p w14:paraId="770F8052">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1.9506</w:t>
            </w:r>
          </w:p>
        </w:tc>
        <w:tc>
          <w:tcPr>
            <w:tcW w:w="1276" w:type="dxa"/>
            <w:vAlign w:val="center"/>
          </w:tcPr>
          <w:p w14:paraId="7117F102">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1.9506</w:t>
            </w:r>
          </w:p>
        </w:tc>
        <w:tc>
          <w:tcPr>
            <w:tcW w:w="1701" w:type="dxa"/>
            <w:vAlign w:val="center"/>
          </w:tcPr>
          <w:p w14:paraId="6DDA94FB">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59" w:type="dxa"/>
            <w:vAlign w:val="center"/>
          </w:tcPr>
          <w:p w14:paraId="1B206A15">
            <w:pPr>
              <w:widowControl/>
              <w:jc w:val="center"/>
              <w:textAlignment w:val="center"/>
              <w:rPr>
                <w:rFonts w:hint="default" w:eastAsia="宋体"/>
                <w:color w:val="auto"/>
                <w:szCs w:val="22"/>
                <w:highlight w:val="none"/>
                <w:lang w:val="en-US" w:eastAsia="zh-CN"/>
              </w:rPr>
            </w:pPr>
            <w:r>
              <w:rPr>
                <w:rFonts w:hint="eastAsia"/>
                <w:color w:val="auto"/>
                <w:szCs w:val="22"/>
                <w:highlight w:val="none"/>
                <w:lang w:val="en-US" w:eastAsia="zh-CN"/>
              </w:rPr>
              <w:t>0.3198</w:t>
            </w:r>
          </w:p>
        </w:tc>
        <w:tc>
          <w:tcPr>
            <w:tcW w:w="1761" w:type="dxa"/>
            <w:vAlign w:val="center"/>
          </w:tcPr>
          <w:p w14:paraId="4F9390B7">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-0.02</w:t>
            </w:r>
          </w:p>
        </w:tc>
        <w:tc>
          <w:tcPr>
            <w:tcW w:w="1816" w:type="dxa"/>
            <w:vAlign w:val="center"/>
          </w:tcPr>
          <w:p w14:paraId="29368584">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2.2904</w:t>
            </w:r>
          </w:p>
        </w:tc>
        <w:tc>
          <w:tcPr>
            <w:tcW w:w="969" w:type="dxa"/>
            <w:vAlign w:val="center"/>
          </w:tcPr>
          <w:p w14:paraId="64BE0851">
            <w:pPr>
              <w:keepNext w:val="0"/>
              <w:keepLines w:val="0"/>
              <w:widowControl/>
              <w:suppressLineNumbers w:val="0"/>
              <w:jc w:val="center"/>
              <w:textAlignment w:val="center"/>
              <w:rPr>
                <w:rFonts w:hint="default" w:eastAsia="宋体"/>
                <w:color w:val="auto"/>
                <w:szCs w:val="22"/>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3398</w:t>
            </w:r>
          </w:p>
        </w:tc>
      </w:tr>
      <w:tr w14:paraId="068EA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55F3F1DD">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78580ED6">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BOD</w:t>
            </w:r>
            <w:r>
              <w:rPr>
                <w:rFonts w:hint="eastAsia" w:cs="Times New Roman"/>
                <w:color w:val="auto"/>
                <w:szCs w:val="21"/>
                <w:highlight w:val="none"/>
                <w:vertAlign w:val="subscript"/>
                <w:lang w:val="en-US" w:eastAsia="zh-CN"/>
              </w:rPr>
              <w:t>5</w:t>
            </w:r>
          </w:p>
        </w:tc>
        <w:tc>
          <w:tcPr>
            <w:tcW w:w="1701" w:type="dxa"/>
            <w:vAlign w:val="center"/>
          </w:tcPr>
          <w:p w14:paraId="36FBB4C3">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2.1798</w:t>
            </w:r>
          </w:p>
        </w:tc>
        <w:tc>
          <w:tcPr>
            <w:tcW w:w="1276" w:type="dxa"/>
            <w:vAlign w:val="center"/>
          </w:tcPr>
          <w:p w14:paraId="3C33BE23">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2.1798</w:t>
            </w:r>
          </w:p>
        </w:tc>
        <w:tc>
          <w:tcPr>
            <w:tcW w:w="1701" w:type="dxa"/>
            <w:vAlign w:val="center"/>
          </w:tcPr>
          <w:p w14:paraId="6A34FA8F">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59" w:type="dxa"/>
            <w:vAlign w:val="center"/>
          </w:tcPr>
          <w:p w14:paraId="0B86E777">
            <w:pPr>
              <w:widowControl/>
              <w:jc w:val="center"/>
              <w:textAlignment w:val="center"/>
              <w:rPr>
                <w:rFonts w:hint="default" w:eastAsia="宋体"/>
                <w:color w:val="auto"/>
                <w:szCs w:val="22"/>
                <w:highlight w:val="none"/>
                <w:lang w:val="en-US" w:eastAsia="zh-CN"/>
              </w:rPr>
            </w:pPr>
            <w:r>
              <w:rPr>
                <w:rFonts w:hint="eastAsia"/>
                <w:color w:val="auto"/>
                <w:szCs w:val="22"/>
                <w:highlight w:val="none"/>
                <w:lang w:val="en-US" w:eastAsia="zh-CN"/>
              </w:rPr>
              <w:t>0.1527</w:t>
            </w:r>
          </w:p>
        </w:tc>
        <w:tc>
          <w:tcPr>
            <w:tcW w:w="1761" w:type="dxa"/>
            <w:vAlign w:val="center"/>
          </w:tcPr>
          <w:p w14:paraId="6483846F">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1816" w:type="dxa"/>
            <w:vAlign w:val="center"/>
          </w:tcPr>
          <w:p w14:paraId="764129EA">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2.3325</w:t>
            </w:r>
          </w:p>
        </w:tc>
        <w:tc>
          <w:tcPr>
            <w:tcW w:w="969" w:type="dxa"/>
            <w:shd w:val="clear" w:color="auto" w:fill="auto"/>
            <w:vAlign w:val="center"/>
          </w:tcPr>
          <w:p w14:paraId="7DB43D6C">
            <w:pPr>
              <w:widowControl/>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+0.1527</w:t>
            </w:r>
          </w:p>
        </w:tc>
      </w:tr>
      <w:tr w14:paraId="57E7A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25874CD3">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5FB7A57A">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SS</w:t>
            </w:r>
          </w:p>
        </w:tc>
        <w:tc>
          <w:tcPr>
            <w:tcW w:w="1701" w:type="dxa"/>
            <w:vAlign w:val="center"/>
          </w:tcPr>
          <w:p w14:paraId="07066D1B">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1.198</w:t>
            </w:r>
          </w:p>
        </w:tc>
        <w:tc>
          <w:tcPr>
            <w:tcW w:w="1276" w:type="dxa"/>
            <w:vAlign w:val="center"/>
          </w:tcPr>
          <w:p w14:paraId="431F7561">
            <w:pPr>
              <w:pStyle w:val="63"/>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1.198</w:t>
            </w:r>
          </w:p>
        </w:tc>
        <w:tc>
          <w:tcPr>
            <w:tcW w:w="1701" w:type="dxa"/>
            <w:vAlign w:val="center"/>
          </w:tcPr>
          <w:p w14:paraId="1E228318">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559" w:type="dxa"/>
            <w:vAlign w:val="center"/>
          </w:tcPr>
          <w:p w14:paraId="771FF7EB">
            <w:pPr>
              <w:widowControl/>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0.2056</w:t>
            </w:r>
          </w:p>
        </w:tc>
        <w:tc>
          <w:tcPr>
            <w:tcW w:w="1761" w:type="dxa"/>
            <w:vAlign w:val="center"/>
          </w:tcPr>
          <w:p w14:paraId="51E6EF9F">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-0.008</w:t>
            </w:r>
          </w:p>
        </w:tc>
        <w:tc>
          <w:tcPr>
            <w:tcW w:w="1816" w:type="dxa"/>
            <w:vAlign w:val="center"/>
          </w:tcPr>
          <w:p w14:paraId="616A822E">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1.4116</w:t>
            </w:r>
          </w:p>
        </w:tc>
        <w:tc>
          <w:tcPr>
            <w:tcW w:w="969" w:type="dxa"/>
            <w:shd w:val="clear" w:color="auto" w:fill="auto"/>
            <w:vAlign w:val="center"/>
          </w:tcPr>
          <w:p w14:paraId="18E9ABCD">
            <w:pPr>
              <w:widowControl/>
              <w:jc w:val="center"/>
              <w:textAlignment w:val="center"/>
              <w:rPr>
                <w:rFonts w:hint="default" w:ascii="Times New Roman" w:hAnsi="Times New Roman" w:eastAsia="宋体" w:cs="Times New Roman"/>
                <w:color w:val="auto"/>
                <w:kern w:val="0"/>
                <w:sz w:val="22"/>
                <w:szCs w:val="22"/>
                <w:highlight w:val="none"/>
                <w:lang w:val="en-US" w:eastAsia="zh-CN" w:bidi="ar"/>
              </w:rPr>
            </w:pPr>
            <w:r>
              <w:rPr>
                <w:rFonts w:hint="eastAsia"/>
                <w:color w:val="auto"/>
                <w:kern w:val="0"/>
                <w:sz w:val="22"/>
                <w:szCs w:val="22"/>
                <w:highlight w:val="none"/>
                <w:lang w:val="en-US" w:eastAsia="zh-CN" w:bidi="ar"/>
              </w:rPr>
              <w:t>+0.2136</w:t>
            </w:r>
          </w:p>
        </w:tc>
      </w:tr>
      <w:tr w14:paraId="66468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32584139">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322F7D1C">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NH</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lang w:val="en-US" w:eastAsia="zh-CN"/>
              </w:rPr>
              <w:t>-N</w:t>
            </w:r>
          </w:p>
        </w:tc>
        <w:tc>
          <w:tcPr>
            <w:tcW w:w="1701" w:type="dxa"/>
            <w:vAlign w:val="center"/>
          </w:tcPr>
          <w:p w14:paraId="4CE75B6E">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0.1308</w:t>
            </w:r>
          </w:p>
        </w:tc>
        <w:tc>
          <w:tcPr>
            <w:tcW w:w="1276" w:type="dxa"/>
            <w:vAlign w:val="center"/>
          </w:tcPr>
          <w:p w14:paraId="74D2FFF8">
            <w:pPr>
              <w:pStyle w:val="63"/>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bidi="ar-SA"/>
              </w:rPr>
              <w:t>0.1308</w:t>
            </w:r>
          </w:p>
        </w:tc>
        <w:tc>
          <w:tcPr>
            <w:tcW w:w="1701" w:type="dxa"/>
            <w:vAlign w:val="center"/>
          </w:tcPr>
          <w:p w14:paraId="5002B76D">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559" w:type="dxa"/>
            <w:vAlign w:val="center"/>
          </w:tcPr>
          <w:p w14:paraId="3EA4FBD2">
            <w:pPr>
              <w:widowControl/>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0.006</w:t>
            </w:r>
          </w:p>
        </w:tc>
        <w:tc>
          <w:tcPr>
            <w:tcW w:w="1761" w:type="dxa"/>
            <w:vAlign w:val="center"/>
          </w:tcPr>
          <w:p w14:paraId="72C197AE">
            <w:pPr>
              <w:jc w:val="center"/>
              <w:rPr>
                <w:rFonts w:hint="eastAsia"/>
                <w:color w:val="auto"/>
                <w:kern w:val="0"/>
                <w:szCs w:val="21"/>
                <w:highlight w:val="none"/>
                <w:lang w:val="en-US" w:eastAsia="zh-CN" w:bidi="ar"/>
              </w:rPr>
            </w:pPr>
            <w:r>
              <w:rPr>
                <w:rFonts w:hint="eastAsia"/>
                <w:color w:val="auto"/>
                <w:szCs w:val="21"/>
                <w:highlight w:val="none"/>
                <w:lang w:val="en-US" w:eastAsia="zh-CN"/>
              </w:rPr>
              <w:t>/</w:t>
            </w:r>
          </w:p>
        </w:tc>
        <w:tc>
          <w:tcPr>
            <w:tcW w:w="1816" w:type="dxa"/>
            <w:vAlign w:val="center"/>
          </w:tcPr>
          <w:p w14:paraId="24A4CCE0">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0.1368</w:t>
            </w:r>
          </w:p>
        </w:tc>
        <w:tc>
          <w:tcPr>
            <w:tcW w:w="969" w:type="dxa"/>
            <w:shd w:val="clear" w:color="auto" w:fill="auto"/>
            <w:vAlign w:val="center"/>
          </w:tcPr>
          <w:p w14:paraId="41C8929C">
            <w:pPr>
              <w:widowControl/>
              <w:jc w:val="center"/>
              <w:textAlignment w:val="center"/>
              <w:rPr>
                <w:rFonts w:hint="eastAsia" w:ascii="Times New Roman" w:hAnsi="Times New Roman" w:eastAsia="宋体" w:cs="Times New Roman"/>
                <w:color w:val="auto"/>
                <w:kern w:val="0"/>
                <w:sz w:val="22"/>
                <w:szCs w:val="22"/>
                <w:highlight w:val="none"/>
                <w:lang w:val="en-US" w:eastAsia="zh-CN" w:bidi="ar"/>
              </w:rPr>
            </w:pPr>
            <w:r>
              <w:rPr>
                <w:rFonts w:hint="eastAsia"/>
                <w:color w:val="auto"/>
                <w:kern w:val="0"/>
                <w:sz w:val="22"/>
                <w:szCs w:val="22"/>
                <w:highlight w:val="none"/>
                <w:lang w:val="en-US" w:eastAsia="zh-CN" w:bidi="ar"/>
              </w:rPr>
              <w:t>+0.006</w:t>
            </w:r>
          </w:p>
        </w:tc>
      </w:tr>
      <w:tr w14:paraId="17E8D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0673420F">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01F1911A">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TN</w:t>
            </w:r>
          </w:p>
        </w:tc>
        <w:tc>
          <w:tcPr>
            <w:tcW w:w="1701" w:type="dxa"/>
            <w:vAlign w:val="center"/>
          </w:tcPr>
          <w:p w14:paraId="50FFD2B0">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0.5086</w:t>
            </w:r>
          </w:p>
        </w:tc>
        <w:tc>
          <w:tcPr>
            <w:tcW w:w="1276" w:type="dxa"/>
            <w:vAlign w:val="center"/>
          </w:tcPr>
          <w:p w14:paraId="1C651B10">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0.5086</w:t>
            </w:r>
          </w:p>
        </w:tc>
        <w:tc>
          <w:tcPr>
            <w:tcW w:w="1701" w:type="dxa"/>
            <w:vAlign w:val="center"/>
          </w:tcPr>
          <w:p w14:paraId="220CA330">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559" w:type="dxa"/>
            <w:vAlign w:val="center"/>
          </w:tcPr>
          <w:p w14:paraId="07098911">
            <w:pPr>
              <w:widowControl/>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0.0129</w:t>
            </w:r>
          </w:p>
        </w:tc>
        <w:tc>
          <w:tcPr>
            <w:tcW w:w="1761" w:type="dxa"/>
            <w:vAlign w:val="center"/>
          </w:tcPr>
          <w:p w14:paraId="545A7273">
            <w:pPr>
              <w:jc w:val="center"/>
              <w:rPr>
                <w:rFonts w:hint="eastAsia"/>
                <w:color w:val="auto"/>
                <w:kern w:val="0"/>
                <w:szCs w:val="21"/>
                <w:highlight w:val="none"/>
                <w:lang w:val="en-US" w:eastAsia="zh-CN" w:bidi="ar"/>
              </w:rPr>
            </w:pPr>
            <w:r>
              <w:rPr>
                <w:rFonts w:hint="eastAsia"/>
                <w:color w:val="auto"/>
                <w:szCs w:val="21"/>
                <w:highlight w:val="none"/>
                <w:lang w:val="en-US" w:eastAsia="zh-CN"/>
              </w:rPr>
              <w:t>/</w:t>
            </w:r>
          </w:p>
        </w:tc>
        <w:tc>
          <w:tcPr>
            <w:tcW w:w="1816" w:type="dxa"/>
            <w:vAlign w:val="center"/>
          </w:tcPr>
          <w:p w14:paraId="0267B711">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0.5215</w:t>
            </w:r>
          </w:p>
        </w:tc>
        <w:tc>
          <w:tcPr>
            <w:tcW w:w="969" w:type="dxa"/>
            <w:shd w:val="clear" w:color="auto" w:fill="auto"/>
            <w:vAlign w:val="center"/>
          </w:tcPr>
          <w:p w14:paraId="41B56D50">
            <w:pPr>
              <w:widowControl/>
              <w:jc w:val="center"/>
              <w:textAlignment w:val="center"/>
              <w:rPr>
                <w:rFonts w:hint="default" w:ascii="Times New Roman" w:hAnsi="Times New Roman" w:eastAsia="宋体" w:cs="Times New Roman"/>
                <w:color w:val="auto"/>
                <w:kern w:val="0"/>
                <w:sz w:val="22"/>
                <w:szCs w:val="22"/>
                <w:highlight w:val="none"/>
                <w:lang w:val="en-US" w:eastAsia="zh-CN" w:bidi="ar"/>
              </w:rPr>
            </w:pPr>
            <w:r>
              <w:rPr>
                <w:rFonts w:hint="eastAsia"/>
                <w:color w:val="auto"/>
                <w:kern w:val="0"/>
                <w:sz w:val="22"/>
                <w:szCs w:val="22"/>
                <w:highlight w:val="none"/>
                <w:lang w:val="en-US" w:eastAsia="zh-CN" w:bidi="ar"/>
              </w:rPr>
              <w:t>+0.0129</w:t>
            </w:r>
          </w:p>
        </w:tc>
      </w:tr>
      <w:tr w14:paraId="016AA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60B62D9E">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63CBDE2E">
            <w:pPr>
              <w:pStyle w:val="29"/>
              <w:spacing w:after="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总磷</w:t>
            </w:r>
          </w:p>
        </w:tc>
        <w:tc>
          <w:tcPr>
            <w:tcW w:w="1701" w:type="dxa"/>
            <w:vAlign w:val="center"/>
          </w:tcPr>
          <w:p w14:paraId="0EE129CF">
            <w:pPr>
              <w:pStyle w:val="29"/>
              <w:widowControl/>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0.01354</w:t>
            </w:r>
          </w:p>
        </w:tc>
        <w:tc>
          <w:tcPr>
            <w:tcW w:w="1276" w:type="dxa"/>
            <w:vAlign w:val="center"/>
          </w:tcPr>
          <w:p w14:paraId="452FE296">
            <w:pPr>
              <w:pStyle w:val="29"/>
              <w:widowControl/>
              <w:spacing w:after="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0.01354</w:t>
            </w:r>
          </w:p>
        </w:tc>
        <w:tc>
          <w:tcPr>
            <w:tcW w:w="1701" w:type="dxa"/>
            <w:vAlign w:val="center"/>
          </w:tcPr>
          <w:p w14:paraId="5FAD323E">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559" w:type="dxa"/>
            <w:vAlign w:val="center"/>
          </w:tcPr>
          <w:p w14:paraId="30FD6A65">
            <w:pPr>
              <w:widowControl/>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0.0034</w:t>
            </w:r>
          </w:p>
        </w:tc>
        <w:tc>
          <w:tcPr>
            <w:tcW w:w="1761" w:type="dxa"/>
            <w:vAlign w:val="center"/>
          </w:tcPr>
          <w:p w14:paraId="5E089292">
            <w:pPr>
              <w:jc w:val="center"/>
              <w:rPr>
                <w:rFonts w:hint="eastAsia"/>
                <w:color w:val="auto"/>
                <w:kern w:val="0"/>
                <w:szCs w:val="21"/>
                <w:highlight w:val="none"/>
                <w:lang w:val="en-US" w:eastAsia="zh-CN" w:bidi="ar"/>
              </w:rPr>
            </w:pPr>
            <w:r>
              <w:rPr>
                <w:rFonts w:hint="eastAsia"/>
                <w:color w:val="auto"/>
                <w:szCs w:val="21"/>
                <w:highlight w:val="none"/>
                <w:lang w:val="en-US" w:eastAsia="zh-CN"/>
              </w:rPr>
              <w:t>/</w:t>
            </w:r>
          </w:p>
        </w:tc>
        <w:tc>
          <w:tcPr>
            <w:tcW w:w="1816" w:type="dxa"/>
            <w:vAlign w:val="center"/>
          </w:tcPr>
          <w:p w14:paraId="45C9F28C">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0.01694</w:t>
            </w:r>
          </w:p>
        </w:tc>
        <w:tc>
          <w:tcPr>
            <w:tcW w:w="969" w:type="dxa"/>
            <w:shd w:val="clear" w:color="auto" w:fill="auto"/>
            <w:vAlign w:val="center"/>
          </w:tcPr>
          <w:p w14:paraId="736F2421">
            <w:pPr>
              <w:widowControl/>
              <w:jc w:val="center"/>
              <w:textAlignment w:val="center"/>
              <w:rPr>
                <w:rFonts w:hint="eastAsia" w:ascii="Times New Roman" w:hAnsi="Times New Roman" w:eastAsia="宋体" w:cs="Times New Roman"/>
                <w:color w:val="auto"/>
                <w:kern w:val="0"/>
                <w:sz w:val="22"/>
                <w:szCs w:val="22"/>
                <w:highlight w:val="none"/>
                <w:lang w:val="en-US" w:eastAsia="zh-CN" w:bidi="ar"/>
              </w:rPr>
            </w:pPr>
            <w:r>
              <w:rPr>
                <w:rFonts w:hint="eastAsia"/>
                <w:color w:val="auto"/>
                <w:kern w:val="0"/>
                <w:sz w:val="22"/>
                <w:szCs w:val="22"/>
                <w:highlight w:val="none"/>
                <w:lang w:val="en-US" w:eastAsia="zh-CN" w:bidi="ar"/>
              </w:rPr>
              <w:t>+0.0034</w:t>
            </w:r>
          </w:p>
        </w:tc>
      </w:tr>
      <w:tr w14:paraId="4E7ABC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3D0879F0">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4262DC31">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石油类</w:t>
            </w:r>
          </w:p>
        </w:tc>
        <w:tc>
          <w:tcPr>
            <w:tcW w:w="1701" w:type="dxa"/>
            <w:vAlign w:val="center"/>
          </w:tcPr>
          <w:p w14:paraId="4240BAA5">
            <w:pPr>
              <w:pStyle w:val="29"/>
              <w:widowControl/>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0.02566</w:t>
            </w:r>
          </w:p>
        </w:tc>
        <w:tc>
          <w:tcPr>
            <w:tcW w:w="1276" w:type="dxa"/>
            <w:vAlign w:val="center"/>
          </w:tcPr>
          <w:p w14:paraId="3F788EB8">
            <w:pPr>
              <w:pStyle w:val="29"/>
              <w:widowControl/>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0.02566</w:t>
            </w:r>
          </w:p>
        </w:tc>
        <w:tc>
          <w:tcPr>
            <w:tcW w:w="1701" w:type="dxa"/>
            <w:vAlign w:val="center"/>
          </w:tcPr>
          <w:p w14:paraId="66E7E0D0">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559" w:type="dxa"/>
            <w:vAlign w:val="center"/>
          </w:tcPr>
          <w:p w14:paraId="00D087D0">
            <w:pPr>
              <w:widowControl/>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0.009</w:t>
            </w:r>
          </w:p>
        </w:tc>
        <w:tc>
          <w:tcPr>
            <w:tcW w:w="1761" w:type="dxa"/>
            <w:vAlign w:val="center"/>
          </w:tcPr>
          <w:p w14:paraId="4964BCAF">
            <w:pPr>
              <w:jc w:val="center"/>
              <w:rPr>
                <w:rFonts w:hint="eastAsia"/>
                <w:color w:val="auto"/>
                <w:kern w:val="0"/>
                <w:szCs w:val="21"/>
                <w:highlight w:val="none"/>
                <w:lang w:val="en-US" w:eastAsia="zh-CN" w:bidi="ar"/>
              </w:rPr>
            </w:pPr>
            <w:r>
              <w:rPr>
                <w:rFonts w:hint="eastAsia"/>
                <w:color w:val="auto"/>
                <w:szCs w:val="21"/>
                <w:highlight w:val="none"/>
                <w:lang w:val="en-US" w:eastAsia="zh-CN"/>
              </w:rPr>
              <w:t>/</w:t>
            </w:r>
          </w:p>
        </w:tc>
        <w:tc>
          <w:tcPr>
            <w:tcW w:w="1816" w:type="dxa"/>
            <w:vAlign w:val="center"/>
          </w:tcPr>
          <w:p w14:paraId="694F9A04">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0.03466</w:t>
            </w:r>
          </w:p>
        </w:tc>
        <w:tc>
          <w:tcPr>
            <w:tcW w:w="969" w:type="dxa"/>
            <w:shd w:val="clear" w:color="auto" w:fill="auto"/>
            <w:vAlign w:val="center"/>
          </w:tcPr>
          <w:p w14:paraId="16CE79D5">
            <w:pPr>
              <w:widowControl/>
              <w:jc w:val="center"/>
              <w:textAlignment w:val="center"/>
              <w:rPr>
                <w:rFonts w:hint="eastAsia" w:ascii="Times New Roman" w:hAnsi="Times New Roman" w:eastAsia="宋体" w:cs="Times New Roman"/>
                <w:color w:val="auto"/>
                <w:kern w:val="0"/>
                <w:sz w:val="22"/>
                <w:szCs w:val="22"/>
                <w:highlight w:val="none"/>
                <w:lang w:val="en-US" w:eastAsia="zh-CN" w:bidi="ar"/>
              </w:rPr>
            </w:pPr>
            <w:r>
              <w:rPr>
                <w:rFonts w:hint="eastAsia"/>
                <w:color w:val="auto"/>
                <w:kern w:val="0"/>
                <w:sz w:val="22"/>
                <w:szCs w:val="22"/>
                <w:highlight w:val="none"/>
                <w:lang w:val="en-US" w:eastAsia="zh-CN" w:bidi="ar"/>
              </w:rPr>
              <w:t>+0.009</w:t>
            </w:r>
          </w:p>
        </w:tc>
      </w:tr>
      <w:tr w14:paraId="6C68B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2CEEAAED">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2436C4E6">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盐分</w:t>
            </w:r>
          </w:p>
        </w:tc>
        <w:tc>
          <w:tcPr>
            <w:tcW w:w="1701" w:type="dxa"/>
            <w:vAlign w:val="center"/>
          </w:tcPr>
          <w:p w14:paraId="2C41D8C5">
            <w:pPr>
              <w:pStyle w:val="29"/>
              <w:widowControl/>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3.2</w:t>
            </w:r>
          </w:p>
        </w:tc>
        <w:tc>
          <w:tcPr>
            <w:tcW w:w="1276" w:type="dxa"/>
            <w:vAlign w:val="center"/>
          </w:tcPr>
          <w:p w14:paraId="382D8EBE">
            <w:pPr>
              <w:pStyle w:val="29"/>
              <w:widowControl/>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3.2</w:t>
            </w:r>
          </w:p>
        </w:tc>
        <w:tc>
          <w:tcPr>
            <w:tcW w:w="1701" w:type="dxa"/>
            <w:vAlign w:val="center"/>
          </w:tcPr>
          <w:p w14:paraId="3008EAC4">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lang w:val="en-US" w:eastAsia="zh-CN"/>
              </w:rPr>
              <w:t>/</w:t>
            </w:r>
          </w:p>
        </w:tc>
        <w:tc>
          <w:tcPr>
            <w:tcW w:w="1559" w:type="dxa"/>
            <w:vAlign w:val="center"/>
          </w:tcPr>
          <w:p w14:paraId="774562BD">
            <w:pPr>
              <w:widowControl/>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w:t>
            </w:r>
          </w:p>
        </w:tc>
        <w:tc>
          <w:tcPr>
            <w:tcW w:w="1761" w:type="dxa"/>
            <w:vAlign w:val="center"/>
          </w:tcPr>
          <w:p w14:paraId="68FA11D7">
            <w:pPr>
              <w:jc w:val="center"/>
              <w:rPr>
                <w:rFonts w:hint="eastAsia"/>
                <w:color w:val="auto"/>
                <w:kern w:val="0"/>
                <w:szCs w:val="21"/>
                <w:highlight w:val="none"/>
                <w:lang w:val="en-US" w:eastAsia="zh-CN" w:bidi="ar"/>
              </w:rPr>
            </w:pPr>
            <w:r>
              <w:rPr>
                <w:rFonts w:hint="eastAsia"/>
                <w:color w:val="auto"/>
                <w:szCs w:val="21"/>
                <w:highlight w:val="none"/>
                <w:lang w:val="en-US" w:eastAsia="zh-CN"/>
              </w:rPr>
              <w:t>/</w:t>
            </w:r>
          </w:p>
        </w:tc>
        <w:tc>
          <w:tcPr>
            <w:tcW w:w="1816" w:type="dxa"/>
            <w:vAlign w:val="center"/>
          </w:tcPr>
          <w:p w14:paraId="22B5FCE4">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969" w:type="dxa"/>
            <w:vAlign w:val="center"/>
          </w:tcPr>
          <w:p w14:paraId="12E9ABB0">
            <w:pPr>
              <w:keepNext w:val="0"/>
              <w:keepLines w:val="0"/>
              <w:widowControl/>
              <w:suppressLineNumbers w:val="0"/>
              <w:jc w:val="center"/>
              <w:textAlignment w:val="center"/>
              <w:rPr>
                <w:rFonts w:hint="eastAsia"/>
                <w:color w:val="auto"/>
                <w:szCs w:val="22"/>
                <w:highlight w:val="none"/>
                <w:lang w:val="en-US" w:eastAsia="zh-CN"/>
              </w:rPr>
            </w:pPr>
            <w:r>
              <w:rPr>
                <w:rFonts w:hint="eastAsia" w:cs="Times New Roman"/>
                <w:i w:val="0"/>
                <w:iCs w:val="0"/>
                <w:color w:val="auto"/>
                <w:kern w:val="0"/>
                <w:sz w:val="21"/>
                <w:szCs w:val="21"/>
                <w:highlight w:val="none"/>
                <w:u w:val="none"/>
                <w:lang w:val="en-US" w:eastAsia="zh-CN" w:bidi="ar"/>
              </w:rPr>
              <w:t>+0</w:t>
            </w:r>
          </w:p>
        </w:tc>
      </w:tr>
      <w:tr w14:paraId="7432D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11CDFBA5">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3DFFC179">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总锌</w:t>
            </w:r>
          </w:p>
        </w:tc>
        <w:tc>
          <w:tcPr>
            <w:tcW w:w="1701" w:type="dxa"/>
            <w:vAlign w:val="center"/>
          </w:tcPr>
          <w:p w14:paraId="6205B356">
            <w:pPr>
              <w:pStyle w:val="29"/>
              <w:widowControl/>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0.00004</w:t>
            </w:r>
          </w:p>
        </w:tc>
        <w:tc>
          <w:tcPr>
            <w:tcW w:w="1276" w:type="dxa"/>
            <w:vAlign w:val="center"/>
          </w:tcPr>
          <w:p w14:paraId="2E01BDBF">
            <w:pPr>
              <w:pStyle w:val="63"/>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701" w:type="dxa"/>
            <w:vAlign w:val="center"/>
          </w:tcPr>
          <w:p w14:paraId="52B54CF0">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559" w:type="dxa"/>
            <w:vAlign w:val="center"/>
          </w:tcPr>
          <w:p w14:paraId="57E6F008">
            <w:pPr>
              <w:widowControl/>
              <w:jc w:val="center"/>
              <w:textAlignment w:val="center"/>
              <w:rPr>
                <w:rFonts w:hint="eastAsia" w:eastAsia="宋体"/>
                <w:color w:val="auto"/>
                <w:szCs w:val="22"/>
                <w:highlight w:val="none"/>
                <w:lang w:eastAsia="zh-CN"/>
              </w:rPr>
            </w:pPr>
            <w:r>
              <w:rPr>
                <w:rFonts w:hint="eastAsia"/>
                <w:color w:val="auto"/>
                <w:kern w:val="0"/>
                <w:sz w:val="22"/>
                <w:szCs w:val="22"/>
                <w:highlight w:val="none"/>
                <w:lang w:val="en-US" w:eastAsia="zh-CN" w:bidi="ar"/>
              </w:rPr>
              <w:t>0.0009</w:t>
            </w:r>
          </w:p>
        </w:tc>
        <w:tc>
          <w:tcPr>
            <w:tcW w:w="1761" w:type="dxa"/>
            <w:vAlign w:val="center"/>
          </w:tcPr>
          <w:p w14:paraId="17ADE92B">
            <w:pPr>
              <w:jc w:val="center"/>
              <w:rPr>
                <w:rFonts w:hint="eastAsia" w:eastAsia="宋体"/>
                <w:color w:val="auto"/>
                <w:kern w:val="0"/>
                <w:szCs w:val="21"/>
                <w:highlight w:val="none"/>
                <w:lang w:val="en-US" w:eastAsia="zh-CN" w:bidi="ar"/>
              </w:rPr>
            </w:pPr>
            <w:r>
              <w:rPr>
                <w:rFonts w:hint="eastAsia"/>
                <w:color w:val="auto"/>
                <w:szCs w:val="21"/>
                <w:highlight w:val="none"/>
                <w:lang w:val="en-US" w:eastAsia="zh-CN"/>
              </w:rPr>
              <w:t>/</w:t>
            </w:r>
          </w:p>
        </w:tc>
        <w:tc>
          <w:tcPr>
            <w:tcW w:w="1816" w:type="dxa"/>
            <w:vAlign w:val="center"/>
          </w:tcPr>
          <w:p w14:paraId="10FB2DC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969" w:type="dxa"/>
            <w:vAlign w:val="center"/>
          </w:tcPr>
          <w:p w14:paraId="7534997B">
            <w:pPr>
              <w:keepNext w:val="0"/>
              <w:keepLines w:val="0"/>
              <w:widowControl/>
              <w:suppressLineNumbers w:val="0"/>
              <w:jc w:val="center"/>
              <w:textAlignment w:val="center"/>
              <w:rPr>
                <w:rFonts w:hint="eastAsia" w:eastAsia="宋体"/>
                <w:color w:val="auto"/>
                <w:szCs w:val="22"/>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14:paraId="4DBA9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156CA774">
            <w:pPr>
              <w:pStyle w:val="57"/>
              <w:spacing w:beforeLines="0" w:afterLines="0" w:line="240" w:lineRule="auto"/>
              <w:rPr>
                <w:rFonts w:hAnsi="宋体" w:cs="宋体"/>
                <w:snapToGrid w:val="0"/>
                <w:color w:val="auto"/>
                <w:kern w:val="21"/>
                <w:szCs w:val="21"/>
                <w:highlight w:val="none"/>
              </w:rPr>
            </w:pPr>
          </w:p>
        </w:tc>
        <w:tc>
          <w:tcPr>
            <w:tcW w:w="1850" w:type="dxa"/>
            <w:gridSpan w:val="2"/>
            <w:vAlign w:val="center"/>
          </w:tcPr>
          <w:p w14:paraId="6D55BADB">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氟化物</w:t>
            </w:r>
          </w:p>
        </w:tc>
        <w:tc>
          <w:tcPr>
            <w:tcW w:w="1701" w:type="dxa"/>
            <w:vAlign w:val="center"/>
          </w:tcPr>
          <w:p w14:paraId="08EA1BD9">
            <w:pPr>
              <w:pStyle w:val="29"/>
              <w:widowControl/>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0.00026</w:t>
            </w:r>
          </w:p>
        </w:tc>
        <w:tc>
          <w:tcPr>
            <w:tcW w:w="1276" w:type="dxa"/>
            <w:vAlign w:val="center"/>
          </w:tcPr>
          <w:p w14:paraId="52FD9502">
            <w:pPr>
              <w:pStyle w:val="29"/>
              <w:widowControl/>
              <w:spacing w:after="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701" w:type="dxa"/>
            <w:vAlign w:val="center"/>
          </w:tcPr>
          <w:p w14:paraId="484BA102">
            <w:pPr>
              <w:jc w:val="center"/>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559" w:type="dxa"/>
            <w:vAlign w:val="center"/>
          </w:tcPr>
          <w:p w14:paraId="0684B391">
            <w:pPr>
              <w:widowControl/>
              <w:jc w:val="center"/>
              <w:textAlignment w:val="center"/>
              <w:rPr>
                <w:rFonts w:hint="eastAsia" w:eastAsia="宋体"/>
                <w:color w:val="auto"/>
                <w:szCs w:val="22"/>
                <w:highlight w:val="none"/>
                <w:lang w:val="en-US" w:eastAsia="zh-CN"/>
              </w:rPr>
            </w:pPr>
            <w:r>
              <w:rPr>
                <w:rFonts w:hint="eastAsia"/>
                <w:color w:val="auto"/>
                <w:kern w:val="0"/>
                <w:sz w:val="22"/>
                <w:szCs w:val="22"/>
                <w:highlight w:val="none"/>
                <w:lang w:val="en-US" w:eastAsia="zh-CN" w:bidi="ar"/>
              </w:rPr>
              <w:t>/</w:t>
            </w:r>
          </w:p>
        </w:tc>
        <w:tc>
          <w:tcPr>
            <w:tcW w:w="1761" w:type="dxa"/>
            <w:vAlign w:val="center"/>
          </w:tcPr>
          <w:p w14:paraId="6F6EC7D5">
            <w:pPr>
              <w:jc w:val="center"/>
              <w:rPr>
                <w:rFonts w:hint="eastAsia" w:eastAsia="宋体"/>
                <w:color w:val="auto"/>
                <w:kern w:val="0"/>
                <w:szCs w:val="21"/>
                <w:highlight w:val="none"/>
                <w:lang w:val="en-US" w:eastAsia="zh-CN" w:bidi="ar"/>
              </w:rPr>
            </w:pPr>
            <w:r>
              <w:rPr>
                <w:rFonts w:hint="eastAsia"/>
                <w:color w:val="auto"/>
                <w:szCs w:val="21"/>
                <w:highlight w:val="none"/>
                <w:lang w:val="en-US" w:eastAsia="zh-CN"/>
              </w:rPr>
              <w:t>/</w:t>
            </w:r>
          </w:p>
        </w:tc>
        <w:tc>
          <w:tcPr>
            <w:tcW w:w="1816" w:type="dxa"/>
            <w:vAlign w:val="center"/>
          </w:tcPr>
          <w:p w14:paraId="4F7F5DC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0.00026</w:t>
            </w:r>
          </w:p>
        </w:tc>
        <w:tc>
          <w:tcPr>
            <w:tcW w:w="969" w:type="dxa"/>
            <w:vAlign w:val="center"/>
          </w:tcPr>
          <w:p w14:paraId="1A15AE3D">
            <w:pPr>
              <w:keepNext w:val="0"/>
              <w:keepLines w:val="0"/>
              <w:widowControl/>
              <w:suppressLineNumbers w:val="0"/>
              <w:jc w:val="center"/>
              <w:textAlignment w:val="center"/>
              <w:rPr>
                <w:rFonts w:hint="eastAsia" w:eastAsia="宋体"/>
                <w:color w:val="auto"/>
                <w:szCs w:val="22"/>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0.00026</w:t>
            </w:r>
          </w:p>
        </w:tc>
      </w:tr>
      <w:tr w14:paraId="6FF6B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restart"/>
            <w:vAlign w:val="center"/>
          </w:tcPr>
          <w:p w14:paraId="565432A0">
            <w:pPr>
              <w:pStyle w:val="57"/>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一般工业</w:t>
            </w:r>
          </w:p>
          <w:p w14:paraId="2F2BF8C3">
            <w:pPr>
              <w:pStyle w:val="57"/>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固体废物</w:t>
            </w:r>
          </w:p>
        </w:tc>
        <w:tc>
          <w:tcPr>
            <w:tcW w:w="1850" w:type="dxa"/>
            <w:gridSpan w:val="2"/>
            <w:vAlign w:val="center"/>
          </w:tcPr>
          <w:p w14:paraId="242124B6">
            <w:pPr>
              <w:jc w:val="center"/>
              <w:rPr>
                <w:rFonts w:hint="eastAsia" w:eastAsia="宋体"/>
                <w:color w:val="auto"/>
                <w:szCs w:val="22"/>
                <w:highlight w:val="none"/>
                <w:lang w:eastAsia="zh-CN"/>
              </w:rPr>
            </w:pPr>
            <w:r>
              <w:rPr>
                <w:rFonts w:hint="eastAsia"/>
                <w:color w:val="auto"/>
                <w:szCs w:val="22"/>
                <w:highlight w:val="none"/>
                <w:lang w:val="en-US" w:eastAsia="zh-CN"/>
              </w:rPr>
              <w:t>生活垃圾</w:t>
            </w:r>
          </w:p>
        </w:tc>
        <w:tc>
          <w:tcPr>
            <w:tcW w:w="1701" w:type="dxa"/>
            <w:vAlign w:val="center"/>
          </w:tcPr>
          <w:p w14:paraId="0A8AA22D">
            <w:pPr>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18.6</w:t>
            </w:r>
          </w:p>
        </w:tc>
        <w:tc>
          <w:tcPr>
            <w:tcW w:w="1276" w:type="dxa"/>
            <w:vAlign w:val="center"/>
          </w:tcPr>
          <w:p w14:paraId="5CCBA5D0">
            <w:pPr>
              <w:jc w:val="center"/>
              <w:rPr>
                <w:rFonts w:hint="default" w:eastAsia="宋体"/>
                <w:color w:val="auto"/>
                <w:kern w:val="0"/>
                <w:szCs w:val="21"/>
                <w:highlight w:val="none"/>
                <w:lang w:val="en-US" w:eastAsia="zh-CN" w:bidi="ar"/>
              </w:rPr>
            </w:pPr>
            <w:r>
              <w:rPr>
                <w:rFonts w:hint="eastAsia" w:cs="Times New Roman"/>
                <w:color w:val="auto"/>
                <w:kern w:val="0"/>
                <w:sz w:val="21"/>
                <w:szCs w:val="21"/>
                <w:highlight w:val="none"/>
                <w:lang w:val="en-US" w:eastAsia="zh-CN" w:bidi="ar-SA"/>
              </w:rPr>
              <w:t>/</w:t>
            </w:r>
          </w:p>
        </w:tc>
        <w:tc>
          <w:tcPr>
            <w:tcW w:w="1701" w:type="dxa"/>
            <w:vAlign w:val="center"/>
          </w:tcPr>
          <w:p w14:paraId="7FF214E7">
            <w:pPr>
              <w:jc w:val="center"/>
              <w:rPr>
                <w:color w:val="auto"/>
                <w:kern w:val="0"/>
                <w:szCs w:val="21"/>
                <w:highlight w:val="none"/>
                <w:lang w:bidi="ar"/>
              </w:rPr>
            </w:pPr>
            <w:r>
              <w:rPr>
                <w:rFonts w:hint="eastAsia"/>
                <w:color w:val="auto"/>
                <w:szCs w:val="21"/>
                <w:highlight w:val="none"/>
                <w:lang w:val="en-US" w:eastAsia="zh-CN"/>
              </w:rPr>
              <w:t>/</w:t>
            </w:r>
          </w:p>
        </w:tc>
        <w:tc>
          <w:tcPr>
            <w:tcW w:w="1559" w:type="dxa"/>
            <w:vAlign w:val="center"/>
          </w:tcPr>
          <w:p w14:paraId="41DCA558">
            <w:pPr>
              <w:jc w:val="center"/>
              <w:rPr>
                <w:rFonts w:hint="default" w:eastAsia="宋体"/>
                <w:color w:val="auto"/>
                <w:szCs w:val="22"/>
                <w:highlight w:val="none"/>
                <w:lang w:val="en-US" w:eastAsia="zh-CN"/>
              </w:rPr>
            </w:pPr>
            <w:r>
              <w:rPr>
                <w:rFonts w:hint="eastAsia"/>
                <w:color w:val="auto"/>
                <w:szCs w:val="22"/>
                <w:highlight w:val="none"/>
                <w:lang w:val="en-US" w:eastAsia="zh-CN"/>
              </w:rPr>
              <w:t>3</w:t>
            </w:r>
          </w:p>
        </w:tc>
        <w:tc>
          <w:tcPr>
            <w:tcW w:w="1761" w:type="dxa"/>
            <w:vAlign w:val="center"/>
          </w:tcPr>
          <w:p w14:paraId="1D4C9C19">
            <w:pPr>
              <w:jc w:val="center"/>
              <w:rPr>
                <w:color w:val="auto"/>
                <w:kern w:val="0"/>
                <w:szCs w:val="21"/>
                <w:highlight w:val="none"/>
                <w:lang w:bidi="ar"/>
              </w:rPr>
            </w:pPr>
            <w:r>
              <w:rPr>
                <w:rFonts w:hint="eastAsia"/>
                <w:color w:val="auto"/>
                <w:szCs w:val="21"/>
                <w:highlight w:val="none"/>
                <w:lang w:val="en-US" w:eastAsia="zh-CN"/>
              </w:rPr>
              <w:t>/</w:t>
            </w:r>
          </w:p>
        </w:tc>
        <w:tc>
          <w:tcPr>
            <w:tcW w:w="1816" w:type="dxa"/>
            <w:vAlign w:val="center"/>
          </w:tcPr>
          <w:p w14:paraId="703A1293">
            <w:pPr>
              <w:pStyle w:val="29"/>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21.6</w:t>
            </w:r>
          </w:p>
        </w:tc>
        <w:tc>
          <w:tcPr>
            <w:tcW w:w="969" w:type="dxa"/>
            <w:vAlign w:val="center"/>
          </w:tcPr>
          <w:p w14:paraId="131A2834">
            <w:pPr>
              <w:jc w:val="center"/>
              <w:rPr>
                <w:rFonts w:hint="default" w:eastAsia="宋体"/>
                <w:color w:val="auto"/>
                <w:szCs w:val="22"/>
                <w:highlight w:val="none"/>
                <w:lang w:val="en-US" w:eastAsia="zh-CN"/>
              </w:rPr>
            </w:pPr>
            <w:r>
              <w:rPr>
                <w:rFonts w:hint="eastAsia"/>
                <w:color w:val="auto"/>
                <w:szCs w:val="22"/>
                <w:highlight w:val="none"/>
                <w:lang w:val="en-US" w:eastAsia="zh-CN"/>
              </w:rPr>
              <w:t>+3</w:t>
            </w:r>
          </w:p>
        </w:tc>
      </w:tr>
      <w:tr w14:paraId="014E5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419CD240">
            <w:pPr>
              <w:pStyle w:val="57"/>
              <w:spacing w:beforeLines="0" w:afterLines="0" w:line="240" w:lineRule="auto"/>
              <w:rPr>
                <w:rFonts w:hint="eastAsia" w:hAnsi="宋体" w:cs="宋体"/>
                <w:snapToGrid w:val="0"/>
                <w:color w:val="auto"/>
                <w:kern w:val="21"/>
                <w:szCs w:val="21"/>
                <w:highlight w:val="none"/>
              </w:rPr>
            </w:pPr>
          </w:p>
        </w:tc>
        <w:tc>
          <w:tcPr>
            <w:tcW w:w="1850" w:type="dxa"/>
            <w:gridSpan w:val="2"/>
            <w:vAlign w:val="center"/>
          </w:tcPr>
          <w:p w14:paraId="6AB98C74">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下脚料</w:t>
            </w:r>
          </w:p>
        </w:tc>
        <w:tc>
          <w:tcPr>
            <w:tcW w:w="1701" w:type="dxa"/>
            <w:vAlign w:val="center"/>
          </w:tcPr>
          <w:p w14:paraId="11D46D13">
            <w:pPr>
              <w:jc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0.2</w:t>
            </w:r>
          </w:p>
        </w:tc>
        <w:tc>
          <w:tcPr>
            <w:tcW w:w="1276" w:type="dxa"/>
            <w:vAlign w:val="center"/>
          </w:tcPr>
          <w:p w14:paraId="79FEAF93">
            <w:pPr>
              <w:jc w:val="center"/>
              <w:rPr>
                <w:rFonts w:hint="default" w:eastAsia="宋体"/>
                <w:color w:val="auto"/>
                <w:kern w:val="0"/>
                <w:szCs w:val="21"/>
                <w:highlight w:val="none"/>
                <w:lang w:val="en-US" w:eastAsia="zh-CN" w:bidi="ar"/>
              </w:rPr>
            </w:pPr>
            <w:r>
              <w:rPr>
                <w:rFonts w:hint="eastAsia" w:cs="Times New Roman"/>
                <w:color w:val="auto"/>
                <w:kern w:val="0"/>
                <w:sz w:val="21"/>
                <w:szCs w:val="21"/>
                <w:highlight w:val="none"/>
                <w:lang w:val="en-US" w:eastAsia="zh-CN" w:bidi="ar-SA"/>
              </w:rPr>
              <w:t>/</w:t>
            </w:r>
          </w:p>
        </w:tc>
        <w:tc>
          <w:tcPr>
            <w:tcW w:w="1701" w:type="dxa"/>
            <w:vAlign w:val="center"/>
          </w:tcPr>
          <w:p w14:paraId="7A7BA08B">
            <w:pPr>
              <w:jc w:val="center"/>
              <w:rPr>
                <w:rFonts w:hint="eastAsia"/>
                <w:color w:val="auto"/>
                <w:kern w:val="0"/>
                <w:szCs w:val="21"/>
                <w:highlight w:val="none"/>
                <w:lang w:bidi="ar"/>
              </w:rPr>
            </w:pPr>
            <w:r>
              <w:rPr>
                <w:rFonts w:hint="eastAsia"/>
                <w:color w:val="auto"/>
                <w:szCs w:val="21"/>
                <w:highlight w:val="none"/>
                <w:lang w:val="en-US" w:eastAsia="zh-CN"/>
              </w:rPr>
              <w:t>/</w:t>
            </w:r>
          </w:p>
        </w:tc>
        <w:tc>
          <w:tcPr>
            <w:tcW w:w="1559" w:type="dxa"/>
            <w:vAlign w:val="center"/>
          </w:tcPr>
          <w:p w14:paraId="6C7F6F03">
            <w:pPr>
              <w:jc w:val="center"/>
              <w:rPr>
                <w:rFonts w:hint="default" w:eastAsia="宋体"/>
                <w:color w:val="auto"/>
                <w:szCs w:val="22"/>
                <w:highlight w:val="none"/>
                <w:lang w:val="en-US" w:eastAsia="zh-CN"/>
              </w:rPr>
            </w:pPr>
            <w:r>
              <w:rPr>
                <w:rFonts w:hint="eastAsia"/>
                <w:color w:val="auto"/>
                <w:szCs w:val="22"/>
                <w:highlight w:val="none"/>
                <w:lang w:val="en-US" w:eastAsia="zh-CN"/>
              </w:rPr>
              <w:t>/</w:t>
            </w:r>
          </w:p>
        </w:tc>
        <w:tc>
          <w:tcPr>
            <w:tcW w:w="1761" w:type="dxa"/>
            <w:vAlign w:val="center"/>
          </w:tcPr>
          <w:p w14:paraId="3AC5FCB6">
            <w:pPr>
              <w:jc w:val="center"/>
              <w:rPr>
                <w:rFonts w:hint="eastAsia"/>
                <w:color w:val="auto"/>
                <w:kern w:val="0"/>
                <w:szCs w:val="21"/>
                <w:highlight w:val="none"/>
                <w:lang w:bidi="ar"/>
              </w:rPr>
            </w:pPr>
            <w:r>
              <w:rPr>
                <w:rFonts w:hint="eastAsia"/>
                <w:color w:val="auto"/>
                <w:szCs w:val="21"/>
                <w:highlight w:val="none"/>
                <w:lang w:val="en-US" w:eastAsia="zh-CN"/>
              </w:rPr>
              <w:t>/</w:t>
            </w:r>
          </w:p>
        </w:tc>
        <w:tc>
          <w:tcPr>
            <w:tcW w:w="1816" w:type="dxa"/>
            <w:vAlign w:val="center"/>
          </w:tcPr>
          <w:p w14:paraId="5679E91F">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w:t>
            </w:r>
          </w:p>
        </w:tc>
        <w:tc>
          <w:tcPr>
            <w:tcW w:w="969" w:type="dxa"/>
            <w:vAlign w:val="center"/>
          </w:tcPr>
          <w:p w14:paraId="70DC68C7">
            <w:pPr>
              <w:jc w:val="center"/>
              <w:rPr>
                <w:rFonts w:hint="default" w:eastAsia="宋体"/>
                <w:color w:val="auto"/>
                <w:szCs w:val="22"/>
                <w:highlight w:val="none"/>
                <w:lang w:val="en-US" w:eastAsia="zh-CN"/>
              </w:rPr>
            </w:pPr>
            <w:r>
              <w:rPr>
                <w:rFonts w:hint="eastAsia"/>
                <w:color w:val="auto"/>
                <w:szCs w:val="22"/>
                <w:highlight w:val="none"/>
                <w:lang w:val="en-US" w:eastAsia="zh-CN"/>
              </w:rPr>
              <w:t>0</w:t>
            </w:r>
          </w:p>
        </w:tc>
      </w:tr>
      <w:tr w14:paraId="3C579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restart"/>
            <w:vAlign w:val="center"/>
          </w:tcPr>
          <w:p w14:paraId="7B7BADE7">
            <w:pPr>
              <w:pStyle w:val="57"/>
              <w:spacing w:beforeLines="0" w:afterLines="0" w:line="240" w:lineRule="auto"/>
              <w:rPr>
                <w:rFonts w:ascii="Times New Roman"/>
                <w:color w:val="auto"/>
                <w:kern w:val="2"/>
                <w:szCs w:val="21"/>
                <w:highlight w:val="none"/>
              </w:rPr>
            </w:pPr>
            <w:bookmarkStart w:id="40" w:name="_Toc1800"/>
            <w:bookmarkStart w:id="41" w:name="_Toc6887"/>
            <w:r>
              <w:rPr>
                <w:rFonts w:hint="eastAsia" w:ascii="Times New Roman"/>
                <w:color w:val="auto"/>
                <w:kern w:val="2"/>
                <w:szCs w:val="21"/>
                <w:highlight w:val="none"/>
              </w:rPr>
              <w:t>危险废物</w:t>
            </w:r>
          </w:p>
        </w:tc>
        <w:tc>
          <w:tcPr>
            <w:tcW w:w="1850" w:type="dxa"/>
            <w:gridSpan w:val="2"/>
            <w:vAlign w:val="center"/>
          </w:tcPr>
          <w:p w14:paraId="1A373D96">
            <w:pPr>
              <w:adjustRightInd w:val="0"/>
              <w:snapToGrid w:val="0"/>
              <w:jc w:val="center"/>
              <w:rPr>
                <w:rFonts w:hint="default"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槽渣</w:t>
            </w:r>
          </w:p>
        </w:tc>
        <w:tc>
          <w:tcPr>
            <w:tcW w:w="1701" w:type="dxa"/>
            <w:vAlign w:val="center"/>
          </w:tcPr>
          <w:p w14:paraId="4A908387">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50</w:t>
            </w:r>
          </w:p>
        </w:tc>
        <w:tc>
          <w:tcPr>
            <w:tcW w:w="1276" w:type="dxa"/>
            <w:vAlign w:val="center"/>
          </w:tcPr>
          <w:p w14:paraId="448D7AA1">
            <w:pPr>
              <w:jc w:val="center"/>
              <w:rPr>
                <w:color w:val="auto"/>
                <w:szCs w:val="21"/>
                <w:highlight w:val="none"/>
              </w:rPr>
            </w:pPr>
            <w:r>
              <w:rPr>
                <w:rFonts w:hint="eastAsia"/>
                <w:color w:val="auto"/>
                <w:szCs w:val="21"/>
                <w:highlight w:val="none"/>
                <w:lang w:val="en-US" w:eastAsia="zh-CN"/>
              </w:rPr>
              <w:t>/</w:t>
            </w:r>
          </w:p>
        </w:tc>
        <w:tc>
          <w:tcPr>
            <w:tcW w:w="1701" w:type="dxa"/>
            <w:vAlign w:val="center"/>
          </w:tcPr>
          <w:p w14:paraId="13624196">
            <w:pPr>
              <w:jc w:val="center"/>
              <w:rPr>
                <w:color w:val="auto"/>
                <w:szCs w:val="21"/>
                <w:highlight w:val="none"/>
              </w:rPr>
            </w:pPr>
            <w:r>
              <w:rPr>
                <w:rFonts w:hint="eastAsia"/>
                <w:color w:val="auto"/>
                <w:szCs w:val="21"/>
                <w:highlight w:val="none"/>
                <w:lang w:val="en-US" w:eastAsia="zh-CN"/>
              </w:rPr>
              <w:t>/</w:t>
            </w:r>
          </w:p>
        </w:tc>
        <w:tc>
          <w:tcPr>
            <w:tcW w:w="1559" w:type="dxa"/>
            <w:vAlign w:val="center"/>
          </w:tcPr>
          <w:p w14:paraId="4FFD9815">
            <w:pPr>
              <w:jc w:val="center"/>
              <w:rPr>
                <w:rFonts w:hint="default" w:eastAsia="宋体"/>
                <w:color w:val="auto"/>
                <w:szCs w:val="22"/>
                <w:highlight w:val="none"/>
                <w:lang w:val="en-US" w:eastAsia="zh-CN"/>
              </w:rPr>
            </w:pPr>
            <w:r>
              <w:rPr>
                <w:rFonts w:hint="eastAsia"/>
                <w:color w:val="auto"/>
                <w:szCs w:val="22"/>
                <w:highlight w:val="none"/>
                <w:lang w:val="en-US" w:eastAsia="zh-CN"/>
              </w:rPr>
              <w:t>0.5</w:t>
            </w:r>
          </w:p>
        </w:tc>
        <w:tc>
          <w:tcPr>
            <w:tcW w:w="1761" w:type="dxa"/>
            <w:vAlign w:val="center"/>
          </w:tcPr>
          <w:p w14:paraId="7F4E5B8C">
            <w:pPr>
              <w:jc w:val="center"/>
              <w:rPr>
                <w:color w:val="auto"/>
                <w:szCs w:val="21"/>
                <w:highlight w:val="none"/>
              </w:rPr>
            </w:pPr>
            <w:r>
              <w:rPr>
                <w:rFonts w:hint="eastAsia"/>
                <w:color w:val="auto"/>
                <w:szCs w:val="21"/>
                <w:highlight w:val="none"/>
                <w:lang w:val="en-US" w:eastAsia="zh-CN"/>
              </w:rPr>
              <w:t>/</w:t>
            </w:r>
          </w:p>
        </w:tc>
        <w:tc>
          <w:tcPr>
            <w:tcW w:w="1816" w:type="dxa"/>
            <w:vAlign w:val="center"/>
          </w:tcPr>
          <w:p w14:paraId="75135BFB">
            <w:pPr>
              <w:jc w:val="center"/>
              <w:rPr>
                <w:rFonts w:hint="default" w:eastAsia="宋体"/>
                <w:color w:val="auto"/>
                <w:szCs w:val="22"/>
                <w:highlight w:val="none"/>
                <w:lang w:val="en-US" w:eastAsia="zh-CN"/>
              </w:rPr>
            </w:pPr>
            <w:r>
              <w:rPr>
                <w:rFonts w:hint="eastAsia"/>
                <w:color w:val="auto"/>
                <w:szCs w:val="22"/>
                <w:highlight w:val="none"/>
                <w:lang w:val="en-US" w:eastAsia="zh-CN"/>
              </w:rPr>
              <w:t>50.5</w:t>
            </w:r>
          </w:p>
        </w:tc>
        <w:tc>
          <w:tcPr>
            <w:tcW w:w="969" w:type="dxa"/>
            <w:vAlign w:val="center"/>
          </w:tcPr>
          <w:p w14:paraId="0433EA74">
            <w:pPr>
              <w:jc w:val="center"/>
              <w:rPr>
                <w:rFonts w:hint="default" w:eastAsia="宋体"/>
                <w:color w:val="auto"/>
                <w:szCs w:val="22"/>
                <w:highlight w:val="none"/>
                <w:lang w:val="en-US" w:eastAsia="zh-CN"/>
              </w:rPr>
            </w:pPr>
            <w:r>
              <w:rPr>
                <w:rFonts w:hint="eastAsia"/>
                <w:color w:val="auto"/>
                <w:szCs w:val="22"/>
                <w:highlight w:val="none"/>
                <w:lang w:val="en-US" w:eastAsia="zh-CN"/>
              </w:rPr>
              <w:t>+0.5</w:t>
            </w:r>
          </w:p>
        </w:tc>
      </w:tr>
      <w:tr w14:paraId="1FE39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4E9444D7">
            <w:pPr>
              <w:pStyle w:val="57"/>
              <w:spacing w:beforeLines="0" w:afterLines="0" w:line="240" w:lineRule="auto"/>
              <w:rPr>
                <w:rFonts w:hint="eastAsia" w:ascii="Times New Roman"/>
                <w:color w:val="auto"/>
                <w:kern w:val="2"/>
                <w:szCs w:val="21"/>
                <w:highlight w:val="none"/>
              </w:rPr>
            </w:pPr>
          </w:p>
        </w:tc>
        <w:tc>
          <w:tcPr>
            <w:tcW w:w="1850" w:type="dxa"/>
            <w:gridSpan w:val="2"/>
            <w:vAlign w:val="center"/>
          </w:tcPr>
          <w:p w14:paraId="19D6BE7D">
            <w:pPr>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Cs w:val="21"/>
                <w:highlight w:val="none"/>
                <w:lang w:val="en-US" w:eastAsia="zh-CN"/>
              </w:rPr>
              <w:t>废布袋</w:t>
            </w:r>
          </w:p>
        </w:tc>
        <w:tc>
          <w:tcPr>
            <w:tcW w:w="1701" w:type="dxa"/>
            <w:vAlign w:val="center"/>
          </w:tcPr>
          <w:p w14:paraId="1BE9867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276" w:type="dxa"/>
            <w:vAlign w:val="center"/>
          </w:tcPr>
          <w:p w14:paraId="08290A6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701" w:type="dxa"/>
            <w:vAlign w:val="center"/>
          </w:tcPr>
          <w:p w14:paraId="3FA5A53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559" w:type="dxa"/>
            <w:vAlign w:val="center"/>
          </w:tcPr>
          <w:p w14:paraId="11D5287E">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0.05</w:t>
            </w:r>
          </w:p>
        </w:tc>
        <w:tc>
          <w:tcPr>
            <w:tcW w:w="1761" w:type="dxa"/>
            <w:vAlign w:val="center"/>
          </w:tcPr>
          <w:p w14:paraId="4E384E1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816" w:type="dxa"/>
            <w:vAlign w:val="center"/>
          </w:tcPr>
          <w:p w14:paraId="5C65B8A7">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0.05</w:t>
            </w:r>
          </w:p>
        </w:tc>
        <w:tc>
          <w:tcPr>
            <w:tcW w:w="969" w:type="dxa"/>
            <w:vAlign w:val="center"/>
          </w:tcPr>
          <w:p w14:paraId="629E7DE7">
            <w:pPr>
              <w:jc w:val="center"/>
              <w:rPr>
                <w:rFonts w:hint="eastAsia"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+0.05</w:t>
            </w:r>
          </w:p>
        </w:tc>
      </w:tr>
      <w:tr w14:paraId="683EA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5B944060">
            <w:pPr>
              <w:pStyle w:val="57"/>
              <w:spacing w:beforeLines="0" w:afterLines="0" w:line="240" w:lineRule="auto"/>
              <w:rPr>
                <w:rFonts w:hint="eastAsia" w:ascii="Times New Roman"/>
                <w:color w:val="auto"/>
                <w:kern w:val="2"/>
                <w:szCs w:val="21"/>
                <w:highlight w:val="none"/>
              </w:rPr>
            </w:pPr>
          </w:p>
        </w:tc>
        <w:tc>
          <w:tcPr>
            <w:tcW w:w="1850" w:type="dxa"/>
            <w:gridSpan w:val="2"/>
            <w:vAlign w:val="center"/>
          </w:tcPr>
          <w:p w14:paraId="3C170DDF">
            <w:pPr>
              <w:adjustRightInd w:val="0"/>
              <w:snapToGrid w:val="0"/>
              <w:jc w:val="center"/>
              <w:rPr>
                <w:rFonts w:hint="eastAsia" w:ascii="Times New Roman" w:hAnsi="Times New Roman" w:eastAsiaTheme="minorEastAsia" w:cstheme="minorBidi"/>
                <w:color w:val="auto"/>
                <w:kern w:val="2"/>
                <w:sz w:val="21"/>
                <w:szCs w:val="21"/>
                <w:highlight w:val="none"/>
                <w:lang w:val="en-US" w:eastAsia="zh-CN" w:bidi="ar-SA"/>
              </w:rPr>
            </w:pPr>
            <w:r>
              <w:rPr>
                <w:rFonts w:hint="eastAsia" w:eastAsiaTheme="minorEastAsia" w:cstheme="minorBidi"/>
                <w:color w:val="auto"/>
                <w:kern w:val="2"/>
                <w:sz w:val="21"/>
                <w:szCs w:val="21"/>
                <w:highlight w:val="none"/>
                <w:lang w:val="en-US" w:eastAsia="zh-CN" w:bidi="ar-SA"/>
              </w:rPr>
              <w:t>废活性炭</w:t>
            </w:r>
          </w:p>
        </w:tc>
        <w:tc>
          <w:tcPr>
            <w:tcW w:w="1701" w:type="dxa"/>
            <w:vAlign w:val="center"/>
          </w:tcPr>
          <w:p w14:paraId="5A083002">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w:t>
            </w:r>
          </w:p>
        </w:tc>
        <w:tc>
          <w:tcPr>
            <w:tcW w:w="1276" w:type="dxa"/>
            <w:vAlign w:val="center"/>
          </w:tcPr>
          <w:p w14:paraId="29E26FDC">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01" w:type="dxa"/>
            <w:vAlign w:val="center"/>
          </w:tcPr>
          <w:p w14:paraId="7AF94D3A">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559" w:type="dxa"/>
            <w:vAlign w:val="center"/>
          </w:tcPr>
          <w:p w14:paraId="6533231C">
            <w:pPr>
              <w:jc w:val="center"/>
              <w:rPr>
                <w:rFonts w:hint="default" w:eastAsia="宋体"/>
                <w:color w:val="auto"/>
                <w:szCs w:val="22"/>
                <w:highlight w:val="none"/>
                <w:lang w:val="en-US" w:eastAsia="zh-CN"/>
              </w:rPr>
            </w:pPr>
            <w:r>
              <w:rPr>
                <w:rFonts w:hint="eastAsia"/>
                <w:color w:val="auto"/>
                <w:szCs w:val="22"/>
                <w:highlight w:val="none"/>
                <w:lang w:val="en-US" w:eastAsia="zh-CN"/>
              </w:rPr>
              <w:t>4.2369</w:t>
            </w:r>
          </w:p>
        </w:tc>
        <w:tc>
          <w:tcPr>
            <w:tcW w:w="1761" w:type="dxa"/>
            <w:vAlign w:val="center"/>
          </w:tcPr>
          <w:p w14:paraId="6E809A43">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816" w:type="dxa"/>
            <w:vAlign w:val="center"/>
          </w:tcPr>
          <w:p w14:paraId="7C8E48E2">
            <w:pPr>
              <w:jc w:val="center"/>
              <w:rPr>
                <w:rFonts w:hint="default" w:eastAsia="宋体"/>
                <w:color w:val="auto"/>
                <w:szCs w:val="22"/>
                <w:highlight w:val="none"/>
                <w:lang w:val="en-US" w:eastAsia="zh-CN"/>
              </w:rPr>
            </w:pPr>
            <w:r>
              <w:rPr>
                <w:rFonts w:hint="eastAsia"/>
                <w:color w:val="auto"/>
                <w:szCs w:val="22"/>
                <w:highlight w:val="none"/>
                <w:lang w:val="en-US" w:eastAsia="zh-CN"/>
              </w:rPr>
              <w:t>6.2369</w:t>
            </w:r>
          </w:p>
        </w:tc>
        <w:tc>
          <w:tcPr>
            <w:tcW w:w="969" w:type="dxa"/>
            <w:vAlign w:val="center"/>
          </w:tcPr>
          <w:p w14:paraId="06E5F996">
            <w:pPr>
              <w:jc w:val="center"/>
              <w:rPr>
                <w:rFonts w:hint="default" w:eastAsia="宋体"/>
                <w:color w:val="auto"/>
                <w:szCs w:val="22"/>
                <w:highlight w:val="none"/>
                <w:lang w:val="en-US" w:eastAsia="zh-CN"/>
              </w:rPr>
            </w:pPr>
            <w:r>
              <w:rPr>
                <w:rFonts w:hint="eastAsia"/>
                <w:color w:val="auto"/>
                <w:szCs w:val="22"/>
                <w:highlight w:val="none"/>
                <w:lang w:val="en-US" w:eastAsia="zh-CN"/>
              </w:rPr>
              <w:t>+4.2369</w:t>
            </w:r>
          </w:p>
        </w:tc>
      </w:tr>
      <w:tr w14:paraId="27E86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4FCF13FC">
            <w:pPr>
              <w:pStyle w:val="57"/>
              <w:spacing w:beforeLines="0" w:afterLines="0" w:line="240" w:lineRule="auto"/>
              <w:rPr>
                <w:rFonts w:hint="eastAsia" w:ascii="Times New Roman"/>
                <w:color w:val="auto"/>
                <w:kern w:val="2"/>
                <w:szCs w:val="21"/>
                <w:highlight w:val="none"/>
              </w:rPr>
            </w:pPr>
          </w:p>
        </w:tc>
        <w:tc>
          <w:tcPr>
            <w:tcW w:w="1850" w:type="dxa"/>
            <w:gridSpan w:val="2"/>
            <w:vAlign w:val="center"/>
          </w:tcPr>
          <w:p w14:paraId="3D869075">
            <w:pPr>
              <w:adjustRightInd w:val="0"/>
              <w:snapToGrid w:val="0"/>
              <w:jc w:val="center"/>
              <w:rPr>
                <w:rFonts w:hint="eastAsia" w:ascii="Times New Roman" w:hAnsiTheme="minorHAnsi" w:eastAsiaTheme="minorEastAsia" w:cstheme="minorBidi"/>
                <w:color w:val="auto"/>
                <w:kern w:val="2"/>
                <w:sz w:val="21"/>
                <w:szCs w:val="21"/>
                <w:highlight w:val="none"/>
                <w:lang w:val="en-US" w:eastAsia="zh-CN" w:bidi="ar-SA"/>
              </w:rPr>
            </w:pPr>
            <w:r>
              <w:rPr>
                <w:rFonts w:hint="eastAsia" w:hAnsiTheme="minorHAnsi" w:eastAsiaTheme="minorEastAsia" w:cstheme="minorBidi"/>
                <w:color w:val="auto"/>
                <w:kern w:val="2"/>
                <w:sz w:val="21"/>
                <w:szCs w:val="21"/>
                <w:highlight w:val="none"/>
                <w:lang w:val="en-US" w:eastAsia="zh-CN" w:bidi="ar-SA"/>
              </w:rPr>
              <w:t>污泥</w:t>
            </w:r>
          </w:p>
        </w:tc>
        <w:tc>
          <w:tcPr>
            <w:tcW w:w="1701" w:type="dxa"/>
            <w:vAlign w:val="center"/>
          </w:tcPr>
          <w:p w14:paraId="1C29DFEF">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50</w:t>
            </w:r>
          </w:p>
        </w:tc>
        <w:tc>
          <w:tcPr>
            <w:tcW w:w="1276" w:type="dxa"/>
            <w:vAlign w:val="center"/>
          </w:tcPr>
          <w:p w14:paraId="55B3814A">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01" w:type="dxa"/>
            <w:vAlign w:val="center"/>
          </w:tcPr>
          <w:p w14:paraId="1BA749AC">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559" w:type="dxa"/>
            <w:vAlign w:val="center"/>
          </w:tcPr>
          <w:p w14:paraId="23FE2E3F">
            <w:pPr>
              <w:jc w:val="center"/>
              <w:rPr>
                <w:rFonts w:hint="default" w:eastAsia="宋体"/>
                <w:color w:val="auto"/>
                <w:szCs w:val="22"/>
                <w:highlight w:val="none"/>
                <w:lang w:val="en-US" w:eastAsia="zh-CN"/>
              </w:rPr>
            </w:pPr>
            <w:r>
              <w:rPr>
                <w:rFonts w:hint="eastAsia"/>
                <w:color w:val="auto"/>
                <w:szCs w:val="22"/>
                <w:highlight w:val="none"/>
                <w:lang w:val="en-US" w:eastAsia="zh-CN"/>
              </w:rPr>
              <w:t>15</w:t>
            </w:r>
          </w:p>
        </w:tc>
        <w:tc>
          <w:tcPr>
            <w:tcW w:w="1761" w:type="dxa"/>
            <w:vAlign w:val="center"/>
          </w:tcPr>
          <w:p w14:paraId="78FA1587">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816" w:type="dxa"/>
            <w:vAlign w:val="center"/>
          </w:tcPr>
          <w:p w14:paraId="0A97A673">
            <w:pPr>
              <w:jc w:val="center"/>
              <w:rPr>
                <w:rFonts w:hint="default" w:eastAsia="宋体"/>
                <w:color w:val="auto"/>
                <w:szCs w:val="22"/>
                <w:highlight w:val="none"/>
                <w:lang w:val="en-US" w:eastAsia="zh-CN"/>
              </w:rPr>
            </w:pPr>
            <w:r>
              <w:rPr>
                <w:rFonts w:hint="eastAsia"/>
                <w:color w:val="auto"/>
                <w:szCs w:val="22"/>
                <w:highlight w:val="none"/>
                <w:lang w:val="en-US" w:eastAsia="zh-CN"/>
              </w:rPr>
              <w:t>65</w:t>
            </w:r>
          </w:p>
        </w:tc>
        <w:tc>
          <w:tcPr>
            <w:tcW w:w="969" w:type="dxa"/>
            <w:vAlign w:val="center"/>
          </w:tcPr>
          <w:p w14:paraId="473EF06C">
            <w:pPr>
              <w:jc w:val="center"/>
              <w:rPr>
                <w:rFonts w:hint="default" w:eastAsia="宋体"/>
                <w:color w:val="auto"/>
                <w:szCs w:val="22"/>
                <w:highlight w:val="none"/>
                <w:lang w:val="en-US" w:eastAsia="zh-CN"/>
              </w:rPr>
            </w:pPr>
            <w:r>
              <w:rPr>
                <w:rFonts w:hint="eastAsia"/>
                <w:color w:val="auto"/>
                <w:szCs w:val="22"/>
                <w:highlight w:val="none"/>
                <w:lang w:val="en-US" w:eastAsia="zh-CN"/>
              </w:rPr>
              <w:t>15</w:t>
            </w:r>
          </w:p>
        </w:tc>
      </w:tr>
      <w:tr w14:paraId="60C67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732F4962">
            <w:pPr>
              <w:pStyle w:val="57"/>
              <w:spacing w:beforeLines="0" w:afterLines="0" w:line="240" w:lineRule="auto"/>
              <w:rPr>
                <w:rFonts w:hint="eastAsia" w:ascii="Times New Roman"/>
                <w:color w:val="auto"/>
                <w:kern w:val="2"/>
                <w:szCs w:val="21"/>
                <w:highlight w:val="none"/>
              </w:rPr>
            </w:pPr>
          </w:p>
        </w:tc>
        <w:tc>
          <w:tcPr>
            <w:tcW w:w="1850" w:type="dxa"/>
            <w:gridSpan w:val="2"/>
            <w:vAlign w:val="center"/>
          </w:tcPr>
          <w:p w14:paraId="706023D8">
            <w:pPr>
              <w:adjustRightInd w:val="0"/>
              <w:snapToGrid w:val="0"/>
              <w:jc w:val="center"/>
              <w:rPr>
                <w:rFonts w:hint="eastAsia" w:ascii="Times New Roman" w:hAnsiTheme="minorHAnsi" w:eastAsiaTheme="minorEastAsia" w:cstheme="minorBidi"/>
                <w:color w:val="auto"/>
                <w:kern w:val="2"/>
                <w:sz w:val="21"/>
                <w:szCs w:val="21"/>
                <w:highlight w:val="none"/>
                <w:lang w:val="en-US" w:eastAsia="zh-CN" w:bidi="ar-SA"/>
              </w:rPr>
            </w:pPr>
            <w:r>
              <w:rPr>
                <w:rFonts w:hint="eastAsia" w:hAnsiTheme="minorHAnsi" w:eastAsiaTheme="minorEastAsia" w:cstheme="minorBidi"/>
                <w:color w:val="auto"/>
                <w:kern w:val="2"/>
                <w:sz w:val="21"/>
                <w:szCs w:val="21"/>
                <w:highlight w:val="none"/>
                <w:lang w:val="en-US" w:eastAsia="zh-CN" w:bidi="ar-SA"/>
              </w:rPr>
              <w:t>废机油</w:t>
            </w:r>
          </w:p>
        </w:tc>
        <w:tc>
          <w:tcPr>
            <w:tcW w:w="1701" w:type="dxa"/>
            <w:vAlign w:val="center"/>
          </w:tcPr>
          <w:p w14:paraId="39F8226F">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c>
          <w:tcPr>
            <w:tcW w:w="1276" w:type="dxa"/>
            <w:vAlign w:val="center"/>
          </w:tcPr>
          <w:p w14:paraId="78A2FED1">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01" w:type="dxa"/>
            <w:vAlign w:val="center"/>
          </w:tcPr>
          <w:p w14:paraId="39560DDE">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559" w:type="dxa"/>
            <w:vAlign w:val="center"/>
          </w:tcPr>
          <w:p w14:paraId="10D5CCBF">
            <w:pPr>
              <w:jc w:val="center"/>
              <w:rPr>
                <w:rFonts w:hint="default" w:eastAsia="宋体"/>
                <w:color w:val="auto"/>
                <w:szCs w:val="22"/>
                <w:highlight w:val="none"/>
                <w:lang w:val="en-US" w:eastAsia="zh-CN"/>
              </w:rPr>
            </w:pPr>
            <w:r>
              <w:rPr>
                <w:rFonts w:hint="eastAsia"/>
                <w:color w:val="auto"/>
                <w:szCs w:val="22"/>
                <w:highlight w:val="none"/>
                <w:lang w:val="en-US" w:eastAsia="zh-CN"/>
              </w:rPr>
              <w:t>/</w:t>
            </w:r>
          </w:p>
        </w:tc>
        <w:tc>
          <w:tcPr>
            <w:tcW w:w="1761" w:type="dxa"/>
            <w:vAlign w:val="center"/>
          </w:tcPr>
          <w:p w14:paraId="5879C25C">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816" w:type="dxa"/>
            <w:vAlign w:val="center"/>
          </w:tcPr>
          <w:p w14:paraId="70557B7E">
            <w:pPr>
              <w:jc w:val="center"/>
              <w:rPr>
                <w:rFonts w:hint="default" w:eastAsia="宋体"/>
                <w:color w:val="auto"/>
                <w:szCs w:val="22"/>
                <w:highlight w:val="none"/>
                <w:lang w:val="en-US" w:eastAsia="zh-CN"/>
              </w:rPr>
            </w:pPr>
            <w:r>
              <w:rPr>
                <w:rFonts w:hint="eastAsia"/>
                <w:color w:val="auto"/>
                <w:szCs w:val="22"/>
                <w:highlight w:val="none"/>
                <w:lang w:val="en-US" w:eastAsia="zh-CN"/>
              </w:rPr>
              <w:t>10</w:t>
            </w:r>
          </w:p>
        </w:tc>
        <w:tc>
          <w:tcPr>
            <w:tcW w:w="969" w:type="dxa"/>
            <w:vAlign w:val="center"/>
          </w:tcPr>
          <w:p w14:paraId="1CEAEFE4">
            <w:pPr>
              <w:jc w:val="center"/>
              <w:rPr>
                <w:rFonts w:hint="default" w:eastAsia="宋体"/>
                <w:color w:val="auto"/>
                <w:szCs w:val="22"/>
                <w:highlight w:val="none"/>
                <w:lang w:val="en-US" w:eastAsia="zh-CN"/>
              </w:rPr>
            </w:pPr>
            <w:r>
              <w:rPr>
                <w:rFonts w:hint="eastAsia"/>
                <w:color w:val="auto"/>
                <w:szCs w:val="22"/>
                <w:highlight w:val="none"/>
                <w:lang w:val="en-US" w:eastAsia="zh-CN"/>
              </w:rPr>
              <w:t>0</w:t>
            </w:r>
          </w:p>
        </w:tc>
      </w:tr>
      <w:tr w14:paraId="234EC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0887F256">
            <w:pPr>
              <w:pStyle w:val="57"/>
              <w:spacing w:beforeLines="0" w:afterLines="0" w:line="240" w:lineRule="auto"/>
              <w:rPr>
                <w:rFonts w:hint="eastAsia" w:ascii="Times New Roman"/>
                <w:color w:val="auto"/>
                <w:kern w:val="2"/>
                <w:szCs w:val="21"/>
                <w:highlight w:val="none"/>
              </w:rPr>
            </w:pPr>
          </w:p>
        </w:tc>
        <w:tc>
          <w:tcPr>
            <w:tcW w:w="1850" w:type="dxa"/>
            <w:gridSpan w:val="2"/>
            <w:vAlign w:val="center"/>
          </w:tcPr>
          <w:p w14:paraId="28CAA672">
            <w:pPr>
              <w:adjustRightInd w:val="0"/>
              <w:snapToGrid w:val="0"/>
              <w:jc w:val="center"/>
              <w:rPr>
                <w:rFonts w:hint="eastAsia" w:ascii="Times New Roman" w:hAnsiTheme="minorHAnsi" w:eastAsiaTheme="minorEastAsia" w:cstheme="minorBidi"/>
                <w:color w:val="auto"/>
                <w:kern w:val="2"/>
                <w:sz w:val="21"/>
                <w:szCs w:val="21"/>
                <w:highlight w:val="none"/>
                <w:lang w:val="en-US" w:eastAsia="zh-CN" w:bidi="ar-SA"/>
              </w:rPr>
            </w:pPr>
            <w:r>
              <w:rPr>
                <w:rFonts w:hint="eastAsia" w:hAnsiTheme="minorHAnsi" w:eastAsiaTheme="minorEastAsia" w:cstheme="minorBidi"/>
                <w:color w:val="auto"/>
                <w:kern w:val="2"/>
                <w:sz w:val="21"/>
                <w:szCs w:val="21"/>
                <w:highlight w:val="none"/>
                <w:lang w:val="en-US" w:eastAsia="zh-CN" w:bidi="ar-SA"/>
              </w:rPr>
              <w:t>废乳化液</w:t>
            </w:r>
          </w:p>
        </w:tc>
        <w:tc>
          <w:tcPr>
            <w:tcW w:w="1701" w:type="dxa"/>
            <w:vAlign w:val="center"/>
          </w:tcPr>
          <w:p w14:paraId="3C8B90C1">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60</w:t>
            </w:r>
          </w:p>
        </w:tc>
        <w:tc>
          <w:tcPr>
            <w:tcW w:w="1276" w:type="dxa"/>
            <w:vAlign w:val="center"/>
          </w:tcPr>
          <w:p w14:paraId="6FF1A629">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01" w:type="dxa"/>
            <w:vAlign w:val="center"/>
          </w:tcPr>
          <w:p w14:paraId="72C5D024">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559" w:type="dxa"/>
            <w:vAlign w:val="center"/>
          </w:tcPr>
          <w:p w14:paraId="5B3704BC">
            <w:pPr>
              <w:jc w:val="center"/>
              <w:rPr>
                <w:rFonts w:hint="default" w:eastAsia="宋体"/>
                <w:color w:val="auto"/>
                <w:szCs w:val="22"/>
                <w:highlight w:val="none"/>
                <w:lang w:val="en-US" w:eastAsia="zh-CN"/>
              </w:rPr>
            </w:pPr>
            <w:r>
              <w:rPr>
                <w:rFonts w:hint="eastAsia"/>
                <w:color w:val="auto"/>
                <w:szCs w:val="22"/>
                <w:highlight w:val="none"/>
                <w:lang w:val="en-US" w:eastAsia="zh-CN"/>
              </w:rPr>
              <w:t>/</w:t>
            </w:r>
          </w:p>
        </w:tc>
        <w:tc>
          <w:tcPr>
            <w:tcW w:w="1761" w:type="dxa"/>
            <w:vAlign w:val="center"/>
          </w:tcPr>
          <w:p w14:paraId="59FF5FF3">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816" w:type="dxa"/>
            <w:vAlign w:val="center"/>
          </w:tcPr>
          <w:p w14:paraId="7A054550">
            <w:pPr>
              <w:jc w:val="center"/>
              <w:rPr>
                <w:rFonts w:hint="default" w:eastAsia="宋体"/>
                <w:color w:val="auto"/>
                <w:szCs w:val="22"/>
                <w:highlight w:val="none"/>
                <w:lang w:val="en-US" w:eastAsia="zh-CN"/>
              </w:rPr>
            </w:pPr>
            <w:r>
              <w:rPr>
                <w:rFonts w:hint="eastAsia"/>
                <w:color w:val="auto"/>
                <w:szCs w:val="22"/>
                <w:highlight w:val="none"/>
                <w:lang w:val="en-US" w:eastAsia="zh-CN"/>
              </w:rPr>
              <w:t>60</w:t>
            </w:r>
          </w:p>
        </w:tc>
        <w:tc>
          <w:tcPr>
            <w:tcW w:w="969" w:type="dxa"/>
            <w:vAlign w:val="center"/>
          </w:tcPr>
          <w:p w14:paraId="771D6749">
            <w:pPr>
              <w:jc w:val="center"/>
              <w:rPr>
                <w:rFonts w:hint="default" w:eastAsia="宋体"/>
                <w:color w:val="auto"/>
                <w:szCs w:val="22"/>
                <w:highlight w:val="none"/>
                <w:lang w:val="en-US" w:eastAsia="zh-CN"/>
              </w:rPr>
            </w:pPr>
            <w:r>
              <w:rPr>
                <w:rFonts w:hint="eastAsia"/>
                <w:color w:val="auto"/>
                <w:szCs w:val="22"/>
                <w:highlight w:val="none"/>
                <w:lang w:val="en-US" w:eastAsia="zh-CN"/>
              </w:rPr>
              <w:t>0</w:t>
            </w:r>
          </w:p>
        </w:tc>
      </w:tr>
      <w:tr w14:paraId="764A4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19353E0B">
            <w:pPr>
              <w:pStyle w:val="57"/>
              <w:spacing w:beforeLines="0" w:afterLines="0" w:line="240" w:lineRule="auto"/>
              <w:rPr>
                <w:rFonts w:ascii="Times New Roman"/>
                <w:color w:val="auto"/>
                <w:kern w:val="2"/>
                <w:szCs w:val="21"/>
                <w:highlight w:val="none"/>
              </w:rPr>
            </w:pPr>
          </w:p>
        </w:tc>
        <w:tc>
          <w:tcPr>
            <w:tcW w:w="1850" w:type="dxa"/>
            <w:gridSpan w:val="2"/>
            <w:vAlign w:val="center"/>
          </w:tcPr>
          <w:p w14:paraId="34918B4F">
            <w:pPr>
              <w:adjustRightInd w:val="0"/>
              <w:snapToGrid w:val="0"/>
              <w:jc w:val="center"/>
              <w:rPr>
                <w:rFonts w:hint="eastAsia" w:ascii="Times New Roman" w:hAnsiTheme="minorHAnsi" w:eastAsiaTheme="minorEastAsia" w:cstheme="minorBidi"/>
                <w:color w:val="auto"/>
                <w:kern w:val="2"/>
                <w:sz w:val="21"/>
                <w:szCs w:val="21"/>
                <w:highlight w:val="none"/>
                <w:lang w:val="en-US" w:eastAsia="zh-CN" w:bidi="ar-SA"/>
              </w:rPr>
            </w:pPr>
            <w:r>
              <w:rPr>
                <w:rFonts w:hint="eastAsia" w:hAnsiTheme="minorHAnsi" w:eastAsiaTheme="minorEastAsia" w:cstheme="minorBidi"/>
                <w:color w:val="auto"/>
                <w:kern w:val="2"/>
                <w:sz w:val="21"/>
                <w:szCs w:val="21"/>
                <w:highlight w:val="none"/>
                <w:lang w:val="en-US" w:eastAsia="zh-CN" w:bidi="ar-SA"/>
              </w:rPr>
              <w:t>废酸液</w:t>
            </w:r>
          </w:p>
        </w:tc>
        <w:tc>
          <w:tcPr>
            <w:tcW w:w="1701" w:type="dxa"/>
            <w:vAlign w:val="center"/>
          </w:tcPr>
          <w:p w14:paraId="763DAC38">
            <w:pPr>
              <w:pStyle w:val="29"/>
              <w:spacing w:after="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500</w:t>
            </w:r>
          </w:p>
        </w:tc>
        <w:tc>
          <w:tcPr>
            <w:tcW w:w="1276" w:type="dxa"/>
            <w:vAlign w:val="center"/>
          </w:tcPr>
          <w:p w14:paraId="20420C5D">
            <w:pPr>
              <w:jc w:val="center"/>
              <w:rPr>
                <w:color w:val="auto"/>
                <w:szCs w:val="21"/>
                <w:highlight w:val="none"/>
              </w:rPr>
            </w:pPr>
            <w:r>
              <w:rPr>
                <w:rFonts w:hint="eastAsia"/>
                <w:color w:val="auto"/>
                <w:szCs w:val="21"/>
                <w:highlight w:val="none"/>
                <w:lang w:val="en-US" w:eastAsia="zh-CN"/>
              </w:rPr>
              <w:t>/</w:t>
            </w:r>
          </w:p>
        </w:tc>
        <w:tc>
          <w:tcPr>
            <w:tcW w:w="1701" w:type="dxa"/>
            <w:vAlign w:val="center"/>
          </w:tcPr>
          <w:p w14:paraId="29522FD8">
            <w:pPr>
              <w:jc w:val="center"/>
              <w:rPr>
                <w:color w:val="auto"/>
                <w:szCs w:val="21"/>
                <w:highlight w:val="none"/>
              </w:rPr>
            </w:pPr>
            <w:r>
              <w:rPr>
                <w:rFonts w:hint="eastAsia"/>
                <w:color w:val="auto"/>
                <w:szCs w:val="21"/>
                <w:highlight w:val="none"/>
                <w:lang w:val="en-US" w:eastAsia="zh-CN"/>
              </w:rPr>
              <w:t>/</w:t>
            </w:r>
          </w:p>
        </w:tc>
        <w:tc>
          <w:tcPr>
            <w:tcW w:w="1559" w:type="dxa"/>
            <w:vAlign w:val="center"/>
          </w:tcPr>
          <w:p w14:paraId="10C5344D">
            <w:pPr>
              <w:jc w:val="center"/>
              <w:rPr>
                <w:rFonts w:hint="default" w:eastAsia="宋体"/>
                <w:color w:val="auto"/>
                <w:szCs w:val="22"/>
                <w:highlight w:val="none"/>
                <w:lang w:val="en-US" w:eastAsia="zh-CN"/>
              </w:rPr>
            </w:pPr>
            <w:r>
              <w:rPr>
                <w:rFonts w:hint="eastAsia"/>
                <w:color w:val="auto"/>
                <w:szCs w:val="22"/>
                <w:highlight w:val="none"/>
                <w:lang w:val="en-US" w:eastAsia="zh-CN"/>
              </w:rPr>
              <w:t>/</w:t>
            </w:r>
          </w:p>
        </w:tc>
        <w:tc>
          <w:tcPr>
            <w:tcW w:w="1761" w:type="dxa"/>
            <w:vAlign w:val="center"/>
          </w:tcPr>
          <w:p w14:paraId="6C6D762D">
            <w:pPr>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1816" w:type="dxa"/>
            <w:vAlign w:val="center"/>
          </w:tcPr>
          <w:p w14:paraId="2BA82745">
            <w:pPr>
              <w:jc w:val="center"/>
              <w:rPr>
                <w:rFonts w:hint="default" w:eastAsia="宋体"/>
                <w:color w:val="auto"/>
                <w:szCs w:val="22"/>
                <w:highlight w:val="none"/>
                <w:lang w:val="en-US" w:eastAsia="zh-CN"/>
              </w:rPr>
            </w:pPr>
            <w:r>
              <w:rPr>
                <w:rFonts w:hint="eastAsia"/>
                <w:color w:val="auto"/>
                <w:szCs w:val="22"/>
                <w:highlight w:val="none"/>
                <w:lang w:val="en-US" w:eastAsia="zh-CN"/>
              </w:rPr>
              <w:t>500</w:t>
            </w:r>
          </w:p>
        </w:tc>
        <w:tc>
          <w:tcPr>
            <w:tcW w:w="969" w:type="dxa"/>
            <w:vAlign w:val="center"/>
          </w:tcPr>
          <w:p w14:paraId="0BE4B925">
            <w:pPr>
              <w:jc w:val="center"/>
              <w:rPr>
                <w:rFonts w:hint="default" w:eastAsia="宋体"/>
                <w:color w:val="auto"/>
                <w:szCs w:val="22"/>
                <w:highlight w:val="none"/>
                <w:lang w:val="en-US" w:eastAsia="zh-CN"/>
              </w:rPr>
            </w:pPr>
            <w:r>
              <w:rPr>
                <w:rFonts w:hint="eastAsia"/>
                <w:color w:val="auto"/>
                <w:szCs w:val="22"/>
                <w:highlight w:val="none"/>
                <w:lang w:val="en-US" w:eastAsia="zh-CN"/>
              </w:rPr>
              <w:t>0</w:t>
            </w:r>
          </w:p>
        </w:tc>
      </w:tr>
      <w:tr w14:paraId="0A7F8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55" w:type="dxa"/>
            <w:vMerge w:val="continue"/>
            <w:vAlign w:val="center"/>
          </w:tcPr>
          <w:p w14:paraId="211B297F">
            <w:pPr>
              <w:pStyle w:val="57"/>
              <w:spacing w:beforeLines="0" w:afterLines="0" w:line="240" w:lineRule="auto"/>
              <w:rPr>
                <w:rFonts w:ascii="Times New Roman"/>
                <w:color w:val="auto"/>
                <w:kern w:val="2"/>
                <w:szCs w:val="21"/>
                <w:highlight w:val="none"/>
              </w:rPr>
            </w:pPr>
          </w:p>
        </w:tc>
        <w:tc>
          <w:tcPr>
            <w:tcW w:w="1850" w:type="dxa"/>
            <w:gridSpan w:val="2"/>
            <w:vAlign w:val="center"/>
          </w:tcPr>
          <w:p w14:paraId="71F62DC9">
            <w:pPr>
              <w:adjustRightInd w:val="0"/>
              <w:snapToGrid w:val="0"/>
              <w:jc w:val="center"/>
              <w:rPr>
                <w:rFonts w:hint="default" w:hAnsiTheme="minorHAnsi" w:eastAsiaTheme="minorEastAsia" w:cstheme="minorBidi"/>
                <w:color w:val="auto"/>
                <w:kern w:val="2"/>
                <w:sz w:val="21"/>
                <w:szCs w:val="21"/>
                <w:highlight w:val="none"/>
                <w:lang w:val="en-US" w:eastAsia="zh-CN" w:bidi="ar-SA"/>
              </w:rPr>
            </w:pPr>
            <w:r>
              <w:rPr>
                <w:rFonts w:hint="eastAsia" w:hAnsiTheme="minorHAnsi" w:eastAsiaTheme="minorEastAsia" w:cstheme="minorBidi"/>
                <w:color w:val="auto"/>
                <w:kern w:val="2"/>
                <w:sz w:val="21"/>
                <w:szCs w:val="21"/>
                <w:highlight w:val="none"/>
                <w:lang w:val="en-US" w:eastAsia="zh-CN" w:bidi="ar-SA"/>
              </w:rPr>
              <w:t>废油</w:t>
            </w:r>
          </w:p>
        </w:tc>
        <w:tc>
          <w:tcPr>
            <w:tcW w:w="1701" w:type="dxa"/>
            <w:vAlign w:val="center"/>
          </w:tcPr>
          <w:p w14:paraId="6CD4BD44">
            <w:pPr>
              <w:pStyle w:val="29"/>
              <w:spacing w:after="0"/>
              <w:ind w:left="0" w:lef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1276" w:type="dxa"/>
            <w:vAlign w:val="center"/>
          </w:tcPr>
          <w:p w14:paraId="3FE8BE8F">
            <w:pPr>
              <w:jc w:val="center"/>
              <w:rPr>
                <w:color w:val="auto"/>
                <w:szCs w:val="21"/>
                <w:highlight w:val="none"/>
              </w:rPr>
            </w:pPr>
            <w:r>
              <w:rPr>
                <w:rFonts w:hint="eastAsia"/>
                <w:color w:val="auto"/>
                <w:szCs w:val="21"/>
                <w:highlight w:val="none"/>
                <w:lang w:val="en-US" w:eastAsia="zh-CN"/>
              </w:rPr>
              <w:t>/</w:t>
            </w:r>
          </w:p>
        </w:tc>
        <w:tc>
          <w:tcPr>
            <w:tcW w:w="1701" w:type="dxa"/>
            <w:vAlign w:val="center"/>
          </w:tcPr>
          <w:p w14:paraId="4B7D666D">
            <w:pPr>
              <w:jc w:val="center"/>
              <w:rPr>
                <w:color w:val="auto"/>
                <w:szCs w:val="21"/>
                <w:highlight w:val="none"/>
              </w:rPr>
            </w:pPr>
            <w:r>
              <w:rPr>
                <w:rFonts w:hint="eastAsia"/>
                <w:color w:val="auto"/>
                <w:szCs w:val="21"/>
                <w:highlight w:val="none"/>
                <w:lang w:val="en-US" w:eastAsia="zh-CN"/>
              </w:rPr>
              <w:t>/</w:t>
            </w:r>
          </w:p>
        </w:tc>
        <w:tc>
          <w:tcPr>
            <w:tcW w:w="1559" w:type="dxa"/>
            <w:vAlign w:val="center"/>
          </w:tcPr>
          <w:p w14:paraId="51A55A7A">
            <w:pPr>
              <w:jc w:val="center"/>
              <w:rPr>
                <w:rFonts w:hint="default" w:eastAsia="宋体"/>
                <w:color w:val="auto"/>
                <w:szCs w:val="22"/>
                <w:highlight w:val="none"/>
                <w:lang w:val="en-US" w:eastAsia="zh-CN"/>
              </w:rPr>
            </w:pPr>
            <w:r>
              <w:rPr>
                <w:rFonts w:hint="eastAsia"/>
                <w:color w:val="auto"/>
                <w:szCs w:val="22"/>
                <w:highlight w:val="none"/>
                <w:lang w:val="en-US" w:eastAsia="zh-CN"/>
              </w:rPr>
              <w:t>0.05</w:t>
            </w:r>
          </w:p>
        </w:tc>
        <w:tc>
          <w:tcPr>
            <w:tcW w:w="1761" w:type="dxa"/>
            <w:vAlign w:val="center"/>
          </w:tcPr>
          <w:p w14:paraId="130B3607">
            <w:pPr>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1816" w:type="dxa"/>
            <w:vAlign w:val="center"/>
          </w:tcPr>
          <w:p w14:paraId="1D17118D">
            <w:pPr>
              <w:jc w:val="center"/>
              <w:rPr>
                <w:rFonts w:hint="default" w:eastAsia="宋体"/>
                <w:color w:val="auto"/>
                <w:szCs w:val="22"/>
                <w:highlight w:val="none"/>
                <w:lang w:val="en-US" w:eastAsia="zh-CN"/>
              </w:rPr>
            </w:pPr>
            <w:r>
              <w:rPr>
                <w:rFonts w:hint="eastAsia"/>
                <w:color w:val="auto"/>
                <w:szCs w:val="22"/>
                <w:highlight w:val="none"/>
                <w:lang w:val="en-US" w:eastAsia="zh-CN"/>
              </w:rPr>
              <w:t>0.05</w:t>
            </w:r>
          </w:p>
        </w:tc>
        <w:tc>
          <w:tcPr>
            <w:tcW w:w="969" w:type="dxa"/>
            <w:vAlign w:val="center"/>
          </w:tcPr>
          <w:p w14:paraId="25D85895">
            <w:pPr>
              <w:jc w:val="center"/>
              <w:rPr>
                <w:rFonts w:hint="default" w:eastAsia="宋体"/>
                <w:color w:val="auto"/>
                <w:szCs w:val="22"/>
                <w:highlight w:val="none"/>
                <w:lang w:val="en-US" w:eastAsia="zh-CN"/>
              </w:rPr>
            </w:pPr>
            <w:r>
              <w:rPr>
                <w:rFonts w:hint="eastAsia"/>
                <w:color w:val="auto"/>
                <w:szCs w:val="22"/>
                <w:highlight w:val="none"/>
                <w:lang w:val="en-US" w:eastAsia="zh-CN"/>
              </w:rPr>
              <w:t>+0.05</w:t>
            </w:r>
          </w:p>
        </w:tc>
      </w:tr>
    </w:tbl>
    <w:p w14:paraId="5E1BF675">
      <w:pPr>
        <w:pStyle w:val="57"/>
        <w:spacing w:before="192" w:beforeLines="80" w:after="24"/>
        <w:jc w:val="left"/>
        <w:outlineLvl w:val="0"/>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bookmarkEnd w:id="40"/>
      <w:bookmarkEnd w:id="41"/>
    </w:p>
    <w:p w14:paraId="3506595F">
      <w:pPr>
        <w:rPr>
          <w:color w:val="FF0000"/>
          <w:highlight w:val="none"/>
        </w:rPr>
      </w:pP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MingLiU">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F1E66">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AD214">
    <w:pPr>
      <w:pStyle w:val="18"/>
      <w:framePr w:wrap="around" w:vAnchor="text" w:hAnchor="margin" w:xAlign="center" w:y="1"/>
      <w:rPr>
        <w:rStyle w:val="35"/>
      </w:rPr>
    </w:pPr>
    <w:r>
      <w:fldChar w:fldCharType="begin"/>
    </w:r>
    <w:r>
      <w:rPr>
        <w:rStyle w:val="35"/>
      </w:rPr>
      <w:instrText xml:space="preserve">PAGE  </w:instrText>
    </w:r>
    <w:r>
      <w:fldChar w:fldCharType="end"/>
    </w:r>
  </w:p>
  <w:p w14:paraId="4508E9C2">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A65E2">
    <w:pPr>
      <w:pStyle w:val="1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08B2D">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B54709">
                          <w:pPr>
                            <w:pStyle w:val="18"/>
                            <w:rPr>
                              <w:rStyle w:val="35"/>
                              <w:rFonts w:ascii="宋体" w:hAnsi="宋体"/>
                              <w:sz w:val="28"/>
                              <w:szCs w:val="28"/>
                            </w:rPr>
                          </w:pPr>
                          <w:r>
                            <w:rPr>
                              <w:rStyle w:val="35"/>
                              <w:rFonts w:hint="eastAsia" w:ascii="宋体" w:hAnsi="宋体"/>
                              <w:sz w:val="28"/>
                              <w:szCs w:val="28"/>
                            </w:rPr>
                            <w:t>—</w:t>
                          </w:r>
                          <w:r>
                            <w:rPr>
                              <w:rStyle w:val="35"/>
                              <w:sz w:val="24"/>
                              <w:szCs w:val="24"/>
                            </w:rPr>
                            <w:fldChar w:fldCharType="begin"/>
                          </w:r>
                          <w:r>
                            <w:rPr>
                              <w:rStyle w:val="35"/>
                              <w:sz w:val="24"/>
                              <w:szCs w:val="24"/>
                            </w:rPr>
                            <w:instrText xml:space="preserve">PAGE  </w:instrText>
                          </w:r>
                          <w:r>
                            <w:rPr>
                              <w:rStyle w:val="35"/>
                              <w:sz w:val="24"/>
                              <w:szCs w:val="24"/>
                            </w:rPr>
                            <w:fldChar w:fldCharType="separate"/>
                          </w:r>
                          <w:r>
                            <w:rPr>
                              <w:rStyle w:val="35"/>
                              <w:sz w:val="24"/>
                              <w:szCs w:val="24"/>
                            </w:rPr>
                            <w:t>46</w:t>
                          </w:r>
                          <w:r>
                            <w:rPr>
                              <w:rStyle w:val="35"/>
                              <w:sz w:val="24"/>
                              <w:szCs w:val="24"/>
                            </w:rPr>
                            <w:fldChar w:fldCharType="end"/>
                          </w:r>
                          <w:r>
                            <w:rPr>
                              <w:rStyle w:val="35"/>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2050"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CH+wne2AEAALUDAAAOAAAAAAAAAAEAIAAA&#10;AB4BAABkcnMvZTJvRG9jLnhtbFBLBQYAAAAABgAGAFkBAABoBQAAAAA=&#10;">
              <v:fill on="f" focussize="0,0"/>
              <v:stroke on="f"/>
              <v:imagedata o:title=""/>
              <o:lock v:ext="edit" aspectratio="f"/>
              <v:textbox inset="0mm,0mm,0mm,0mm" style="mso-fit-shape-to-text:t;">
                <w:txbxContent>
                  <w:p w14:paraId="75B54709">
                    <w:pPr>
                      <w:pStyle w:val="18"/>
                      <w:rPr>
                        <w:rStyle w:val="35"/>
                        <w:rFonts w:ascii="宋体" w:hAnsi="宋体"/>
                        <w:sz w:val="28"/>
                        <w:szCs w:val="28"/>
                      </w:rPr>
                    </w:pPr>
                    <w:r>
                      <w:rPr>
                        <w:rStyle w:val="35"/>
                        <w:rFonts w:hint="eastAsia" w:ascii="宋体" w:hAnsi="宋体"/>
                        <w:sz w:val="28"/>
                        <w:szCs w:val="28"/>
                      </w:rPr>
                      <w:t>—</w:t>
                    </w:r>
                    <w:r>
                      <w:rPr>
                        <w:rStyle w:val="35"/>
                        <w:sz w:val="24"/>
                        <w:szCs w:val="24"/>
                      </w:rPr>
                      <w:fldChar w:fldCharType="begin"/>
                    </w:r>
                    <w:r>
                      <w:rPr>
                        <w:rStyle w:val="35"/>
                        <w:sz w:val="24"/>
                        <w:szCs w:val="24"/>
                      </w:rPr>
                      <w:instrText xml:space="preserve">PAGE  </w:instrText>
                    </w:r>
                    <w:r>
                      <w:rPr>
                        <w:rStyle w:val="35"/>
                        <w:sz w:val="24"/>
                        <w:szCs w:val="24"/>
                      </w:rPr>
                      <w:fldChar w:fldCharType="separate"/>
                    </w:r>
                    <w:r>
                      <w:rPr>
                        <w:rStyle w:val="35"/>
                        <w:sz w:val="24"/>
                        <w:szCs w:val="24"/>
                      </w:rPr>
                      <w:t>46</w:t>
                    </w:r>
                    <w:r>
                      <w:rPr>
                        <w:rStyle w:val="35"/>
                        <w:sz w:val="24"/>
                        <w:szCs w:val="24"/>
                      </w:rPr>
                      <w:fldChar w:fldCharType="end"/>
                    </w:r>
                    <w:r>
                      <w:rPr>
                        <w:rStyle w:val="35"/>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C033F">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276D81">
                          <w:pPr>
                            <w:pStyle w:val="18"/>
                            <w:rPr>
                              <w:rStyle w:val="35"/>
                              <w:rFonts w:ascii="宋体" w:hAnsi="宋体"/>
                              <w:sz w:val="28"/>
                              <w:szCs w:val="28"/>
                            </w:rPr>
                          </w:pPr>
                          <w:r>
                            <w:rPr>
                              <w:rStyle w:val="35"/>
                              <w:rFonts w:hint="eastAsia" w:ascii="宋体" w:hAnsi="宋体"/>
                              <w:sz w:val="28"/>
                              <w:szCs w:val="28"/>
                            </w:rPr>
                            <w:t>—</w:t>
                          </w:r>
                          <w:r>
                            <w:rPr>
                              <w:rStyle w:val="35"/>
                              <w:rFonts w:ascii="宋体" w:hAnsi="宋体"/>
                              <w:sz w:val="26"/>
                              <w:szCs w:val="26"/>
                            </w:rPr>
                            <w:fldChar w:fldCharType="begin"/>
                          </w:r>
                          <w:r>
                            <w:rPr>
                              <w:rStyle w:val="35"/>
                              <w:rFonts w:ascii="宋体" w:hAnsi="宋体"/>
                              <w:sz w:val="26"/>
                              <w:szCs w:val="26"/>
                            </w:rPr>
                            <w:instrText xml:space="preserve">PAGE  </w:instrText>
                          </w:r>
                          <w:r>
                            <w:rPr>
                              <w:rStyle w:val="35"/>
                              <w:rFonts w:ascii="宋体" w:hAnsi="宋体"/>
                              <w:sz w:val="26"/>
                              <w:szCs w:val="26"/>
                            </w:rPr>
                            <w:fldChar w:fldCharType="separate"/>
                          </w:r>
                          <w:r>
                            <w:rPr>
                              <w:rStyle w:val="35"/>
                              <w:rFonts w:ascii="宋体" w:hAnsi="宋体"/>
                              <w:sz w:val="26"/>
                              <w:szCs w:val="26"/>
                            </w:rPr>
                            <w:t>48</w:t>
                          </w:r>
                          <w:r>
                            <w:rPr>
                              <w:rStyle w:val="35"/>
                              <w:rFonts w:ascii="宋体" w:hAnsi="宋体"/>
                              <w:sz w:val="26"/>
                              <w:szCs w:val="26"/>
                            </w:rPr>
                            <w:fldChar w:fldCharType="end"/>
                          </w:r>
                          <w:r>
                            <w:rPr>
                              <w:rStyle w:val="35"/>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2052"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ovKQJtkBAAC1AwAADgAAAAAAAAABACAA&#10;AAAeAQAAZHJzL2Uyb0RvYy54bWxQSwUGAAAAAAYABgBZAQAAaQUAAAAA&#10;">
              <v:fill on="f" focussize="0,0"/>
              <v:stroke on="f"/>
              <v:imagedata o:title=""/>
              <o:lock v:ext="edit" aspectratio="f"/>
              <v:textbox inset="0mm,0mm,0mm,0mm" style="mso-fit-shape-to-text:t;">
                <w:txbxContent>
                  <w:p w14:paraId="72276D81">
                    <w:pPr>
                      <w:pStyle w:val="18"/>
                      <w:rPr>
                        <w:rStyle w:val="35"/>
                        <w:rFonts w:ascii="宋体" w:hAnsi="宋体"/>
                        <w:sz w:val="28"/>
                        <w:szCs w:val="28"/>
                      </w:rPr>
                    </w:pPr>
                    <w:r>
                      <w:rPr>
                        <w:rStyle w:val="35"/>
                        <w:rFonts w:hint="eastAsia" w:ascii="宋体" w:hAnsi="宋体"/>
                        <w:sz w:val="28"/>
                        <w:szCs w:val="28"/>
                      </w:rPr>
                      <w:t>—</w:t>
                    </w:r>
                    <w:r>
                      <w:rPr>
                        <w:rStyle w:val="35"/>
                        <w:rFonts w:ascii="宋体" w:hAnsi="宋体"/>
                        <w:sz w:val="26"/>
                        <w:szCs w:val="26"/>
                      </w:rPr>
                      <w:fldChar w:fldCharType="begin"/>
                    </w:r>
                    <w:r>
                      <w:rPr>
                        <w:rStyle w:val="35"/>
                        <w:rFonts w:ascii="宋体" w:hAnsi="宋体"/>
                        <w:sz w:val="26"/>
                        <w:szCs w:val="26"/>
                      </w:rPr>
                      <w:instrText xml:space="preserve">PAGE  </w:instrText>
                    </w:r>
                    <w:r>
                      <w:rPr>
                        <w:rStyle w:val="35"/>
                        <w:rFonts w:ascii="宋体" w:hAnsi="宋体"/>
                        <w:sz w:val="26"/>
                        <w:szCs w:val="26"/>
                      </w:rPr>
                      <w:fldChar w:fldCharType="separate"/>
                    </w:r>
                    <w:r>
                      <w:rPr>
                        <w:rStyle w:val="35"/>
                        <w:rFonts w:ascii="宋体" w:hAnsi="宋体"/>
                        <w:sz w:val="26"/>
                        <w:szCs w:val="26"/>
                      </w:rPr>
                      <w:t>48</w:t>
                    </w:r>
                    <w:r>
                      <w:rPr>
                        <w:rStyle w:val="35"/>
                        <w:rFonts w:ascii="宋体" w:hAnsi="宋体"/>
                        <w:sz w:val="26"/>
                        <w:szCs w:val="26"/>
                      </w:rPr>
                      <w:fldChar w:fldCharType="end"/>
                    </w:r>
                    <w:r>
                      <w:rPr>
                        <w:rStyle w:val="35"/>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1D5FA1"/>
    <w:multiLevelType w:val="singleLevel"/>
    <w:tmpl w:val="9D1D5FA1"/>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AA5D06EC"/>
    <w:multiLevelType w:val="singleLevel"/>
    <w:tmpl w:val="AA5D06EC"/>
    <w:lvl w:ilvl="0" w:tentative="0">
      <w:start w:val="3"/>
      <w:numFmt w:val="decimal"/>
      <w:suff w:val="nothing"/>
      <w:lvlText w:val="（%1）"/>
      <w:lvlJc w:val="left"/>
    </w:lvl>
  </w:abstractNum>
  <w:abstractNum w:abstractNumId="2">
    <w:nsid w:val="AF29E081"/>
    <w:multiLevelType w:val="singleLevel"/>
    <w:tmpl w:val="AF29E081"/>
    <w:lvl w:ilvl="0" w:tentative="0">
      <w:start w:val="1"/>
      <w:numFmt w:val="decimal"/>
      <w:suff w:val="nothing"/>
      <w:lvlText w:val="（%1）"/>
      <w:lvlJc w:val="left"/>
      <w:rPr>
        <w:rFonts w:hint="default"/>
        <w:sz w:val="21"/>
        <w:szCs w:val="21"/>
      </w:rPr>
    </w:lvl>
  </w:abstractNum>
  <w:abstractNum w:abstractNumId="3">
    <w:nsid w:val="BA731736"/>
    <w:multiLevelType w:val="singleLevel"/>
    <w:tmpl w:val="BA731736"/>
    <w:lvl w:ilvl="0" w:tentative="0">
      <w:start w:val="1"/>
      <w:numFmt w:val="decimal"/>
      <w:suff w:val="nothing"/>
      <w:lvlText w:val="（%1）"/>
      <w:lvlJc w:val="left"/>
    </w:lvl>
  </w:abstractNum>
  <w:abstractNum w:abstractNumId="4">
    <w:nsid w:val="DD5CC53F"/>
    <w:multiLevelType w:val="singleLevel"/>
    <w:tmpl w:val="DD5CC53F"/>
    <w:lvl w:ilvl="0" w:tentative="0">
      <w:start w:val="1"/>
      <w:numFmt w:val="decimal"/>
      <w:suff w:val="nothing"/>
      <w:lvlText w:val="（%1）"/>
      <w:lvlJc w:val="left"/>
    </w:lvl>
  </w:abstractNum>
  <w:abstractNum w:abstractNumId="5">
    <w:nsid w:val="3F41D002"/>
    <w:multiLevelType w:val="singleLevel"/>
    <w:tmpl w:val="3F41D002"/>
    <w:lvl w:ilvl="0" w:tentative="0">
      <w:start w:val="1"/>
      <w:numFmt w:val="lowerLetter"/>
      <w:lvlText w:val="%1."/>
      <w:lvlJc w:val="left"/>
      <w:pPr>
        <w:ind w:left="425" w:hanging="425"/>
      </w:pPr>
      <w:rPr>
        <w:rFonts w:hint="default"/>
        <w:sz w:val="21"/>
        <w:szCs w:val="21"/>
      </w:rPr>
    </w:lvl>
  </w:abstractNum>
  <w:abstractNum w:abstractNumId="6">
    <w:nsid w:val="7E148375"/>
    <w:multiLevelType w:val="singleLevel"/>
    <w:tmpl w:val="7E148375"/>
    <w:lvl w:ilvl="0" w:tentative="0">
      <w:start w:val="1"/>
      <w:numFmt w:val="decimal"/>
      <w:suff w:val="nothing"/>
      <w:lvlText w:val="%1、"/>
      <w:lvlJc w:val="left"/>
      <w:rPr>
        <w:rFonts w:hint="default" w:ascii="Times New Roman" w:hAnsi="Times New Roman" w:cs="Times New Roman"/>
        <w:sz w:val="21"/>
        <w:szCs w:val="21"/>
      </w:rPr>
    </w:lvl>
  </w:abstractNum>
  <w:num w:numId="1">
    <w:abstractNumId w:val="0"/>
  </w:num>
  <w:num w:numId="2">
    <w:abstractNumId w:val="6"/>
  </w:num>
  <w:num w:numId="3">
    <w:abstractNumId w:val="1"/>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kNGE4MTE0OWEyNmUxYjNlNzBiMGQ4YTYyMDFkY2QifQ=="/>
  </w:docVars>
  <w:rsids>
    <w:rsidRoot w:val="00172A27"/>
    <w:rsid w:val="000060B3"/>
    <w:rsid w:val="00043118"/>
    <w:rsid w:val="0004364B"/>
    <w:rsid w:val="000464FE"/>
    <w:rsid w:val="00061B1F"/>
    <w:rsid w:val="000733B5"/>
    <w:rsid w:val="000733C4"/>
    <w:rsid w:val="00073414"/>
    <w:rsid w:val="00074783"/>
    <w:rsid w:val="0008070B"/>
    <w:rsid w:val="000810AC"/>
    <w:rsid w:val="00081A02"/>
    <w:rsid w:val="00082231"/>
    <w:rsid w:val="00084A2D"/>
    <w:rsid w:val="00086770"/>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2A27"/>
    <w:rsid w:val="0017483D"/>
    <w:rsid w:val="0017504D"/>
    <w:rsid w:val="0017671A"/>
    <w:rsid w:val="00177422"/>
    <w:rsid w:val="00184590"/>
    <w:rsid w:val="001870D1"/>
    <w:rsid w:val="0018781E"/>
    <w:rsid w:val="0019262D"/>
    <w:rsid w:val="001A1B35"/>
    <w:rsid w:val="001A4006"/>
    <w:rsid w:val="001A48A2"/>
    <w:rsid w:val="001A6F61"/>
    <w:rsid w:val="001B72B8"/>
    <w:rsid w:val="001C69B3"/>
    <w:rsid w:val="001D5595"/>
    <w:rsid w:val="001D7874"/>
    <w:rsid w:val="001D7F22"/>
    <w:rsid w:val="001F0F17"/>
    <w:rsid w:val="001F3347"/>
    <w:rsid w:val="001F64E0"/>
    <w:rsid w:val="001F69E4"/>
    <w:rsid w:val="002125B4"/>
    <w:rsid w:val="002155B8"/>
    <w:rsid w:val="00224839"/>
    <w:rsid w:val="002249B2"/>
    <w:rsid w:val="00226574"/>
    <w:rsid w:val="002278EC"/>
    <w:rsid w:val="0023280E"/>
    <w:rsid w:val="002377D1"/>
    <w:rsid w:val="002506BC"/>
    <w:rsid w:val="00254345"/>
    <w:rsid w:val="00264557"/>
    <w:rsid w:val="0026602B"/>
    <w:rsid w:val="00271D51"/>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0843"/>
    <w:rsid w:val="003C6C16"/>
    <w:rsid w:val="003D794D"/>
    <w:rsid w:val="003E3058"/>
    <w:rsid w:val="003E72B8"/>
    <w:rsid w:val="003E76A9"/>
    <w:rsid w:val="003F0809"/>
    <w:rsid w:val="003F546F"/>
    <w:rsid w:val="003F6A8C"/>
    <w:rsid w:val="003F755C"/>
    <w:rsid w:val="00406F01"/>
    <w:rsid w:val="00416D50"/>
    <w:rsid w:val="00416FD5"/>
    <w:rsid w:val="00417772"/>
    <w:rsid w:val="00420E6A"/>
    <w:rsid w:val="00425A9E"/>
    <w:rsid w:val="00426D6B"/>
    <w:rsid w:val="00431E6C"/>
    <w:rsid w:val="00433CE7"/>
    <w:rsid w:val="00452738"/>
    <w:rsid w:val="00453BD5"/>
    <w:rsid w:val="00456091"/>
    <w:rsid w:val="0046227F"/>
    <w:rsid w:val="00466321"/>
    <w:rsid w:val="00471666"/>
    <w:rsid w:val="00484B9B"/>
    <w:rsid w:val="004855F6"/>
    <w:rsid w:val="0048661E"/>
    <w:rsid w:val="00486948"/>
    <w:rsid w:val="00494670"/>
    <w:rsid w:val="004A3823"/>
    <w:rsid w:val="004B29A6"/>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977DE"/>
    <w:rsid w:val="005A06B7"/>
    <w:rsid w:val="005A1759"/>
    <w:rsid w:val="005A68A7"/>
    <w:rsid w:val="005D36AB"/>
    <w:rsid w:val="00604C11"/>
    <w:rsid w:val="00617CC3"/>
    <w:rsid w:val="006377A6"/>
    <w:rsid w:val="00637A3D"/>
    <w:rsid w:val="006411EF"/>
    <w:rsid w:val="00645533"/>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6F6592"/>
    <w:rsid w:val="00706C5D"/>
    <w:rsid w:val="00732922"/>
    <w:rsid w:val="007404B4"/>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6B03"/>
    <w:rsid w:val="007B72B8"/>
    <w:rsid w:val="007B7A58"/>
    <w:rsid w:val="007C21B5"/>
    <w:rsid w:val="007E4BD2"/>
    <w:rsid w:val="00801393"/>
    <w:rsid w:val="00802F88"/>
    <w:rsid w:val="0081293E"/>
    <w:rsid w:val="00815465"/>
    <w:rsid w:val="0081709E"/>
    <w:rsid w:val="00817E9A"/>
    <w:rsid w:val="00822ABC"/>
    <w:rsid w:val="008306BD"/>
    <w:rsid w:val="00831A80"/>
    <w:rsid w:val="00833743"/>
    <w:rsid w:val="008340A4"/>
    <w:rsid w:val="0087135F"/>
    <w:rsid w:val="00872D94"/>
    <w:rsid w:val="00880364"/>
    <w:rsid w:val="00891592"/>
    <w:rsid w:val="00891E9E"/>
    <w:rsid w:val="008A2F68"/>
    <w:rsid w:val="008B4FA6"/>
    <w:rsid w:val="008B5282"/>
    <w:rsid w:val="008B73C2"/>
    <w:rsid w:val="008B7C17"/>
    <w:rsid w:val="008C0DF5"/>
    <w:rsid w:val="008C2D01"/>
    <w:rsid w:val="008C40E6"/>
    <w:rsid w:val="008D0F7A"/>
    <w:rsid w:val="008D311E"/>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3090"/>
    <w:rsid w:val="0095155F"/>
    <w:rsid w:val="00954429"/>
    <w:rsid w:val="009563CE"/>
    <w:rsid w:val="00976328"/>
    <w:rsid w:val="0097680D"/>
    <w:rsid w:val="00982438"/>
    <w:rsid w:val="0098404C"/>
    <w:rsid w:val="00985283"/>
    <w:rsid w:val="00986C1F"/>
    <w:rsid w:val="00995992"/>
    <w:rsid w:val="009A03E5"/>
    <w:rsid w:val="009A0F3B"/>
    <w:rsid w:val="009A1BB4"/>
    <w:rsid w:val="009A2628"/>
    <w:rsid w:val="009A31D0"/>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641BC"/>
    <w:rsid w:val="00A8713F"/>
    <w:rsid w:val="00A90BA1"/>
    <w:rsid w:val="00A97A9A"/>
    <w:rsid w:val="00AA0671"/>
    <w:rsid w:val="00AA2531"/>
    <w:rsid w:val="00AB1E09"/>
    <w:rsid w:val="00AB5330"/>
    <w:rsid w:val="00AB7747"/>
    <w:rsid w:val="00AB7F62"/>
    <w:rsid w:val="00AC14CE"/>
    <w:rsid w:val="00AC2A56"/>
    <w:rsid w:val="00AD055E"/>
    <w:rsid w:val="00AD47A7"/>
    <w:rsid w:val="00AE7C9A"/>
    <w:rsid w:val="00AF0CBF"/>
    <w:rsid w:val="00AF257F"/>
    <w:rsid w:val="00AF33CF"/>
    <w:rsid w:val="00AF3F0C"/>
    <w:rsid w:val="00AF4D50"/>
    <w:rsid w:val="00AF6179"/>
    <w:rsid w:val="00B1295A"/>
    <w:rsid w:val="00B14922"/>
    <w:rsid w:val="00B165AA"/>
    <w:rsid w:val="00B20A45"/>
    <w:rsid w:val="00B22C5C"/>
    <w:rsid w:val="00B24F30"/>
    <w:rsid w:val="00B31347"/>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91D"/>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1B4B"/>
    <w:rsid w:val="00C82232"/>
    <w:rsid w:val="00C82913"/>
    <w:rsid w:val="00C972B1"/>
    <w:rsid w:val="00CA2C50"/>
    <w:rsid w:val="00CA2CCE"/>
    <w:rsid w:val="00CA3CCC"/>
    <w:rsid w:val="00CA43FD"/>
    <w:rsid w:val="00CA7EF8"/>
    <w:rsid w:val="00CC489B"/>
    <w:rsid w:val="00CD2BCD"/>
    <w:rsid w:val="00CD3A4C"/>
    <w:rsid w:val="00CD7D24"/>
    <w:rsid w:val="00CE10E9"/>
    <w:rsid w:val="00CE2910"/>
    <w:rsid w:val="00CE5393"/>
    <w:rsid w:val="00CF36BE"/>
    <w:rsid w:val="00CF6000"/>
    <w:rsid w:val="00D003F3"/>
    <w:rsid w:val="00D0364F"/>
    <w:rsid w:val="00D06834"/>
    <w:rsid w:val="00D12284"/>
    <w:rsid w:val="00D308ED"/>
    <w:rsid w:val="00D36D86"/>
    <w:rsid w:val="00D428AA"/>
    <w:rsid w:val="00D50A34"/>
    <w:rsid w:val="00D53EFA"/>
    <w:rsid w:val="00D749C2"/>
    <w:rsid w:val="00D94A7C"/>
    <w:rsid w:val="00D95896"/>
    <w:rsid w:val="00DA066B"/>
    <w:rsid w:val="00DB2983"/>
    <w:rsid w:val="00DC1257"/>
    <w:rsid w:val="00DC3DC0"/>
    <w:rsid w:val="00DC5B2B"/>
    <w:rsid w:val="00DD318D"/>
    <w:rsid w:val="00DD4EC5"/>
    <w:rsid w:val="00DF2E12"/>
    <w:rsid w:val="00DF514A"/>
    <w:rsid w:val="00DF6690"/>
    <w:rsid w:val="00DF6804"/>
    <w:rsid w:val="00E0358D"/>
    <w:rsid w:val="00E04323"/>
    <w:rsid w:val="00E070A2"/>
    <w:rsid w:val="00E248D4"/>
    <w:rsid w:val="00E2656A"/>
    <w:rsid w:val="00E412D0"/>
    <w:rsid w:val="00E56322"/>
    <w:rsid w:val="00E60982"/>
    <w:rsid w:val="00E62C62"/>
    <w:rsid w:val="00E654C1"/>
    <w:rsid w:val="00E65D97"/>
    <w:rsid w:val="00E72A5A"/>
    <w:rsid w:val="00E73354"/>
    <w:rsid w:val="00E9242D"/>
    <w:rsid w:val="00E971DB"/>
    <w:rsid w:val="00EA13DD"/>
    <w:rsid w:val="00EB5255"/>
    <w:rsid w:val="00EB5C47"/>
    <w:rsid w:val="00ED0639"/>
    <w:rsid w:val="00EF4755"/>
    <w:rsid w:val="00EF7135"/>
    <w:rsid w:val="00F027DB"/>
    <w:rsid w:val="00F14A7A"/>
    <w:rsid w:val="00F2000B"/>
    <w:rsid w:val="00F22985"/>
    <w:rsid w:val="00F3383E"/>
    <w:rsid w:val="00F35900"/>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01B5E"/>
    <w:rsid w:val="01082A67"/>
    <w:rsid w:val="011D10BA"/>
    <w:rsid w:val="01232909"/>
    <w:rsid w:val="01290F7E"/>
    <w:rsid w:val="012922E4"/>
    <w:rsid w:val="0134216E"/>
    <w:rsid w:val="0139132B"/>
    <w:rsid w:val="0146597D"/>
    <w:rsid w:val="015D1E09"/>
    <w:rsid w:val="015E5EA6"/>
    <w:rsid w:val="015F3CDA"/>
    <w:rsid w:val="0160429E"/>
    <w:rsid w:val="0177101D"/>
    <w:rsid w:val="017D57B1"/>
    <w:rsid w:val="01854915"/>
    <w:rsid w:val="0187522F"/>
    <w:rsid w:val="018D2813"/>
    <w:rsid w:val="01BB3F9A"/>
    <w:rsid w:val="01DC71EF"/>
    <w:rsid w:val="01EE2058"/>
    <w:rsid w:val="01EE35C0"/>
    <w:rsid w:val="01FD1E6E"/>
    <w:rsid w:val="02095DC0"/>
    <w:rsid w:val="02125FAD"/>
    <w:rsid w:val="021D2A96"/>
    <w:rsid w:val="022601FA"/>
    <w:rsid w:val="022E12EB"/>
    <w:rsid w:val="0230088D"/>
    <w:rsid w:val="023255FF"/>
    <w:rsid w:val="023E0D67"/>
    <w:rsid w:val="02683818"/>
    <w:rsid w:val="02697903"/>
    <w:rsid w:val="027B4D81"/>
    <w:rsid w:val="027C455D"/>
    <w:rsid w:val="027F79C0"/>
    <w:rsid w:val="0283147B"/>
    <w:rsid w:val="028B45D2"/>
    <w:rsid w:val="028B6293"/>
    <w:rsid w:val="028E79F9"/>
    <w:rsid w:val="029B758B"/>
    <w:rsid w:val="02A1043A"/>
    <w:rsid w:val="02B04B87"/>
    <w:rsid w:val="02B608CF"/>
    <w:rsid w:val="02BD11E8"/>
    <w:rsid w:val="02C50283"/>
    <w:rsid w:val="02CF31D7"/>
    <w:rsid w:val="02D35FD2"/>
    <w:rsid w:val="02D65A05"/>
    <w:rsid w:val="02DE6A2E"/>
    <w:rsid w:val="02F91EA5"/>
    <w:rsid w:val="02F96569"/>
    <w:rsid w:val="030423DB"/>
    <w:rsid w:val="030A37BE"/>
    <w:rsid w:val="03217DD0"/>
    <w:rsid w:val="03235342"/>
    <w:rsid w:val="03254077"/>
    <w:rsid w:val="0333545B"/>
    <w:rsid w:val="0344793F"/>
    <w:rsid w:val="034F5A43"/>
    <w:rsid w:val="036E54EC"/>
    <w:rsid w:val="037C2326"/>
    <w:rsid w:val="038940F3"/>
    <w:rsid w:val="03920C02"/>
    <w:rsid w:val="039D6FD9"/>
    <w:rsid w:val="03A964DC"/>
    <w:rsid w:val="03AB5C8F"/>
    <w:rsid w:val="03AF0BC2"/>
    <w:rsid w:val="03B14EBC"/>
    <w:rsid w:val="03C32598"/>
    <w:rsid w:val="03C54312"/>
    <w:rsid w:val="03CD1690"/>
    <w:rsid w:val="03D301C3"/>
    <w:rsid w:val="03D35B8A"/>
    <w:rsid w:val="03E070E5"/>
    <w:rsid w:val="03E07238"/>
    <w:rsid w:val="03E7413F"/>
    <w:rsid w:val="03E85AC3"/>
    <w:rsid w:val="03EA7B21"/>
    <w:rsid w:val="03EB5225"/>
    <w:rsid w:val="03ED5B86"/>
    <w:rsid w:val="03F14D32"/>
    <w:rsid w:val="03F44A32"/>
    <w:rsid w:val="03F562C1"/>
    <w:rsid w:val="03FF0CCF"/>
    <w:rsid w:val="04024885"/>
    <w:rsid w:val="040B6452"/>
    <w:rsid w:val="042D1C21"/>
    <w:rsid w:val="04393022"/>
    <w:rsid w:val="043B0D31"/>
    <w:rsid w:val="043B13EC"/>
    <w:rsid w:val="043C48EB"/>
    <w:rsid w:val="043D77E6"/>
    <w:rsid w:val="04493357"/>
    <w:rsid w:val="0453235E"/>
    <w:rsid w:val="0458580D"/>
    <w:rsid w:val="045E35EB"/>
    <w:rsid w:val="047118E1"/>
    <w:rsid w:val="04822FE9"/>
    <w:rsid w:val="048449D7"/>
    <w:rsid w:val="04903987"/>
    <w:rsid w:val="04916F1E"/>
    <w:rsid w:val="0496767D"/>
    <w:rsid w:val="04993257"/>
    <w:rsid w:val="049D3B42"/>
    <w:rsid w:val="049D5116"/>
    <w:rsid w:val="049F351D"/>
    <w:rsid w:val="04A577BC"/>
    <w:rsid w:val="04AB280B"/>
    <w:rsid w:val="04AE59B3"/>
    <w:rsid w:val="04C14F9D"/>
    <w:rsid w:val="04CC0E00"/>
    <w:rsid w:val="04CE076E"/>
    <w:rsid w:val="04D536F9"/>
    <w:rsid w:val="04D76343"/>
    <w:rsid w:val="04D8142C"/>
    <w:rsid w:val="04DE26AF"/>
    <w:rsid w:val="04EA0FD5"/>
    <w:rsid w:val="04EC3896"/>
    <w:rsid w:val="04F030C2"/>
    <w:rsid w:val="050135A6"/>
    <w:rsid w:val="05063F0C"/>
    <w:rsid w:val="05067D94"/>
    <w:rsid w:val="0512526D"/>
    <w:rsid w:val="05181F03"/>
    <w:rsid w:val="05222DC9"/>
    <w:rsid w:val="0535565A"/>
    <w:rsid w:val="05356023"/>
    <w:rsid w:val="05374841"/>
    <w:rsid w:val="053F1CA2"/>
    <w:rsid w:val="05475F00"/>
    <w:rsid w:val="054E32A6"/>
    <w:rsid w:val="055601EF"/>
    <w:rsid w:val="05625FA5"/>
    <w:rsid w:val="056B5C72"/>
    <w:rsid w:val="057331A4"/>
    <w:rsid w:val="057B7A05"/>
    <w:rsid w:val="057C63F3"/>
    <w:rsid w:val="05856D54"/>
    <w:rsid w:val="05B110EF"/>
    <w:rsid w:val="05B71F77"/>
    <w:rsid w:val="05C25EDB"/>
    <w:rsid w:val="05C64DA6"/>
    <w:rsid w:val="05D3677A"/>
    <w:rsid w:val="05D42BE3"/>
    <w:rsid w:val="05D57167"/>
    <w:rsid w:val="05DB4691"/>
    <w:rsid w:val="05DC4344"/>
    <w:rsid w:val="05F83EAE"/>
    <w:rsid w:val="06054429"/>
    <w:rsid w:val="06064CE5"/>
    <w:rsid w:val="06096D59"/>
    <w:rsid w:val="060D1C4E"/>
    <w:rsid w:val="060D3404"/>
    <w:rsid w:val="06116BDC"/>
    <w:rsid w:val="061565AA"/>
    <w:rsid w:val="06257475"/>
    <w:rsid w:val="062A4269"/>
    <w:rsid w:val="062B5C11"/>
    <w:rsid w:val="062D59BA"/>
    <w:rsid w:val="062E4A77"/>
    <w:rsid w:val="06326C60"/>
    <w:rsid w:val="0636518E"/>
    <w:rsid w:val="063E378B"/>
    <w:rsid w:val="063E7D85"/>
    <w:rsid w:val="064150BE"/>
    <w:rsid w:val="064938DC"/>
    <w:rsid w:val="064D50DD"/>
    <w:rsid w:val="065359BA"/>
    <w:rsid w:val="065571E5"/>
    <w:rsid w:val="06590691"/>
    <w:rsid w:val="065A018C"/>
    <w:rsid w:val="06714525"/>
    <w:rsid w:val="06914FF6"/>
    <w:rsid w:val="06954FB6"/>
    <w:rsid w:val="06B26F6D"/>
    <w:rsid w:val="06BD417C"/>
    <w:rsid w:val="06C1382F"/>
    <w:rsid w:val="06C16CA1"/>
    <w:rsid w:val="06CE0D83"/>
    <w:rsid w:val="06D02A5F"/>
    <w:rsid w:val="06D522A9"/>
    <w:rsid w:val="06DB6403"/>
    <w:rsid w:val="06E43D70"/>
    <w:rsid w:val="06E54F8D"/>
    <w:rsid w:val="07034E6C"/>
    <w:rsid w:val="07091214"/>
    <w:rsid w:val="070978FF"/>
    <w:rsid w:val="070B03F6"/>
    <w:rsid w:val="07164CDB"/>
    <w:rsid w:val="071A20F6"/>
    <w:rsid w:val="07205E78"/>
    <w:rsid w:val="0725641F"/>
    <w:rsid w:val="07293586"/>
    <w:rsid w:val="07295285"/>
    <w:rsid w:val="072D0FC4"/>
    <w:rsid w:val="072E7F7F"/>
    <w:rsid w:val="072F2C0E"/>
    <w:rsid w:val="07310685"/>
    <w:rsid w:val="073C615B"/>
    <w:rsid w:val="07466248"/>
    <w:rsid w:val="074868CF"/>
    <w:rsid w:val="07492826"/>
    <w:rsid w:val="07494230"/>
    <w:rsid w:val="07497F64"/>
    <w:rsid w:val="07636392"/>
    <w:rsid w:val="07770C56"/>
    <w:rsid w:val="07801DA4"/>
    <w:rsid w:val="07856321"/>
    <w:rsid w:val="078D7EC3"/>
    <w:rsid w:val="07B15E5D"/>
    <w:rsid w:val="07B37D7D"/>
    <w:rsid w:val="07B93D89"/>
    <w:rsid w:val="07BF04BD"/>
    <w:rsid w:val="07C31243"/>
    <w:rsid w:val="07C42B53"/>
    <w:rsid w:val="07CF397D"/>
    <w:rsid w:val="07D14F60"/>
    <w:rsid w:val="07D57A99"/>
    <w:rsid w:val="07D97BD5"/>
    <w:rsid w:val="07FA4DFD"/>
    <w:rsid w:val="08006CD3"/>
    <w:rsid w:val="08026DF2"/>
    <w:rsid w:val="08032173"/>
    <w:rsid w:val="08106A6E"/>
    <w:rsid w:val="08281723"/>
    <w:rsid w:val="082A2FE4"/>
    <w:rsid w:val="082C2B3F"/>
    <w:rsid w:val="08350762"/>
    <w:rsid w:val="083E2D38"/>
    <w:rsid w:val="084C5858"/>
    <w:rsid w:val="08684F65"/>
    <w:rsid w:val="08716C47"/>
    <w:rsid w:val="087603AC"/>
    <w:rsid w:val="089E371F"/>
    <w:rsid w:val="08A65B8B"/>
    <w:rsid w:val="08A7398D"/>
    <w:rsid w:val="08B0403C"/>
    <w:rsid w:val="08B51D3B"/>
    <w:rsid w:val="08BA7CB6"/>
    <w:rsid w:val="08C2394E"/>
    <w:rsid w:val="08CA342C"/>
    <w:rsid w:val="08D82833"/>
    <w:rsid w:val="08DA04B8"/>
    <w:rsid w:val="08DB43F0"/>
    <w:rsid w:val="08F64BCF"/>
    <w:rsid w:val="08F84B0C"/>
    <w:rsid w:val="08FB4124"/>
    <w:rsid w:val="090875FC"/>
    <w:rsid w:val="090904EF"/>
    <w:rsid w:val="090E581F"/>
    <w:rsid w:val="090F0241"/>
    <w:rsid w:val="092217DD"/>
    <w:rsid w:val="093316BD"/>
    <w:rsid w:val="093A7294"/>
    <w:rsid w:val="093D58A5"/>
    <w:rsid w:val="095166E9"/>
    <w:rsid w:val="095A206D"/>
    <w:rsid w:val="095D619E"/>
    <w:rsid w:val="09666FCA"/>
    <w:rsid w:val="097173B8"/>
    <w:rsid w:val="097316E6"/>
    <w:rsid w:val="097A567E"/>
    <w:rsid w:val="09C06D0A"/>
    <w:rsid w:val="09C95CBC"/>
    <w:rsid w:val="09D63EBB"/>
    <w:rsid w:val="09E54569"/>
    <w:rsid w:val="09F70951"/>
    <w:rsid w:val="09F92602"/>
    <w:rsid w:val="09FA3636"/>
    <w:rsid w:val="0A056D12"/>
    <w:rsid w:val="0A0724BD"/>
    <w:rsid w:val="0A151B70"/>
    <w:rsid w:val="0A171CC6"/>
    <w:rsid w:val="0A202ED0"/>
    <w:rsid w:val="0A223CEC"/>
    <w:rsid w:val="0A263993"/>
    <w:rsid w:val="0A2D3AC2"/>
    <w:rsid w:val="0A341079"/>
    <w:rsid w:val="0A3C732A"/>
    <w:rsid w:val="0A4324FC"/>
    <w:rsid w:val="0A4535DA"/>
    <w:rsid w:val="0A557310"/>
    <w:rsid w:val="0A557C36"/>
    <w:rsid w:val="0A5D6E63"/>
    <w:rsid w:val="0A5F76F2"/>
    <w:rsid w:val="0A607227"/>
    <w:rsid w:val="0A6E0091"/>
    <w:rsid w:val="0A747118"/>
    <w:rsid w:val="0A97480A"/>
    <w:rsid w:val="0A9C6AD0"/>
    <w:rsid w:val="0AA755DF"/>
    <w:rsid w:val="0ABE54DB"/>
    <w:rsid w:val="0AC94B5F"/>
    <w:rsid w:val="0AC97EA9"/>
    <w:rsid w:val="0ACA2A44"/>
    <w:rsid w:val="0AD01D6E"/>
    <w:rsid w:val="0AD525B0"/>
    <w:rsid w:val="0AD61B29"/>
    <w:rsid w:val="0ADC7021"/>
    <w:rsid w:val="0AF04C5B"/>
    <w:rsid w:val="0B0614EB"/>
    <w:rsid w:val="0B120D44"/>
    <w:rsid w:val="0B131DDF"/>
    <w:rsid w:val="0B266DAC"/>
    <w:rsid w:val="0B2737D8"/>
    <w:rsid w:val="0B464001"/>
    <w:rsid w:val="0B494133"/>
    <w:rsid w:val="0B58087D"/>
    <w:rsid w:val="0B622055"/>
    <w:rsid w:val="0B6F038B"/>
    <w:rsid w:val="0B711DEA"/>
    <w:rsid w:val="0B7B5537"/>
    <w:rsid w:val="0B883C50"/>
    <w:rsid w:val="0B892E53"/>
    <w:rsid w:val="0B911571"/>
    <w:rsid w:val="0B911E27"/>
    <w:rsid w:val="0B925737"/>
    <w:rsid w:val="0BA9275E"/>
    <w:rsid w:val="0BAB218C"/>
    <w:rsid w:val="0BAB7A21"/>
    <w:rsid w:val="0BBD45BD"/>
    <w:rsid w:val="0BCB330B"/>
    <w:rsid w:val="0BCD342B"/>
    <w:rsid w:val="0BD27BF6"/>
    <w:rsid w:val="0BD523DD"/>
    <w:rsid w:val="0BDC758D"/>
    <w:rsid w:val="0BDF7180"/>
    <w:rsid w:val="0BE13819"/>
    <w:rsid w:val="0BF166BC"/>
    <w:rsid w:val="0BF5410D"/>
    <w:rsid w:val="0BF8329F"/>
    <w:rsid w:val="0BF840C0"/>
    <w:rsid w:val="0BF912C0"/>
    <w:rsid w:val="0BFF4024"/>
    <w:rsid w:val="0C062114"/>
    <w:rsid w:val="0C071CE2"/>
    <w:rsid w:val="0C097785"/>
    <w:rsid w:val="0C0B0E63"/>
    <w:rsid w:val="0C117C23"/>
    <w:rsid w:val="0C1C35C4"/>
    <w:rsid w:val="0C2A397B"/>
    <w:rsid w:val="0C2C2B52"/>
    <w:rsid w:val="0C3B3C7D"/>
    <w:rsid w:val="0C3C1E7F"/>
    <w:rsid w:val="0C3D7361"/>
    <w:rsid w:val="0C442337"/>
    <w:rsid w:val="0C4502CD"/>
    <w:rsid w:val="0C473D9F"/>
    <w:rsid w:val="0C555204"/>
    <w:rsid w:val="0C566750"/>
    <w:rsid w:val="0C5C4517"/>
    <w:rsid w:val="0C621F4B"/>
    <w:rsid w:val="0C6C08E5"/>
    <w:rsid w:val="0C7D74F2"/>
    <w:rsid w:val="0C845A8C"/>
    <w:rsid w:val="0C9B0717"/>
    <w:rsid w:val="0C9E5343"/>
    <w:rsid w:val="0CAB2EAE"/>
    <w:rsid w:val="0CAC4E99"/>
    <w:rsid w:val="0CC7279D"/>
    <w:rsid w:val="0CC730B6"/>
    <w:rsid w:val="0CE11599"/>
    <w:rsid w:val="0CE7003A"/>
    <w:rsid w:val="0CE850A5"/>
    <w:rsid w:val="0CEA5299"/>
    <w:rsid w:val="0CFA0B17"/>
    <w:rsid w:val="0D181000"/>
    <w:rsid w:val="0D290736"/>
    <w:rsid w:val="0D5C1F34"/>
    <w:rsid w:val="0D621C7D"/>
    <w:rsid w:val="0D637FDF"/>
    <w:rsid w:val="0D693BBD"/>
    <w:rsid w:val="0D72624B"/>
    <w:rsid w:val="0D78732B"/>
    <w:rsid w:val="0D8B532F"/>
    <w:rsid w:val="0D8F352B"/>
    <w:rsid w:val="0D9B436E"/>
    <w:rsid w:val="0D9D0922"/>
    <w:rsid w:val="0DA0523E"/>
    <w:rsid w:val="0DAB5B82"/>
    <w:rsid w:val="0DAC69A4"/>
    <w:rsid w:val="0DB835FC"/>
    <w:rsid w:val="0DBA404C"/>
    <w:rsid w:val="0DC471D1"/>
    <w:rsid w:val="0DC67379"/>
    <w:rsid w:val="0DCD2B7A"/>
    <w:rsid w:val="0DCF2049"/>
    <w:rsid w:val="0DDB6BDA"/>
    <w:rsid w:val="0DDB7A5A"/>
    <w:rsid w:val="0DDC31BE"/>
    <w:rsid w:val="0DDD51EF"/>
    <w:rsid w:val="0DF11F21"/>
    <w:rsid w:val="0DF23E6A"/>
    <w:rsid w:val="0DFC0ECC"/>
    <w:rsid w:val="0DFE22CE"/>
    <w:rsid w:val="0E04063C"/>
    <w:rsid w:val="0E07661D"/>
    <w:rsid w:val="0E195C87"/>
    <w:rsid w:val="0E1A6FBF"/>
    <w:rsid w:val="0E2056EC"/>
    <w:rsid w:val="0E3C253C"/>
    <w:rsid w:val="0E3D2D15"/>
    <w:rsid w:val="0E403CB4"/>
    <w:rsid w:val="0E4321DC"/>
    <w:rsid w:val="0E446CBD"/>
    <w:rsid w:val="0E511BE0"/>
    <w:rsid w:val="0E5320A0"/>
    <w:rsid w:val="0E547556"/>
    <w:rsid w:val="0E554FF7"/>
    <w:rsid w:val="0E73034D"/>
    <w:rsid w:val="0E785017"/>
    <w:rsid w:val="0E796402"/>
    <w:rsid w:val="0E892EC3"/>
    <w:rsid w:val="0E9973AB"/>
    <w:rsid w:val="0EA4140F"/>
    <w:rsid w:val="0EAD46CC"/>
    <w:rsid w:val="0EAF4DEF"/>
    <w:rsid w:val="0EB0001B"/>
    <w:rsid w:val="0EBD499D"/>
    <w:rsid w:val="0ED059C9"/>
    <w:rsid w:val="0EE55DA5"/>
    <w:rsid w:val="0EE92EFC"/>
    <w:rsid w:val="0EED1C8E"/>
    <w:rsid w:val="0EFB202A"/>
    <w:rsid w:val="0F001ED4"/>
    <w:rsid w:val="0F0A3069"/>
    <w:rsid w:val="0F0B3D99"/>
    <w:rsid w:val="0F0C5E9A"/>
    <w:rsid w:val="0F103B60"/>
    <w:rsid w:val="0F121CFB"/>
    <w:rsid w:val="0F13775A"/>
    <w:rsid w:val="0F153A33"/>
    <w:rsid w:val="0F175A12"/>
    <w:rsid w:val="0F1F659D"/>
    <w:rsid w:val="0F27131E"/>
    <w:rsid w:val="0F2877F6"/>
    <w:rsid w:val="0F2904D1"/>
    <w:rsid w:val="0F3D2DC7"/>
    <w:rsid w:val="0F4246F6"/>
    <w:rsid w:val="0F4E4356"/>
    <w:rsid w:val="0F5261AC"/>
    <w:rsid w:val="0F555C9A"/>
    <w:rsid w:val="0F577CB8"/>
    <w:rsid w:val="0F5B6FB8"/>
    <w:rsid w:val="0F5E73E7"/>
    <w:rsid w:val="0F5F45FE"/>
    <w:rsid w:val="0F673885"/>
    <w:rsid w:val="0F801720"/>
    <w:rsid w:val="0F846DF6"/>
    <w:rsid w:val="0F94045C"/>
    <w:rsid w:val="0F9A112B"/>
    <w:rsid w:val="0FA31129"/>
    <w:rsid w:val="0FA44F56"/>
    <w:rsid w:val="0FB654FC"/>
    <w:rsid w:val="0FBE6C88"/>
    <w:rsid w:val="0FBF08D2"/>
    <w:rsid w:val="0FC048E2"/>
    <w:rsid w:val="0FC10E38"/>
    <w:rsid w:val="0FC556AD"/>
    <w:rsid w:val="0FCE36E4"/>
    <w:rsid w:val="0FE77305"/>
    <w:rsid w:val="100A33F8"/>
    <w:rsid w:val="10134484"/>
    <w:rsid w:val="101E4299"/>
    <w:rsid w:val="10290188"/>
    <w:rsid w:val="104337FE"/>
    <w:rsid w:val="104D21BD"/>
    <w:rsid w:val="105E1D25"/>
    <w:rsid w:val="10664D33"/>
    <w:rsid w:val="10677D21"/>
    <w:rsid w:val="106D2F64"/>
    <w:rsid w:val="10733DD1"/>
    <w:rsid w:val="107A3BE1"/>
    <w:rsid w:val="107E1538"/>
    <w:rsid w:val="10860895"/>
    <w:rsid w:val="10976231"/>
    <w:rsid w:val="109F258D"/>
    <w:rsid w:val="10A21C2D"/>
    <w:rsid w:val="10AD6639"/>
    <w:rsid w:val="10B3034F"/>
    <w:rsid w:val="10B619F8"/>
    <w:rsid w:val="10B63710"/>
    <w:rsid w:val="10BE5148"/>
    <w:rsid w:val="10C872BF"/>
    <w:rsid w:val="10D7324C"/>
    <w:rsid w:val="10E009D5"/>
    <w:rsid w:val="10E10F7B"/>
    <w:rsid w:val="10E30730"/>
    <w:rsid w:val="10E654A4"/>
    <w:rsid w:val="10E85462"/>
    <w:rsid w:val="10F10820"/>
    <w:rsid w:val="10FC59C6"/>
    <w:rsid w:val="11076EDC"/>
    <w:rsid w:val="110A0ED5"/>
    <w:rsid w:val="111C2F7A"/>
    <w:rsid w:val="11241BF5"/>
    <w:rsid w:val="11316890"/>
    <w:rsid w:val="1135572C"/>
    <w:rsid w:val="113F0C6B"/>
    <w:rsid w:val="11427949"/>
    <w:rsid w:val="114C000D"/>
    <w:rsid w:val="115238A2"/>
    <w:rsid w:val="1156450E"/>
    <w:rsid w:val="115E64F3"/>
    <w:rsid w:val="11605C21"/>
    <w:rsid w:val="11665CA1"/>
    <w:rsid w:val="117A56AC"/>
    <w:rsid w:val="118059B6"/>
    <w:rsid w:val="11860C9A"/>
    <w:rsid w:val="118755D5"/>
    <w:rsid w:val="118E71BA"/>
    <w:rsid w:val="11992E22"/>
    <w:rsid w:val="119D41DD"/>
    <w:rsid w:val="119F08D8"/>
    <w:rsid w:val="11AA14E8"/>
    <w:rsid w:val="11AC72F9"/>
    <w:rsid w:val="11B907A3"/>
    <w:rsid w:val="11BB54DB"/>
    <w:rsid w:val="11BC65CC"/>
    <w:rsid w:val="11BE2A21"/>
    <w:rsid w:val="11EA2F69"/>
    <w:rsid w:val="11F94BD7"/>
    <w:rsid w:val="1203621E"/>
    <w:rsid w:val="12082E19"/>
    <w:rsid w:val="120A0981"/>
    <w:rsid w:val="120E363E"/>
    <w:rsid w:val="121570AE"/>
    <w:rsid w:val="121B630B"/>
    <w:rsid w:val="121C1423"/>
    <w:rsid w:val="122D7768"/>
    <w:rsid w:val="1233153A"/>
    <w:rsid w:val="123867A2"/>
    <w:rsid w:val="1248581E"/>
    <w:rsid w:val="124C11CE"/>
    <w:rsid w:val="124D21F6"/>
    <w:rsid w:val="125A5848"/>
    <w:rsid w:val="12611280"/>
    <w:rsid w:val="12634283"/>
    <w:rsid w:val="126D12AD"/>
    <w:rsid w:val="126E486B"/>
    <w:rsid w:val="127A1305"/>
    <w:rsid w:val="1280650F"/>
    <w:rsid w:val="128112CA"/>
    <w:rsid w:val="129103CD"/>
    <w:rsid w:val="12A23F2F"/>
    <w:rsid w:val="12A41430"/>
    <w:rsid w:val="12A84439"/>
    <w:rsid w:val="12C1082B"/>
    <w:rsid w:val="12D52FBE"/>
    <w:rsid w:val="12DC35DB"/>
    <w:rsid w:val="12EE7F38"/>
    <w:rsid w:val="12F9593E"/>
    <w:rsid w:val="13091D36"/>
    <w:rsid w:val="131260E1"/>
    <w:rsid w:val="134D73D3"/>
    <w:rsid w:val="13592EE3"/>
    <w:rsid w:val="136363E7"/>
    <w:rsid w:val="13673BFE"/>
    <w:rsid w:val="13837DAE"/>
    <w:rsid w:val="13951726"/>
    <w:rsid w:val="13A07607"/>
    <w:rsid w:val="13AB48E4"/>
    <w:rsid w:val="13B05D9E"/>
    <w:rsid w:val="13BD1E2C"/>
    <w:rsid w:val="13C213BE"/>
    <w:rsid w:val="13C4155D"/>
    <w:rsid w:val="13C62D3E"/>
    <w:rsid w:val="13CF6477"/>
    <w:rsid w:val="13D24890"/>
    <w:rsid w:val="13D31C25"/>
    <w:rsid w:val="13DA4F1A"/>
    <w:rsid w:val="14005579"/>
    <w:rsid w:val="14097B14"/>
    <w:rsid w:val="1415373C"/>
    <w:rsid w:val="142B2C29"/>
    <w:rsid w:val="14396509"/>
    <w:rsid w:val="143B1498"/>
    <w:rsid w:val="144764F6"/>
    <w:rsid w:val="144C050E"/>
    <w:rsid w:val="1462723D"/>
    <w:rsid w:val="146638B7"/>
    <w:rsid w:val="146938D8"/>
    <w:rsid w:val="146F6EAC"/>
    <w:rsid w:val="14726477"/>
    <w:rsid w:val="147B2C0A"/>
    <w:rsid w:val="147E493F"/>
    <w:rsid w:val="14A0750E"/>
    <w:rsid w:val="14A22334"/>
    <w:rsid w:val="14A41F02"/>
    <w:rsid w:val="14AA20B4"/>
    <w:rsid w:val="14C4793F"/>
    <w:rsid w:val="14C606FD"/>
    <w:rsid w:val="14C876E8"/>
    <w:rsid w:val="14D437C6"/>
    <w:rsid w:val="14DD2C3C"/>
    <w:rsid w:val="14DD647F"/>
    <w:rsid w:val="14FB2B82"/>
    <w:rsid w:val="14FB4DE5"/>
    <w:rsid w:val="1508245E"/>
    <w:rsid w:val="151363D9"/>
    <w:rsid w:val="151701E4"/>
    <w:rsid w:val="15214B58"/>
    <w:rsid w:val="152328D6"/>
    <w:rsid w:val="15304390"/>
    <w:rsid w:val="15312552"/>
    <w:rsid w:val="15332650"/>
    <w:rsid w:val="15356DB2"/>
    <w:rsid w:val="15425FFD"/>
    <w:rsid w:val="154931D4"/>
    <w:rsid w:val="15495BF7"/>
    <w:rsid w:val="155E2E9F"/>
    <w:rsid w:val="156F2CDE"/>
    <w:rsid w:val="158264E5"/>
    <w:rsid w:val="15955FA6"/>
    <w:rsid w:val="159D7A8F"/>
    <w:rsid w:val="15A5312B"/>
    <w:rsid w:val="15A647E7"/>
    <w:rsid w:val="15A95049"/>
    <w:rsid w:val="15B6114D"/>
    <w:rsid w:val="15C2132D"/>
    <w:rsid w:val="15CA2E1C"/>
    <w:rsid w:val="15CB621E"/>
    <w:rsid w:val="15D42609"/>
    <w:rsid w:val="15D51D07"/>
    <w:rsid w:val="15E9386A"/>
    <w:rsid w:val="15F979C5"/>
    <w:rsid w:val="16087E1D"/>
    <w:rsid w:val="160C6349"/>
    <w:rsid w:val="16102109"/>
    <w:rsid w:val="161545C5"/>
    <w:rsid w:val="161B1BE2"/>
    <w:rsid w:val="161F68A0"/>
    <w:rsid w:val="16223797"/>
    <w:rsid w:val="16234AFE"/>
    <w:rsid w:val="162D413C"/>
    <w:rsid w:val="16301A3B"/>
    <w:rsid w:val="164A2129"/>
    <w:rsid w:val="165270C2"/>
    <w:rsid w:val="16527FE1"/>
    <w:rsid w:val="1655788C"/>
    <w:rsid w:val="165743E8"/>
    <w:rsid w:val="165C3083"/>
    <w:rsid w:val="16696708"/>
    <w:rsid w:val="16783C59"/>
    <w:rsid w:val="168332D6"/>
    <w:rsid w:val="16872994"/>
    <w:rsid w:val="168E1DC6"/>
    <w:rsid w:val="16972C4F"/>
    <w:rsid w:val="16AA7F78"/>
    <w:rsid w:val="16FE25F9"/>
    <w:rsid w:val="16FF18DB"/>
    <w:rsid w:val="17046540"/>
    <w:rsid w:val="17074FE8"/>
    <w:rsid w:val="170A1B76"/>
    <w:rsid w:val="170B2BB3"/>
    <w:rsid w:val="17341709"/>
    <w:rsid w:val="173B3B2E"/>
    <w:rsid w:val="173E15C7"/>
    <w:rsid w:val="174305B4"/>
    <w:rsid w:val="174E64ED"/>
    <w:rsid w:val="17502E08"/>
    <w:rsid w:val="175C4DEC"/>
    <w:rsid w:val="175E561E"/>
    <w:rsid w:val="17701D14"/>
    <w:rsid w:val="17735226"/>
    <w:rsid w:val="17823390"/>
    <w:rsid w:val="17841A0B"/>
    <w:rsid w:val="178C55C5"/>
    <w:rsid w:val="179C42A0"/>
    <w:rsid w:val="17A52838"/>
    <w:rsid w:val="17C1280D"/>
    <w:rsid w:val="17CC7FC1"/>
    <w:rsid w:val="17CF3104"/>
    <w:rsid w:val="17D0708E"/>
    <w:rsid w:val="17F20D51"/>
    <w:rsid w:val="17F55B85"/>
    <w:rsid w:val="17FD1BE6"/>
    <w:rsid w:val="1810221D"/>
    <w:rsid w:val="181C0465"/>
    <w:rsid w:val="18204847"/>
    <w:rsid w:val="18236ECF"/>
    <w:rsid w:val="1833565D"/>
    <w:rsid w:val="183E0C9B"/>
    <w:rsid w:val="183E577C"/>
    <w:rsid w:val="18430D25"/>
    <w:rsid w:val="18471CFF"/>
    <w:rsid w:val="184B7C73"/>
    <w:rsid w:val="186258F3"/>
    <w:rsid w:val="186C285E"/>
    <w:rsid w:val="188015D1"/>
    <w:rsid w:val="18905B47"/>
    <w:rsid w:val="189F624C"/>
    <w:rsid w:val="18A57F66"/>
    <w:rsid w:val="18B21E9F"/>
    <w:rsid w:val="18B2583B"/>
    <w:rsid w:val="18B7218D"/>
    <w:rsid w:val="18BF02F2"/>
    <w:rsid w:val="18C45B19"/>
    <w:rsid w:val="18D21FFC"/>
    <w:rsid w:val="18D66001"/>
    <w:rsid w:val="18DA52C7"/>
    <w:rsid w:val="18DA7A3A"/>
    <w:rsid w:val="18DB1C76"/>
    <w:rsid w:val="18DF5A8F"/>
    <w:rsid w:val="18E74C48"/>
    <w:rsid w:val="18EF3A46"/>
    <w:rsid w:val="191151C7"/>
    <w:rsid w:val="19242071"/>
    <w:rsid w:val="192E0B49"/>
    <w:rsid w:val="19335ABB"/>
    <w:rsid w:val="194C27B6"/>
    <w:rsid w:val="19676318"/>
    <w:rsid w:val="196E7DB1"/>
    <w:rsid w:val="197C2391"/>
    <w:rsid w:val="197D7416"/>
    <w:rsid w:val="19911731"/>
    <w:rsid w:val="199B5D9F"/>
    <w:rsid w:val="199F34D6"/>
    <w:rsid w:val="199F6B60"/>
    <w:rsid w:val="19AE1B8C"/>
    <w:rsid w:val="19B218BF"/>
    <w:rsid w:val="19B620AD"/>
    <w:rsid w:val="19BB0EAF"/>
    <w:rsid w:val="19C11F9F"/>
    <w:rsid w:val="19CB0129"/>
    <w:rsid w:val="19D125D4"/>
    <w:rsid w:val="19E66D10"/>
    <w:rsid w:val="19E73F79"/>
    <w:rsid w:val="19EC1D19"/>
    <w:rsid w:val="19ED3E26"/>
    <w:rsid w:val="1A09162B"/>
    <w:rsid w:val="1A183DB0"/>
    <w:rsid w:val="1A190043"/>
    <w:rsid w:val="1A192473"/>
    <w:rsid w:val="1A19634C"/>
    <w:rsid w:val="1A1B7C7A"/>
    <w:rsid w:val="1A1C66C0"/>
    <w:rsid w:val="1A2E20A1"/>
    <w:rsid w:val="1A3128FF"/>
    <w:rsid w:val="1A32752C"/>
    <w:rsid w:val="1A39425A"/>
    <w:rsid w:val="1A39546C"/>
    <w:rsid w:val="1A3D1B9C"/>
    <w:rsid w:val="1A42393B"/>
    <w:rsid w:val="1A4659F6"/>
    <w:rsid w:val="1A64049A"/>
    <w:rsid w:val="1A6D6E25"/>
    <w:rsid w:val="1A7546E9"/>
    <w:rsid w:val="1A795852"/>
    <w:rsid w:val="1A83185D"/>
    <w:rsid w:val="1A852365"/>
    <w:rsid w:val="1A864A2A"/>
    <w:rsid w:val="1A8D5AD0"/>
    <w:rsid w:val="1AAD45DE"/>
    <w:rsid w:val="1ABE2A5D"/>
    <w:rsid w:val="1ABF7F3C"/>
    <w:rsid w:val="1AC156B5"/>
    <w:rsid w:val="1AC57566"/>
    <w:rsid w:val="1ACB184E"/>
    <w:rsid w:val="1AD02E18"/>
    <w:rsid w:val="1AD465A7"/>
    <w:rsid w:val="1ADA1F77"/>
    <w:rsid w:val="1ADE14AE"/>
    <w:rsid w:val="1ADE7283"/>
    <w:rsid w:val="1AE01F66"/>
    <w:rsid w:val="1AE1332A"/>
    <w:rsid w:val="1AED014A"/>
    <w:rsid w:val="1AF71AD4"/>
    <w:rsid w:val="1AFE7780"/>
    <w:rsid w:val="1B046F80"/>
    <w:rsid w:val="1B05342D"/>
    <w:rsid w:val="1B22212A"/>
    <w:rsid w:val="1B264B7D"/>
    <w:rsid w:val="1B28641A"/>
    <w:rsid w:val="1B3267B5"/>
    <w:rsid w:val="1B34458B"/>
    <w:rsid w:val="1B40161D"/>
    <w:rsid w:val="1B441859"/>
    <w:rsid w:val="1B4F7512"/>
    <w:rsid w:val="1B5C7235"/>
    <w:rsid w:val="1B645507"/>
    <w:rsid w:val="1B6606B1"/>
    <w:rsid w:val="1B71485D"/>
    <w:rsid w:val="1B756C19"/>
    <w:rsid w:val="1B7A3DD9"/>
    <w:rsid w:val="1B81212D"/>
    <w:rsid w:val="1B8D55A4"/>
    <w:rsid w:val="1B8F76E2"/>
    <w:rsid w:val="1B936D8E"/>
    <w:rsid w:val="1B9D045E"/>
    <w:rsid w:val="1BA15AB1"/>
    <w:rsid w:val="1BA2719C"/>
    <w:rsid w:val="1BAA299A"/>
    <w:rsid w:val="1BB20DD0"/>
    <w:rsid w:val="1BCB4DC7"/>
    <w:rsid w:val="1BD07700"/>
    <w:rsid w:val="1BD13A61"/>
    <w:rsid w:val="1BDA3EE7"/>
    <w:rsid w:val="1BE811CD"/>
    <w:rsid w:val="1BED0262"/>
    <w:rsid w:val="1BF6745F"/>
    <w:rsid w:val="1BF87CB3"/>
    <w:rsid w:val="1C0754AB"/>
    <w:rsid w:val="1C0B17F8"/>
    <w:rsid w:val="1C0D73D0"/>
    <w:rsid w:val="1C140DC3"/>
    <w:rsid w:val="1C177904"/>
    <w:rsid w:val="1C201000"/>
    <w:rsid w:val="1C20452E"/>
    <w:rsid w:val="1C212E71"/>
    <w:rsid w:val="1C2344FA"/>
    <w:rsid w:val="1C295D0C"/>
    <w:rsid w:val="1C3E4A90"/>
    <w:rsid w:val="1C3F46DD"/>
    <w:rsid w:val="1C5E1CE2"/>
    <w:rsid w:val="1C5E7925"/>
    <w:rsid w:val="1C6E227F"/>
    <w:rsid w:val="1C717EEB"/>
    <w:rsid w:val="1C727F56"/>
    <w:rsid w:val="1C7C6116"/>
    <w:rsid w:val="1C7E7C76"/>
    <w:rsid w:val="1C8226AC"/>
    <w:rsid w:val="1C895E31"/>
    <w:rsid w:val="1C8F2A9C"/>
    <w:rsid w:val="1C924F7C"/>
    <w:rsid w:val="1CA31A02"/>
    <w:rsid w:val="1CA553FC"/>
    <w:rsid w:val="1CC05F81"/>
    <w:rsid w:val="1CF03E8E"/>
    <w:rsid w:val="1CFD070F"/>
    <w:rsid w:val="1CFF22E0"/>
    <w:rsid w:val="1D013157"/>
    <w:rsid w:val="1D0B5FF8"/>
    <w:rsid w:val="1D14631C"/>
    <w:rsid w:val="1D25647D"/>
    <w:rsid w:val="1D2578CA"/>
    <w:rsid w:val="1D2F50E1"/>
    <w:rsid w:val="1D3279C4"/>
    <w:rsid w:val="1D4F0C97"/>
    <w:rsid w:val="1D5A03EF"/>
    <w:rsid w:val="1D5E6074"/>
    <w:rsid w:val="1D5F6196"/>
    <w:rsid w:val="1D6132A5"/>
    <w:rsid w:val="1D7274E7"/>
    <w:rsid w:val="1D7C6345"/>
    <w:rsid w:val="1D8458FA"/>
    <w:rsid w:val="1D8E56D5"/>
    <w:rsid w:val="1D9A7260"/>
    <w:rsid w:val="1D9B7777"/>
    <w:rsid w:val="1D9C58D0"/>
    <w:rsid w:val="1DAE2628"/>
    <w:rsid w:val="1DBE323A"/>
    <w:rsid w:val="1DC21D85"/>
    <w:rsid w:val="1DCF77E6"/>
    <w:rsid w:val="1DD92A34"/>
    <w:rsid w:val="1DDA671F"/>
    <w:rsid w:val="1DE20EFF"/>
    <w:rsid w:val="1DE639A9"/>
    <w:rsid w:val="1DFE7444"/>
    <w:rsid w:val="1E08105F"/>
    <w:rsid w:val="1E1541F9"/>
    <w:rsid w:val="1E1A6309"/>
    <w:rsid w:val="1E2228A0"/>
    <w:rsid w:val="1E290035"/>
    <w:rsid w:val="1E2B6E78"/>
    <w:rsid w:val="1E324F63"/>
    <w:rsid w:val="1E446072"/>
    <w:rsid w:val="1E536072"/>
    <w:rsid w:val="1E59005C"/>
    <w:rsid w:val="1E7A43DA"/>
    <w:rsid w:val="1E7D0F78"/>
    <w:rsid w:val="1E826177"/>
    <w:rsid w:val="1E8A2B00"/>
    <w:rsid w:val="1E9E3AED"/>
    <w:rsid w:val="1EA42416"/>
    <w:rsid w:val="1EA5672A"/>
    <w:rsid w:val="1EB55625"/>
    <w:rsid w:val="1EC62895"/>
    <w:rsid w:val="1EC667F6"/>
    <w:rsid w:val="1ED770FC"/>
    <w:rsid w:val="1EE50B14"/>
    <w:rsid w:val="1EF77D1C"/>
    <w:rsid w:val="1F04525A"/>
    <w:rsid w:val="1F1575D5"/>
    <w:rsid w:val="1F1615E1"/>
    <w:rsid w:val="1F2268A7"/>
    <w:rsid w:val="1F271470"/>
    <w:rsid w:val="1F28787D"/>
    <w:rsid w:val="1F2C399A"/>
    <w:rsid w:val="1F3432B7"/>
    <w:rsid w:val="1F386BFF"/>
    <w:rsid w:val="1F496432"/>
    <w:rsid w:val="1F4D4CEB"/>
    <w:rsid w:val="1F4E4E58"/>
    <w:rsid w:val="1F586334"/>
    <w:rsid w:val="1F6E190F"/>
    <w:rsid w:val="1F745B9F"/>
    <w:rsid w:val="1F8730C4"/>
    <w:rsid w:val="1F8D6135"/>
    <w:rsid w:val="1F900DE6"/>
    <w:rsid w:val="1F9E2FEB"/>
    <w:rsid w:val="1F9E4B1B"/>
    <w:rsid w:val="1FA8666F"/>
    <w:rsid w:val="1FAA695F"/>
    <w:rsid w:val="1FAD3108"/>
    <w:rsid w:val="1FB168CB"/>
    <w:rsid w:val="1FB70BB0"/>
    <w:rsid w:val="1FB7643D"/>
    <w:rsid w:val="1FBD2FB5"/>
    <w:rsid w:val="1FE005E2"/>
    <w:rsid w:val="1FE0068F"/>
    <w:rsid w:val="1FE179C3"/>
    <w:rsid w:val="1FE72340"/>
    <w:rsid w:val="1FE7539E"/>
    <w:rsid w:val="1FF13270"/>
    <w:rsid w:val="20094801"/>
    <w:rsid w:val="200C0196"/>
    <w:rsid w:val="200C51ED"/>
    <w:rsid w:val="20196B2E"/>
    <w:rsid w:val="20276BA7"/>
    <w:rsid w:val="20391132"/>
    <w:rsid w:val="204607B7"/>
    <w:rsid w:val="2056372C"/>
    <w:rsid w:val="205B15DD"/>
    <w:rsid w:val="20625C6E"/>
    <w:rsid w:val="20657DCF"/>
    <w:rsid w:val="20671BE0"/>
    <w:rsid w:val="206A36A5"/>
    <w:rsid w:val="208116BB"/>
    <w:rsid w:val="2082339D"/>
    <w:rsid w:val="20845E15"/>
    <w:rsid w:val="208A01FE"/>
    <w:rsid w:val="208D514E"/>
    <w:rsid w:val="20963CB8"/>
    <w:rsid w:val="209854CC"/>
    <w:rsid w:val="20A81A1B"/>
    <w:rsid w:val="20B07FB6"/>
    <w:rsid w:val="20B646FB"/>
    <w:rsid w:val="20C16E07"/>
    <w:rsid w:val="20C579BA"/>
    <w:rsid w:val="20C62BFC"/>
    <w:rsid w:val="20C639C8"/>
    <w:rsid w:val="20C6435A"/>
    <w:rsid w:val="20DA335D"/>
    <w:rsid w:val="20E103FE"/>
    <w:rsid w:val="20F83E7D"/>
    <w:rsid w:val="20F87D04"/>
    <w:rsid w:val="2102627A"/>
    <w:rsid w:val="210E7527"/>
    <w:rsid w:val="2110554A"/>
    <w:rsid w:val="211B0739"/>
    <w:rsid w:val="213B74B1"/>
    <w:rsid w:val="21423A7C"/>
    <w:rsid w:val="21496B9F"/>
    <w:rsid w:val="214975A1"/>
    <w:rsid w:val="215A2310"/>
    <w:rsid w:val="215D00B1"/>
    <w:rsid w:val="215D59B8"/>
    <w:rsid w:val="217365D4"/>
    <w:rsid w:val="21950CDA"/>
    <w:rsid w:val="21964E38"/>
    <w:rsid w:val="219744D2"/>
    <w:rsid w:val="21B2064A"/>
    <w:rsid w:val="21B65C2A"/>
    <w:rsid w:val="21B85F5C"/>
    <w:rsid w:val="21BB0D4F"/>
    <w:rsid w:val="21D9799E"/>
    <w:rsid w:val="21DE318A"/>
    <w:rsid w:val="21E026F8"/>
    <w:rsid w:val="21E41480"/>
    <w:rsid w:val="21EF2B81"/>
    <w:rsid w:val="21EF5B80"/>
    <w:rsid w:val="21F6512C"/>
    <w:rsid w:val="220457D0"/>
    <w:rsid w:val="22050B97"/>
    <w:rsid w:val="22070E11"/>
    <w:rsid w:val="22136D87"/>
    <w:rsid w:val="221C1361"/>
    <w:rsid w:val="221D2ED7"/>
    <w:rsid w:val="222D6E6E"/>
    <w:rsid w:val="222E6CFF"/>
    <w:rsid w:val="22327586"/>
    <w:rsid w:val="22367A1D"/>
    <w:rsid w:val="223B313B"/>
    <w:rsid w:val="22576990"/>
    <w:rsid w:val="225C43F1"/>
    <w:rsid w:val="22760601"/>
    <w:rsid w:val="2288042D"/>
    <w:rsid w:val="228A3B1C"/>
    <w:rsid w:val="229102A2"/>
    <w:rsid w:val="22A15615"/>
    <w:rsid w:val="22A9443B"/>
    <w:rsid w:val="22B8534D"/>
    <w:rsid w:val="22BE6393"/>
    <w:rsid w:val="22E5250A"/>
    <w:rsid w:val="22E56C2F"/>
    <w:rsid w:val="22E91669"/>
    <w:rsid w:val="22E959E2"/>
    <w:rsid w:val="22ED1E17"/>
    <w:rsid w:val="22F47480"/>
    <w:rsid w:val="22FD7986"/>
    <w:rsid w:val="231A2C93"/>
    <w:rsid w:val="23205B82"/>
    <w:rsid w:val="233072ED"/>
    <w:rsid w:val="233100FC"/>
    <w:rsid w:val="23340D02"/>
    <w:rsid w:val="23627FFE"/>
    <w:rsid w:val="23644FA5"/>
    <w:rsid w:val="23670C76"/>
    <w:rsid w:val="236B5B20"/>
    <w:rsid w:val="23897ABF"/>
    <w:rsid w:val="238C3C1C"/>
    <w:rsid w:val="238E0581"/>
    <w:rsid w:val="23A3194E"/>
    <w:rsid w:val="23A85901"/>
    <w:rsid w:val="23B96BA5"/>
    <w:rsid w:val="23BD1E54"/>
    <w:rsid w:val="23D624CB"/>
    <w:rsid w:val="23DE1C48"/>
    <w:rsid w:val="23E71CF2"/>
    <w:rsid w:val="23E9366F"/>
    <w:rsid w:val="23E97E9D"/>
    <w:rsid w:val="23EB7745"/>
    <w:rsid w:val="240210CD"/>
    <w:rsid w:val="24191DB4"/>
    <w:rsid w:val="244B069B"/>
    <w:rsid w:val="24506C34"/>
    <w:rsid w:val="246C7815"/>
    <w:rsid w:val="24750BFD"/>
    <w:rsid w:val="247E1BA3"/>
    <w:rsid w:val="24800450"/>
    <w:rsid w:val="24855A40"/>
    <w:rsid w:val="248F0375"/>
    <w:rsid w:val="24901E2A"/>
    <w:rsid w:val="249117C0"/>
    <w:rsid w:val="24942632"/>
    <w:rsid w:val="24984678"/>
    <w:rsid w:val="24A16C61"/>
    <w:rsid w:val="24AA2A05"/>
    <w:rsid w:val="24B32C0A"/>
    <w:rsid w:val="24B45C77"/>
    <w:rsid w:val="24BF09F7"/>
    <w:rsid w:val="24C30F97"/>
    <w:rsid w:val="24F34536"/>
    <w:rsid w:val="24F47D2E"/>
    <w:rsid w:val="24F978B1"/>
    <w:rsid w:val="25050BBC"/>
    <w:rsid w:val="2506693B"/>
    <w:rsid w:val="2507454D"/>
    <w:rsid w:val="25155029"/>
    <w:rsid w:val="25171C3B"/>
    <w:rsid w:val="25250A4E"/>
    <w:rsid w:val="252661A8"/>
    <w:rsid w:val="25275F46"/>
    <w:rsid w:val="25277563"/>
    <w:rsid w:val="252D53FE"/>
    <w:rsid w:val="25360D49"/>
    <w:rsid w:val="25437CE7"/>
    <w:rsid w:val="256E4264"/>
    <w:rsid w:val="257021CB"/>
    <w:rsid w:val="258624F9"/>
    <w:rsid w:val="259F244F"/>
    <w:rsid w:val="25A8333A"/>
    <w:rsid w:val="25AA72B8"/>
    <w:rsid w:val="25C16272"/>
    <w:rsid w:val="25DE7BB1"/>
    <w:rsid w:val="25E13177"/>
    <w:rsid w:val="25E44CB4"/>
    <w:rsid w:val="25EC2D81"/>
    <w:rsid w:val="26010DE7"/>
    <w:rsid w:val="26040024"/>
    <w:rsid w:val="26074519"/>
    <w:rsid w:val="260A1E1A"/>
    <w:rsid w:val="260D20AD"/>
    <w:rsid w:val="2626069F"/>
    <w:rsid w:val="262B52C2"/>
    <w:rsid w:val="262C5475"/>
    <w:rsid w:val="263A7836"/>
    <w:rsid w:val="2656629D"/>
    <w:rsid w:val="266078BE"/>
    <w:rsid w:val="26643718"/>
    <w:rsid w:val="267236CD"/>
    <w:rsid w:val="26796EA5"/>
    <w:rsid w:val="26845AA0"/>
    <w:rsid w:val="26862D14"/>
    <w:rsid w:val="26A378B4"/>
    <w:rsid w:val="26AA4FD0"/>
    <w:rsid w:val="26AD455C"/>
    <w:rsid w:val="26B71B68"/>
    <w:rsid w:val="26BA04C5"/>
    <w:rsid w:val="26BB021C"/>
    <w:rsid w:val="26C71330"/>
    <w:rsid w:val="26C95545"/>
    <w:rsid w:val="26EF7053"/>
    <w:rsid w:val="26F86CAF"/>
    <w:rsid w:val="270061C1"/>
    <w:rsid w:val="2702699C"/>
    <w:rsid w:val="27067A78"/>
    <w:rsid w:val="27093A22"/>
    <w:rsid w:val="273A3CE6"/>
    <w:rsid w:val="273A3E5E"/>
    <w:rsid w:val="273A6632"/>
    <w:rsid w:val="273F306E"/>
    <w:rsid w:val="274679A8"/>
    <w:rsid w:val="275D628A"/>
    <w:rsid w:val="27677738"/>
    <w:rsid w:val="277057A2"/>
    <w:rsid w:val="278070C4"/>
    <w:rsid w:val="278D34EF"/>
    <w:rsid w:val="279C7DD6"/>
    <w:rsid w:val="27A85087"/>
    <w:rsid w:val="27A97FB4"/>
    <w:rsid w:val="27AA529A"/>
    <w:rsid w:val="27B45E65"/>
    <w:rsid w:val="27B762F0"/>
    <w:rsid w:val="27B97F80"/>
    <w:rsid w:val="27BE60D3"/>
    <w:rsid w:val="27C84003"/>
    <w:rsid w:val="27CC0856"/>
    <w:rsid w:val="27E80E20"/>
    <w:rsid w:val="27FB6D7B"/>
    <w:rsid w:val="27FF2ACB"/>
    <w:rsid w:val="280303B9"/>
    <w:rsid w:val="28092BE6"/>
    <w:rsid w:val="280A63A3"/>
    <w:rsid w:val="28141D5C"/>
    <w:rsid w:val="28166F7B"/>
    <w:rsid w:val="2818512F"/>
    <w:rsid w:val="2818565C"/>
    <w:rsid w:val="281E2B46"/>
    <w:rsid w:val="28251C87"/>
    <w:rsid w:val="282B7D63"/>
    <w:rsid w:val="282F6477"/>
    <w:rsid w:val="283B4CA2"/>
    <w:rsid w:val="283E6415"/>
    <w:rsid w:val="28433759"/>
    <w:rsid w:val="28486C91"/>
    <w:rsid w:val="28641229"/>
    <w:rsid w:val="286C263B"/>
    <w:rsid w:val="286C5A69"/>
    <w:rsid w:val="286F28D8"/>
    <w:rsid w:val="28774C40"/>
    <w:rsid w:val="287A04AB"/>
    <w:rsid w:val="287B1C8C"/>
    <w:rsid w:val="288825D9"/>
    <w:rsid w:val="289412F1"/>
    <w:rsid w:val="28946412"/>
    <w:rsid w:val="2899194A"/>
    <w:rsid w:val="28995852"/>
    <w:rsid w:val="289E14C5"/>
    <w:rsid w:val="28A06C06"/>
    <w:rsid w:val="28A40616"/>
    <w:rsid w:val="28C07845"/>
    <w:rsid w:val="28C27B77"/>
    <w:rsid w:val="28C60367"/>
    <w:rsid w:val="28C87893"/>
    <w:rsid w:val="28CE10BA"/>
    <w:rsid w:val="28CE318A"/>
    <w:rsid w:val="28ED7EE6"/>
    <w:rsid w:val="28EF3E78"/>
    <w:rsid w:val="28F7550A"/>
    <w:rsid w:val="29022254"/>
    <w:rsid w:val="290D2D65"/>
    <w:rsid w:val="29113AD9"/>
    <w:rsid w:val="291556C0"/>
    <w:rsid w:val="291D575A"/>
    <w:rsid w:val="29206EB8"/>
    <w:rsid w:val="29235590"/>
    <w:rsid w:val="29235F37"/>
    <w:rsid w:val="293044C0"/>
    <w:rsid w:val="293460E1"/>
    <w:rsid w:val="29394EBA"/>
    <w:rsid w:val="293E0B7C"/>
    <w:rsid w:val="29450F82"/>
    <w:rsid w:val="29452A7B"/>
    <w:rsid w:val="294721E6"/>
    <w:rsid w:val="294B45E1"/>
    <w:rsid w:val="294F79C5"/>
    <w:rsid w:val="29595666"/>
    <w:rsid w:val="296D08A2"/>
    <w:rsid w:val="29757384"/>
    <w:rsid w:val="29827CAC"/>
    <w:rsid w:val="29834454"/>
    <w:rsid w:val="29874881"/>
    <w:rsid w:val="29931C01"/>
    <w:rsid w:val="299C556D"/>
    <w:rsid w:val="29A634FC"/>
    <w:rsid w:val="29AB6C3D"/>
    <w:rsid w:val="29B4201F"/>
    <w:rsid w:val="29C023F6"/>
    <w:rsid w:val="29C94DF3"/>
    <w:rsid w:val="29CC6280"/>
    <w:rsid w:val="29DB41F6"/>
    <w:rsid w:val="29E03A2B"/>
    <w:rsid w:val="29E248B1"/>
    <w:rsid w:val="29E27B2D"/>
    <w:rsid w:val="29E325E0"/>
    <w:rsid w:val="29EC2C69"/>
    <w:rsid w:val="2A034385"/>
    <w:rsid w:val="2A164EB6"/>
    <w:rsid w:val="2A1A3C89"/>
    <w:rsid w:val="2A1A7DD5"/>
    <w:rsid w:val="2A1C07EB"/>
    <w:rsid w:val="2A237631"/>
    <w:rsid w:val="2A2B10B4"/>
    <w:rsid w:val="2A325BB7"/>
    <w:rsid w:val="2A36215B"/>
    <w:rsid w:val="2A3E7EAC"/>
    <w:rsid w:val="2A452503"/>
    <w:rsid w:val="2A7066F1"/>
    <w:rsid w:val="2A841679"/>
    <w:rsid w:val="2A8417D5"/>
    <w:rsid w:val="2A8634F8"/>
    <w:rsid w:val="2A9414F6"/>
    <w:rsid w:val="2A9E41D5"/>
    <w:rsid w:val="2AA51854"/>
    <w:rsid w:val="2AA8035F"/>
    <w:rsid w:val="2AAB7002"/>
    <w:rsid w:val="2AAC5DBB"/>
    <w:rsid w:val="2AAE2137"/>
    <w:rsid w:val="2AB1637E"/>
    <w:rsid w:val="2ABE7A10"/>
    <w:rsid w:val="2AC445E9"/>
    <w:rsid w:val="2AD65084"/>
    <w:rsid w:val="2AE5754B"/>
    <w:rsid w:val="2AE93BD7"/>
    <w:rsid w:val="2AE96EDD"/>
    <w:rsid w:val="2AED5960"/>
    <w:rsid w:val="2AF3167B"/>
    <w:rsid w:val="2AF50418"/>
    <w:rsid w:val="2AFA1EFE"/>
    <w:rsid w:val="2B0D7CBB"/>
    <w:rsid w:val="2B1546C6"/>
    <w:rsid w:val="2B1C435E"/>
    <w:rsid w:val="2B2A25DA"/>
    <w:rsid w:val="2B327803"/>
    <w:rsid w:val="2B3C39C2"/>
    <w:rsid w:val="2B436A03"/>
    <w:rsid w:val="2B4D0A16"/>
    <w:rsid w:val="2B504611"/>
    <w:rsid w:val="2B5129A6"/>
    <w:rsid w:val="2B5B3927"/>
    <w:rsid w:val="2B607A7B"/>
    <w:rsid w:val="2B657511"/>
    <w:rsid w:val="2B6F69A7"/>
    <w:rsid w:val="2B821773"/>
    <w:rsid w:val="2B940EBA"/>
    <w:rsid w:val="2B967B37"/>
    <w:rsid w:val="2B98719C"/>
    <w:rsid w:val="2BA42C90"/>
    <w:rsid w:val="2BA936A8"/>
    <w:rsid w:val="2BAA702C"/>
    <w:rsid w:val="2BC56230"/>
    <w:rsid w:val="2BC73659"/>
    <w:rsid w:val="2BCB19B2"/>
    <w:rsid w:val="2BCD36B8"/>
    <w:rsid w:val="2BD344B7"/>
    <w:rsid w:val="2BD64A8B"/>
    <w:rsid w:val="2BD96A39"/>
    <w:rsid w:val="2BDE2317"/>
    <w:rsid w:val="2C0C091D"/>
    <w:rsid w:val="2C0C22C7"/>
    <w:rsid w:val="2C167255"/>
    <w:rsid w:val="2C19557F"/>
    <w:rsid w:val="2C315A5A"/>
    <w:rsid w:val="2C324781"/>
    <w:rsid w:val="2C4B1C25"/>
    <w:rsid w:val="2C4B20F1"/>
    <w:rsid w:val="2C4D2929"/>
    <w:rsid w:val="2C541388"/>
    <w:rsid w:val="2C601B69"/>
    <w:rsid w:val="2C602B8B"/>
    <w:rsid w:val="2C66350B"/>
    <w:rsid w:val="2C701616"/>
    <w:rsid w:val="2C74403B"/>
    <w:rsid w:val="2C846A10"/>
    <w:rsid w:val="2C866AF5"/>
    <w:rsid w:val="2C88213B"/>
    <w:rsid w:val="2C8F074D"/>
    <w:rsid w:val="2C910752"/>
    <w:rsid w:val="2C913406"/>
    <w:rsid w:val="2C9C1FAD"/>
    <w:rsid w:val="2CA8570C"/>
    <w:rsid w:val="2CAA034D"/>
    <w:rsid w:val="2CB141B6"/>
    <w:rsid w:val="2CB50C5D"/>
    <w:rsid w:val="2CBF356A"/>
    <w:rsid w:val="2CC4161A"/>
    <w:rsid w:val="2CC8112C"/>
    <w:rsid w:val="2CC83C3E"/>
    <w:rsid w:val="2CC93874"/>
    <w:rsid w:val="2CD40513"/>
    <w:rsid w:val="2CDB1F20"/>
    <w:rsid w:val="2CED581B"/>
    <w:rsid w:val="2CEE498F"/>
    <w:rsid w:val="2CF241D2"/>
    <w:rsid w:val="2CF47495"/>
    <w:rsid w:val="2CF475A4"/>
    <w:rsid w:val="2D026D97"/>
    <w:rsid w:val="2D1A21BD"/>
    <w:rsid w:val="2D24533A"/>
    <w:rsid w:val="2D2616DF"/>
    <w:rsid w:val="2D2C0AF6"/>
    <w:rsid w:val="2D2F2CFF"/>
    <w:rsid w:val="2D3164FC"/>
    <w:rsid w:val="2D3D773D"/>
    <w:rsid w:val="2D4078D2"/>
    <w:rsid w:val="2D582414"/>
    <w:rsid w:val="2D5E6681"/>
    <w:rsid w:val="2D650538"/>
    <w:rsid w:val="2D6F65B8"/>
    <w:rsid w:val="2D7C6E53"/>
    <w:rsid w:val="2D7C77B8"/>
    <w:rsid w:val="2D87440F"/>
    <w:rsid w:val="2D891762"/>
    <w:rsid w:val="2D8A43D9"/>
    <w:rsid w:val="2D9E56F5"/>
    <w:rsid w:val="2DA23FFB"/>
    <w:rsid w:val="2DA364BB"/>
    <w:rsid w:val="2DA64C14"/>
    <w:rsid w:val="2DB37290"/>
    <w:rsid w:val="2DBB5E63"/>
    <w:rsid w:val="2DC30C02"/>
    <w:rsid w:val="2DC520A6"/>
    <w:rsid w:val="2DC647D6"/>
    <w:rsid w:val="2DCB4D40"/>
    <w:rsid w:val="2DF343A6"/>
    <w:rsid w:val="2DF9088C"/>
    <w:rsid w:val="2E051DC7"/>
    <w:rsid w:val="2E0A5806"/>
    <w:rsid w:val="2E0E4487"/>
    <w:rsid w:val="2E132B8B"/>
    <w:rsid w:val="2E171E74"/>
    <w:rsid w:val="2E18358E"/>
    <w:rsid w:val="2E1866D7"/>
    <w:rsid w:val="2E1C0D5D"/>
    <w:rsid w:val="2E277E7A"/>
    <w:rsid w:val="2E460CBF"/>
    <w:rsid w:val="2E667F96"/>
    <w:rsid w:val="2E7121E5"/>
    <w:rsid w:val="2E8226AB"/>
    <w:rsid w:val="2E890808"/>
    <w:rsid w:val="2E8A6583"/>
    <w:rsid w:val="2E914F2B"/>
    <w:rsid w:val="2E960F9F"/>
    <w:rsid w:val="2EA43279"/>
    <w:rsid w:val="2EB118EF"/>
    <w:rsid w:val="2EB519B6"/>
    <w:rsid w:val="2EBA4704"/>
    <w:rsid w:val="2EBC58C4"/>
    <w:rsid w:val="2EBD6A03"/>
    <w:rsid w:val="2EC96A82"/>
    <w:rsid w:val="2ED43BB8"/>
    <w:rsid w:val="2ED62853"/>
    <w:rsid w:val="2ED66CA8"/>
    <w:rsid w:val="2EDB0585"/>
    <w:rsid w:val="2EDF291E"/>
    <w:rsid w:val="2EE000C9"/>
    <w:rsid w:val="2EF116DE"/>
    <w:rsid w:val="2EF95412"/>
    <w:rsid w:val="2EFD4771"/>
    <w:rsid w:val="2EFF2BA5"/>
    <w:rsid w:val="2F020AD0"/>
    <w:rsid w:val="2F0A771C"/>
    <w:rsid w:val="2F353C01"/>
    <w:rsid w:val="2F3F0CAD"/>
    <w:rsid w:val="2F4F7689"/>
    <w:rsid w:val="2F631386"/>
    <w:rsid w:val="2F72213F"/>
    <w:rsid w:val="2F7555AF"/>
    <w:rsid w:val="2F8B5B26"/>
    <w:rsid w:val="2F8D1A1D"/>
    <w:rsid w:val="2F935764"/>
    <w:rsid w:val="2F974A6D"/>
    <w:rsid w:val="2F992CB9"/>
    <w:rsid w:val="2FA76809"/>
    <w:rsid w:val="2FA80A1E"/>
    <w:rsid w:val="2FB0037E"/>
    <w:rsid w:val="2FC60B30"/>
    <w:rsid w:val="2FC85C62"/>
    <w:rsid w:val="2FCB3E2F"/>
    <w:rsid w:val="2FD065E6"/>
    <w:rsid w:val="2FD801CD"/>
    <w:rsid w:val="2FD96870"/>
    <w:rsid w:val="2FE3442A"/>
    <w:rsid w:val="2FEA5059"/>
    <w:rsid w:val="2FEA5B3B"/>
    <w:rsid w:val="2FF97731"/>
    <w:rsid w:val="300A6C9C"/>
    <w:rsid w:val="30131BFC"/>
    <w:rsid w:val="3015123C"/>
    <w:rsid w:val="301738A5"/>
    <w:rsid w:val="301B4B5F"/>
    <w:rsid w:val="303203FF"/>
    <w:rsid w:val="304A54B9"/>
    <w:rsid w:val="30534039"/>
    <w:rsid w:val="30580BC9"/>
    <w:rsid w:val="30682B6D"/>
    <w:rsid w:val="306B6669"/>
    <w:rsid w:val="30721980"/>
    <w:rsid w:val="307A2344"/>
    <w:rsid w:val="308C65FE"/>
    <w:rsid w:val="30942C97"/>
    <w:rsid w:val="309E1F92"/>
    <w:rsid w:val="30A35DF6"/>
    <w:rsid w:val="30B60032"/>
    <w:rsid w:val="30C07643"/>
    <w:rsid w:val="30C62628"/>
    <w:rsid w:val="30CB7C8F"/>
    <w:rsid w:val="30CC49AD"/>
    <w:rsid w:val="30D3172E"/>
    <w:rsid w:val="30D84F8E"/>
    <w:rsid w:val="30E0350D"/>
    <w:rsid w:val="30E43E01"/>
    <w:rsid w:val="30E4671A"/>
    <w:rsid w:val="30EA2570"/>
    <w:rsid w:val="30F86EA2"/>
    <w:rsid w:val="30FA2EB2"/>
    <w:rsid w:val="310E02C1"/>
    <w:rsid w:val="31155BE6"/>
    <w:rsid w:val="311E2ED7"/>
    <w:rsid w:val="3126549A"/>
    <w:rsid w:val="313449B2"/>
    <w:rsid w:val="313507E8"/>
    <w:rsid w:val="31351C14"/>
    <w:rsid w:val="31396E25"/>
    <w:rsid w:val="313E47BC"/>
    <w:rsid w:val="314C78F5"/>
    <w:rsid w:val="315619EE"/>
    <w:rsid w:val="315C449C"/>
    <w:rsid w:val="3166251B"/>
    <w:rsid w:val="31684448"/>
    <w:rsid w:val="316B5A3D"/>
    <w:rsid w:val="31733AA7"/>
    <w:rsid w:val="317C472B"/>
    <w:rsid w:val="31836FE3"/>
    <w:rsid w:val="31882832"/>
    <w:rsid w:val="31991B03"/>
    <w:rsid w:val="31A24E3D"/>
    <w:rsid w:val="31A445C9"/>
    <w:rsid w:val="31A850AE"/>
    <w:rsid w:val="31B82709"/>
    <w:rsid w:val="31BC4714"/>
    <w:rsid w:val="31BD25E0"/>
    <w:rsid w:val="31C15EAC"/>
    <w:rsid w:val="31C223B0"/>
    <w:rsid w:val="31C252EA"/>
    <w:rsid w:val="31CC44A6"/>
    <w:rsid w:val="31D015C1"/>
    <w:rsid w:val="31D05482"/>
    <w:rsid w:val="31D07618"/>
    <w:rsid w:val="31DB16A7"/>
    <w:rsid w:val="31DB64E1"/>
    <w:rsid w:val="31DC6C83"/>
    <w:rsid w:val="31DF01C8"/>
    <w:rsid w:val="31EF3BFC"/>
    <w:rsid w:val="31F70474"/>
    <w:rsid w:val="320304D7"/>
    <w:rsid w:val="32031A2C"/>
    <w:rsid w:val="32063073"/>
    <w:rsid w:val="32081B2E"/>
    <w:rsid w:val="32095ED3"/>
    <w:rsid w:val="32150E62"/>
    <w:rsid w:val="321D3C9B"/>
    <w:rsid w:val="322058F1"/>
    <w:rsid w:val="32395687"/>
    <w:rsid w:val="32400B34"/>
    <w:rsid w:val="32501E87"/>
    <w:rsid w:val="32566A82"/>
    <w:rsid w:val="32582F33"/>
    <w:rsid w:val="32730007"/>
    <w:rsid w:val="32732260"/>
    <w:rsid w:val="327E7A12"/>
    <w:rsid w:val="32844B60"/>
    <w:rsid w:val="329011BE"/>
    <w:rsid w:val="3295031A"/>
    <w:rsid w:val="329E6876"/>
    <w:rsid w:val="32A07E26"/>
    <w:rsid w:val="32B15535"/>
    <w:rsid w:val="32B45364"/>
    <w:rsid w:val="32B771C0"/>
    <w:rsid w:val="32BC28E8"/>
    <w:rsid w:val="32BF22DC"/>
    <w:rsid w:val="32D42D6E"/>
    <w:rsid w:val="32DC1BA0"/>
    <w:rsid w:val="32FB01FE"/>
    <w:rsid w:val="32FD7372"/>
    <w:rsid w:val="330169B3"/>
    <w:rsid w:val="3302506E"/>
    <w:rsid w:val="331415B3"/>
    <w:rsid w:val="33181A7B"/>
    <w:rsid w:val="331C5AD4"/>
    <w:rsid w:val="333015F2"/>
    <w:rsid w:val="3337527A"/>
    <w:rsid w:val="3338075D"/>
    <w:rsid w:val="333F2315"/>
    <w:rsid w:val="33426BE4"/>
    <w:rsid w:val="33436482"/>
    <w:rsid w:val="334B6320"/>
    <w:rsid w:val="3350311B"/>
    <w:rsid w:val="33555145"/>
    <w:rsid w:val="336033D3"/>
    <w:rsid w:val="33616029"/>
    <w:rsid w:val="336400D3"/>
    <w:rsid w:val="3379090B"/>
    <w:rsid w:val="337B6429"/>
    <w:rsid w:val="337F541E"/>
    <w:rsid w:val="33840F81"/>
    <w:rsid w:val="33842103"/>
    <w:rsid w:val="339114DD"/>
    <w:rsid w:val="33A5493B"/>
    <w:rsid w:val="33B1286C"/>
    <w:rsid w:val="33B206A5"/>
    <w:rsid w:val="33B23891"/>
    <w:rsid w:val="33D934D4"/>
    <w:rsid w:val="33E83C08"/>
    <w:rsid w:val="33FE2F6A"/>
    <w:rsid w:val="340D2A57"/>
    <w:rsid w:val="340E07E5"/>
    <w:rsid w:val="340E20AE"/>
    <w:rsid w:val="341708CF"/>
    <w:rsid w:val="34235BF7"/>
    <w:rsid w:val="34286900"/>
    <w:rsid w:val="343267D4"/>
    <w:rsid w:val="344A7685"/>
    <w:rsid w:val="344C0176"/>
    <w:rsid w:val="345E008D"/>
    <w:rsid w:val="34795840"/>
    <w:rsid w:val="348723D5"/>
    <w:rsid w:val="348C44AC"/>
    <w:rsid w:val="34927B4E"/>
    <w:rsid w:val="349855D4"/>
    <w:rsid w:val="349B762B"/>
    <w:rsid w:val="34A12D7C"/>
    <w:rsid w:val="34A34C73"/>
    <w:rsid w:val="34A70C73"/>
    <w:rsid w:val="34AA1E88"/>
    <w:rsid w:val="34AA226A"/>
    <w:rsid w:val="34B61D98"/>
    <w:rsid w:val="34BF0BC4"/>
    <w:rsid w:val="34C40EF0"/>
    <w:rsid w:val="34CD657D"/>
    <w:rsid w:val="34CF6ADA"/>
    <w:rsid w:val="34E935E0"/>
    <w:rsid w:val="34F267FD"/>
    <w:rsid w:val="34FC6AFD"/>
    <w:rsid w:val="35083C18"/>
    <w:rsid w:val="352E2F5F"/>
    <w:rsid w:val="352E418B"/>
    <w:rsid w:val="35306577"/>
    <w:rsid w:val="35307718"/>
    <w:rsid w:val="353F5086"/>
    <w:rsid w:val="3544609F"/>
    <w:rsid w:val="35472B7E"/>
    <w:rsid w:val="354F13A8"/>
    <w:rsid w:val="355E7A45"/>
    <w:rsid w:val="357D3C6D"/>
    <w:rsid w:val="35812DEB"/>
    <w:rsid w:val="358171EF"/>
    <w:rsid w:val="358C5FA8"/>
    <w:rsid w:val="35926BC2"/>
    <w:rsid w:val="35962F13"/>
    <w:rsid w:val="35A03B4B"/>
    <w:rsid w:val="35A21D3B"/>
    <w:rsid w:val="35A36311"/>
    <w:rsid w:val="35A83317"/>
    <w:rsid w:val="35A854D3"/>
    <w:rsid w:val="35BC2718"/>
    <w:rsid w:val="35C15DF1"/>
    <w:rsid w:val="35C827B8"/>
    <w:rsid w:val="35DC1723"/>
    <w:rsid w:val="35EE69AE"/>
    <w:rsid w:val="35F216EC"/>
    <w:rsid w:val="35F51ECC"/>
    <w:rsid w:val="35F730D7"/>
    <w:rsid w:val="35FD2C5C"/>
    <w:rsid w:val="35FD3CBD"/>
    <w:rsid w:val="35FF7879"/>
    <w:rsid w:val="36074A7F"/>
    <w:rsid w:val="3616291B"/>
    <w:rsid w:val="363049C9"/>
    <w:rsid w:val="36323E47"/>
    <w:rsid w:val="36357197"/>
    <w:rsid w:val="363902CF"/>
    <w:rsid w:val="363C2C18"/>
    <w:rsid w:val="364D28DB"/>
    <w:rsid w:val="36501D99"/>
    <w:rsid w:val="366253EB"/>
    <w:rsid w:val="36725FD6"/>
    <w:rsid w:val="36750078"/>
    <w:rsid w:val="368469C4"/>
    <w:rsid w:val="36862C19"/>
    <w:rsid w:val="36923549"/>
    <w:rsid w:val="369B33A6"/>
    <w:rsid w:val="369C0BB4"/>
    <w:rsid w:val="36A34BD0"/>
    <w:rsid w:val="36A62D32"/>
    <w:rsid w:val="36B75FBF"/>
    <w:rsid w:val="36BD0C45"/>
    <w:rsid w:val="36DE21AF"/>
    <w:rsid w:val="36E0760F"/>
    <w:rsid w:val="36E406F9"/>
    <w:rsid w:val="36F55BF1"/>
    <w:rsid w:val="36FB44F7"/>
    <w:rsid w:val="36FC10A8"/>
    <w:rsid w:val="36FD0D49"/>
    <w:rsid w:val="370D4C29"/>
    <w:rsid w:val="37175C7C"/>
    <w:rsid w:val="371E12BE"/>
    <w:rsid w:val="371F46E7"/>
    <w:rsid w:val="37251861"/>
    <w:rsid w:val="372B3DBD"/>
    <w:rsid w:val="372C422D"/>
    <w:rsid w:val="37375CE2"/>
    <w:rsid w:val="37461829"/>
    <w:rsid w:val="374A2332"/>
    <w:rsid w:val="3756148F"/>
    <w:rsid w:val="37576EB5"/>
    <w:rsid w:val="375C07A8"/>
    <w:rsid w:val="37637EE0"/>
    <w:rsid w:val="3775094B"/>
    <w:rsid w:val="37784B97"/>
    <w:rsid w:val="377B3E04"/>
    <w:rsid w:val="377D0C75"/>
    <w:rsid w:val="378A18DC"/>
    <w:rsid w:val="37984074"/>
    <w:rsid w:val="379C7E4B"/>
    <w:rsid w:val="37A40FB6"/>
    <w:rsid w:val="37AB26B5"/>
    <w:rsid w:val="37B315E8"/>
    <w:rsid w:val="37BD7CC4"/>
    <w:rsid w:val="37C56D9B"/>
    <w:rsid w:val="37C9647B"/>
    <w:rsid w:val="37CF40A2"/>
    <w:rsid w:val="37D961F4"/>
    <w:rsid w:val="37E00298"/>
    <w:rsid w:val="38062F70"/>
    <w:rsid w:val="38083D24"/>
    <w:rsid w:val="381155DD"/>
    <w:rsid w:val="381A6B01"/>
    <w:rsid w:val="381E6D50"/>
    <w:rsid w:val="381F0124"/>
    <w:rsid w:val="38325A00"/>
    <w:rsid w:val="38376F88"/>
    <w:rsid w:val="383C1641"/>
    <w:rsid w:val="38402264"/>
    <w:rsid w:val="385307DE"/>
    <w:rsid w:val="38616F78"/>
    <w:rsid w:val="386A4B91"/>
    <w:rsid w:val="388040BA"/>
    <w:rsid w:val="38873C6C"/>
    <w:rsid w:val="38905546"/>
    <w:rsid w:val="38914F3C"/>
    <w:rsid w:val="38934ED1"/>
    <w:rsid w:val="389467D9"/>
    <w:rsid w:val="389B0E80"/>
    <w:rsid w:val="389C7F62"/>
    <w:rsid w:val="38B2392A"/>
    <w:rsid w:val="38B302F9"/>
    <w:rsid w:val="38B93C33"/>
    <w:rsid w:val="38C93253"/>
    <w:rsid w:val="38CE7C3C"/>
    <w:rsid w:val="38CF7CD5"/>
    <w:rsid w:val="38D40189"/>
    <w:rsid w:val="38DB5257"/>
    <w:rsid w:val="38DE7238"/>
    <w:rsid w:val="38DF7325"/>
    <w:rsid w:val="38E300B3"/>
    <w:rsid w:val="38EA2D12"/>
    <w:rsid w:val="38F12CD3"/>
    <w:rsid w:val="38F230B2"/>
    <w:rsid w:val="38F66C3A"/>
    <w:rsid w:val="38F94775"/>
    <w:rsid w:val="39094A9D"/>
    <w:rsid w:val="390B277C"/>
    <w:rsid w:val="39182B31"/>
    <w:rsid w:val="391A3876"/>
    <w:rsid w:val="392971ED"/>
    <w:rsid w:val="39325651"/>
    <w:rsid w:val="39373526"/>
    <w:rsid w:val="39467E70"/>
    <w:rsid w:val="395E4263"/>
    <w:rsid w:val="39614D3A"/>
    <w:rsid w:val="39651BF7"/>
    <w:rsid w:val="396A1313"/>
    <w:rsid w:val="396E6C90"/>
    <w:rsid w:val="397769AD"/>
    <w:rsid w:val="397A388D"/>
    <w:rsid w:val="397A5C8A"/>
    <w:rsid w:val="397F36E4"/>
    <w:rsid w:val="39892816"/>
    <w:rsid w:val="398A7594"/>
    <w:rsid w:val="398D587E"/>
    <w:rsid w:val="39923B96"/>
    <w:rsid w:val="39BE4C03"/>
    <w:rsid w:val="39C60509"/>
    <w:rsid w:val="39D02CC2"/>
    <w:rsid w:val="39F60852"/>
    <w:rsid w:val="39FD7DD9"/>
    <w:rsid w:val="39FF58D0"/>
    <w:rsid w:val="3A052674"/>
    <w:rsid w:val="3A2142A9"/>
    <w:rsid w:val="3A283CBB"/>
    <w:rsid w:val="3A3B667D"/>
    <w:rsid w:val="3A495599"/>
    <w:rsid w:val="3A5F61E0"/>
    <w:rsid w:val="3A611AAB"/>
    <w:rsid w:val="3A6A1301"/>
    <w:rsid w:val="3A6A603A"/>
    <w:rsid w:val="3A761ABF"/>
    <w:rsid w:val="3A7872CD"/>
    <w:rsid w:val="3A872856"/>
    <w:rsid w:val="3A8A37BA"/>
    <w:rsid w:val="3A8B4B3E"/>
    <w:rsid w:val="3A9A3D40"/>
    <w:rsid w:val="3AA1162C"/>
    <w:rsid w:val="3AB00E1F"/>
    <w:rsid w:val="3ABE2E01"/>
    <w:rsid w:val="3ACB25D8"/>
    <w:rsid w:val="3ACD7885"/>
    <w:rsid w:val="3AD41F63"/>
    <w:rsid w:val="3AD44E03"/>
    <w:rsid w:val="3AD61D5E"/>
    <w:rsid w:val="3ADE0632"/>
    <w:rsid w:val="3AE74C19"/>
    <w:rsid w:val="3AF96A3F"/>
    <w:rsid w:val="3B0037AA"/>
    <w:rsid w:val="3B025364"/>
    <w:rsid w:val="3B14655C"/>
    <w:rsid w:val="3B176E75"/>
    <w:rsid w:val="3B1C39B6"/>
    <w:rsid w:val="3B202AFD"/>
    <w:rsid w:val="3B211270"/>
    <w:rsid w:val="3B256A80"/>
    <w:rsid w:val="3B2B3A65"/>
    <w:rsid w:val="3B307D14"/>
    <w:rsid w:val="3B3526DD"/>
    <w:rsid w:val="3B3763D1"/>
    <w:rsid w:val="3B381DDE"/>
    <w:rsid w:val="3B3D0B08"/>
    <w:rsid w:val="3B3E4D44"/>
    <w:rsid w:val="3B401226"/>
    <w:rsid w:val="3B4572B3"/>
    <w:rsid w:val="3B4F0A2E"/>
    <w:rsid w:val="3B57582C"/>
    <w:rsid w:val="3B5769F4"/>
    <w:rsid w:val="3B5D7B91"/>
    <w:rsid w:val="3B607B8D"/>
    <w:rsid w:val="3B6222BD"/>
    <w:rsid w:val="3B665F7B"/>
    <w:rsid w:val="3B6A308E"/>
    <w:rsid w:val="3B6C26B6"/>
    <w:rsid w:val="3B721953"/>
    <w:rsid w:val="3B743366"/>
    <w:rsid w:val="3B842430"/>
    <w:rsid w:val="3B8902B7"/>
    <w:rsid w:val="3B906FEB"/>
    <w:rsid w:val="3B911FFF"/>
    <w:rsid w:val="3BA433F2"/>
    <w:rsid w:val="3BA67A24"/>
    <w:rsid w:val="3BAA3E95"/>
    <w:rsid w:val="3BAD7498"/>
    <w:rsid w:val="3BB40542"/>
    <w:rsid w:val="3BBB367A"/>
    <w:rsid w:val="3BC864C0"/>
    <w:rsid w:val="3BD11B18"/>
    <w:rsid w:val="3BD70003"/>
    <w:rsid w:val="3BD90C7D"/>
    <w:rsid w:val="3BE31E66"/>
    <w:rsid w:val="3BF259A5"/>
    <w:rsid w:val="3C201B5F"/>
    <w:rsid w:val="3C202BF6"/>
    <w:rsid w:val="3C2A65B7"/>
    <w:rsid w:val="3C2F6E1E"/>
    <w:rsid w:val="3C385353"/>
    <w:rsid w:val="3C434156"/>
    <w:rsid w:val="3C486F79"/>
    <w:rsid w:val="3C4C4725"/>
    <w:rsid w:val="3C4F64BA"/>
    <w:rsid w:val="3C590799"/>
    <w:rsid w:val="3C5E0315"/>
    <w:rsid w:val="3C6434E6"/>
    <w:rsid w:val="3C6C0D26"/>
    <w:rsid w:val="3C755BB7"/>
    <w:rsid w:val="3C8F64F4"/>
    <w:rsid w:val="3C9031FE"/>
    <w:rsid w:val="3C955D2E"/>
    <w:rsid w:val="3C9A28AC"/>
    <w:rsid w:val="3CA82FCA"/>
    <w:rsid w:val="3CA92F6C"/>
    <w:rsid w:val="3CAC4E90"/>
    <w:rsid w:val="3CC51739"/>
    <w:rsid w:val="3CCE73EB"/>
    <w:rsid w:val="3CDA245A"/>
    <w:rsid w:val="3CDD236D"/>
    <w:rsid w:val="3D0134B6"/>
    <w:rsid w:val="3D0B67EB"/>
    <w:rsid w:val="3D0E51C0"/>
    <w:rsid w:val="3D116DEA"/>
    <w:rsid w:val="3D197492"/>
    <w:rsid w:val="3D19780D"/>
    <w:rsid w:val="3D1E06B7"/>
    <w:rsid w:val="3D2D275D"/>
    <w:rsid w:val="3D2F7BE8"/>
    <w:rsid w:val="3D391BB4"/>
    <w:rsid w:val="3D3A7F53"/>
    <w:rsid w:val="3D414A45"/>
    <w:rsid w:val="3D457FD1"/>
    <w:rsid w:val="3D52539D"/>
    <w:rsid w:val="3D544205"/>
    <w:rsid w:val="3D64557F"/>
    <w:rsid w:val="3D6673FE"/>
    <w:rsid w:val="3D677DDF"/>
    <w:rsid w:val="3D736C48"/>
    <w:rsid w:val="3D74475E"/>
    <w:rsid w:val="3D7B1CC5"/>
    <w:rsid w:val="3D8A2034"/>
    <w:rsid w:val="3D8F3626"/>
    <w:rsid w:val="3D951655"/>
    <w:rsid w:val="3D9679F8"/>
    <w:rsid w:val="3DA6398A"/>
    <w:rsid w:val="3DB769B9"/>
    <w:rsid w:val="3DC21D23"/>
    <w:rsid w:val="3DC52131"/>
    <w:rsid w:val="3DC72D7B"/>
    <w:rsid w:val="3DC829DF"/>
    <w:rsid w:val="3DD85443"/>
    <w:rsid w:val="3DFC688D"/>
    <w:rsid w:val="3DFE2B02"/>
    <w:rsid w:val="3E1123EB"/>
    <w:rsid w:val="3E1839DD"/>
    <w:rsid w:val="3E251D9E"/>
    <w:rsid w:val="3E3610D5"/>
    <w:rsid w:val="3E624860"/>
    <w:rsid w:val="3E741C5B"/>
    <w:rsid w:val="3E8A644D"/>
    <w:rsid w:val="3E8D6055"/>
    <w:rsid w:val="3E9B440F"/>
    <w:rsid w:val="3E9D0266"/>
    <w:rsid w:val="3EAB6AAD"/>
    <w:rsid w:val="3EB31778"/>
    <w:rsid w:val="3EC14DE0"/>
    <w:rsid w:val="3EDA0523"/>
    <w:rsid w:val="3EDC3AA9"/>
    <w:rsid w:val="3EE14B14"/>
    <w:rsid w:val="3EF00A1C"/>
    <w:rsid w:val="3EF0414D"/>
    <w:rsid w:val="3EF13048"/>
    <w:rsid w:val="3EF92500"/>
    <w:rsid w:val="3F0F2BF9"/>
    <w:rsid w:val="3F1000BA"/>
    <w:rsid w:val="3F11016B"/>
    <w:rsid w:val="3F1A4F00"/>
    <w:rsid w:val="3F2542C5"/>
    <w:rsid w:val="3F2F3033"/>
    <w:rsid w:val="3F362506"/>
    <w:rsid w:val="3F3D472D"/>
    <w:rsid w:val="3F413830"/>
    <w:rsid w:val="3F463A60"/>
    <w:rsid w:val="3F47414A"/>
    <w:rsid w:val="3F5F1659"/>
    <w:rsid w:val="3F747A1A"/>
    <w:rsid w:val="3F845BF8"/>
    <w:rsid w:val="3F9265C9"/>
    <w:rsid w:val="3F9C3D6A"/>
    <w:rsid w:val="3FA1662A"/>
    <w:rsid w:val="3FA4201D"/>
    <w:rsid w:val="3FB34837"/>
    <w:rsid w:val="3FB429D5"/>
    <w:rsid w:val="3FC41290"/>
    <w:rsid w:val="3FCC42F4"/>
    <w:rsid w:val="3FE14D52"/>
    <w:rsid w:val="3FE87636"/>
    <w:rsid w:val="3FF36453"/>
    <w:rsid w:val="3FF95F93"/>
    <w:rsid w:val="40091D95"/>
    <w:rsid w:val="401118DD"/>
    <w:rsid w:val="40121A7F"/>
    <w:rsid w:val="401E17E0"/>
    <w:rsid w:val="40316D90"/>
    <w:rsid w:val="404615C3"/>
    <w:rsid w:val="405B15BC"/>
    <w:rsid w:val="407A6407"/>
    <w:rsid w:val="4083088E"/>
    <w:rsid w:val="408C61BD"/>
    <w:rsid w:val="40951AE3"/>
    <w:rsid w:val="409B024A"/>
    <w:rsid w:val="40A22C23"/>
    <w:rsid w:val="40A479E2"/>
    <w:rsid w:val="40A55AA4"/>
    <w:rsid w:val="40AD3917"/>
    <w:rsid w:val="40C41E8A"/>
    <w:rsid w:val="40D5715C"/>
    <w:rsid w:val="40DB6ADF"/>
    <w:rsid w:val="40DC75F2"/>
    <w:rsid w:val="40DC79C2"/>
    <w:rsid w:val="40E25A79"/>
    <w:rsid w:val="40F1548E"/>
    <w:rsid w:val="40F3566F"/>
    <w:rsid w:val="40FC3CA5"/>
    <w:rsid w:val="41000E62"/>
    <w:rsid w:val="410A47C8"/>
    <w:rsid w:val="410E1042"/>
    <w:rsid w:val="41177BB5"/>
    <w:rsid w:val="41202DDC"/>
    <w:rsid w:val="41230DC5"/>
    <w:rsid w:val="41254CA9"/>
    <w:rsid w:val="412D4AD5"/>
    <w:rsid w:val="4131582E"/>
    <w:rsid w:val="414E1739"/>
    <w:rsid w:val="41543983"/>
    <w:rsid w:val="41581BF6"/>
    <w:rsid w:val="4172448B"/>
    <w:rsid w:val="4173045E"/>
    <w:rsid w:val="417376AB"/>
    <w:rsid w:val="41753347"/>
    <w:rsid w:val="41782CD4"/>
    <w:rsid w:val="41783B8C"/>
    <w:rsid w:val="418353E6"/>
    <w:rsid w:val="41870306"/>
    <w:rsid w:val="41927F2C"/>
    <w:rsid w:val="41AB64B2"/>
    <w:rsid w:val="41C06379"/>
    <w:rsid w:val="41C449A2"/>
    <w:rsid w:val="41C82CA8"/>
    <w:rsid w:val="41C9023F"/>
    <w:rsid w:val="41D74B99"/>
    <w:rsid w:val="41DF6E57"/>
    <w:rsid w:val="41E70695"/>
    <w:rsid w:val="41E76DFE"/>
    <w:rsid w:val="4200449D"/>
    <w:rsid w:val="421764D6"/>
    <w:rsid w:val="421A4542"/>
    <w:rsid w:val="421B5F81"/>
    <w:rsid w:val="42394A3C"/>
    <w:rsid w:val="423A3BCC"/>
    <w:rsid w:val="423E0605"/>
    <w:rsid w:val="424E57D2"/>
    <w:rsid w:val="42713FC4"/>
    <w:rsid w:val="42740A97"/>
    <w:rsid w:val="427B3671"/>
    <w:rsid w:val="42B26C49"/>
    <w:rsid w:val="42C57493"/>
    <w:rsid w:val="42CD73D6"/>
    <w:rsid w:val="42DF4941"/>
    <w:rsid w:val="42E86CE3"/>
    <w:rsid w:val="42EA0FE8"/>
    <w:rsid w:val="42EA318C"/>
    <w:rsid w:val="431C56D5"/>
    <w:rsid w:val="43392980"/>
    <w:rsid w:val="433A64E2"/>
    <w:rsid w:val="433A6FE6"/>
    <w:rsid w:val="43480868"/>
    <w:rsid w:val="434F42D1"/>
    <w:rsid w:val="4350713C"/>
    <w:rsid w:val="436653E0"/>
    <w:rsid w:val="43681E28"/>
    <w:rsid w:val="436943DE"/>
    <w:rsid w:val="436A5957"/>
    <w:rsid w:val="437564A9"/>
    <w:rsid w:val="437E3A8E"/>
    <w:rsid w:val="43833D9B"/>
    <w:rsid w:val="43853C95"/>
    <w:rsid w:val="43873F43"/>
    <w:rsid w:val="439509F5"/>
    <w:rsid w:val="43952A7C"/>
    <w:rsid w:val="43A144AD"/>
    <w:rsid w:val="43AD42A8"/>
    <w:rsid w:val="43B1262C"/>
    <w:rsid w:val="43B3597F"/>
    <w:rsid w:val="43C4431A"/>
    <w:rsid w:val="43C86E2A"/>
    <w:rsid w:val="43CA0BA5"/>
    <w:rsid w:val="43CA6512"/>
    <w:rsid w:val="43CC3DDA"/>
    <w:rsid w:val="43D00F33"/>
    <w:rsid w:val="43D14D56"/>
    <w:rsid w:val="43D438D0"/>
    <w:rsid w:val="43D80154"/>
    <w:rsid w:val="43DB557C"/>
    <w:rsid w:val="43E478D2"/>
    <w:rsid w:val="43E853A9"/>
    <w:rsid w:val="43ED2DEB"/>
    <w:rsid w:val="43F578C2"/>
    <w:rsid w:val="4409479E"/>
    <w:rsid w:val="440E2FC9"/>
    <w:rsid w:val="440E4562"/>
    <w:rsid w:val="440F5C98"/>
    <w:rsid w:val="441814A3"/>
    <w:rsid w:val="441F1810"/>
    <w:rsid w:val="442458ED"/>
    <w:rsid w:val="44452BA2"/>
    <w:rsid w:val="44542703"/>
    <w:rsid w:val="44570490"/>
    <w:rsid w:val="44583B0F"/>
    <w:rsid w:val="44610B19"/>
    <w:rsid w:val="447A167B"/>
    <w:rsid w:val="447A4E52"/>
    <w:rsid w:val="4481326D"/>
    <w:rsid w:val="449B06FA"/>
    <w:rsid w:val="44A30DC4"/>
    <w:rsid w:val="44A31C8C"/>
    <w:rsid w:val="44A663B6"/>
    <w:rsid w:val="44A8425C"/>
    <w:rsid w:val="44AB26AD"/>
    <w:rsid w:val="44B609F9"/>
    <w:rsid w:val="44B951CC"/>
    <w:rsid w:val="44C071C7"/>
    <w:rsid w:val="44C55012"/>
    <w:rsid w:val="44CD14E0"/>
    <w:rsid w:val="44D71071"/>
    <w:rsid w:val="44DD165C"/>
    <w:rsid w:val="44DF6D0F"/>
    <w:rsid w:val="44E435D8"/>
    <w:rsid w:val="44E57B42"/>
    <w:rsid w:val="44E674F8"/>
    <w:rsid w:val="44F20B0B"/>
    <w:rsid w:val="44F312DA"/>
    <w:rsid w:val="4500507D"/>
    <w:rsid w:val="45030A6C"/>
    <w:rsid w:val="45070FF1"/>
    <w:rsid w:val="451526F1"/>
    <w:rsid w:val="451B56B5"/>
    <w:rsid w:val="452C6116"/>
    <w:rsid w:val="452E5F4C"/>
    <w:rsid w:val="45390B50"/>
    <w:rsid w:val="4540350F"/>
    <w:rsid w:val="4541286E"/>
    <w:rsid w:val="45477498"/>
    <w:rsid w:val="454F12E6"/>
    <w:rsid w:val="455260E6"/>
    <w:rsid w:val="45612018"/>
    <w:rsid w:val="45664208"/>
    <w:rsid w:val="456928A4"/>
    <w:rsid w:val="45693037"/>
    <w:rsid w:val="457C4024"/>
    <w:rsid w:val="457F2C61"/>
    <w:rsid w:val="45840CE8"/>
    <w:rsid w:val="458946E9"/>
    <w:rsid w:val="458D5501"/>
    <w:rsid w:val="458F40FC"/>
    <w:rsid w:val="45930CC6"/>
    <w:rsid w:val="45A47C0E"/>
    <w:rsid w:val="45A617C7"/>
    <w:rsid w:val="45A80DAF"/>
    <w:rsid w:val="45AC45EB"/>
    <w:rsid w:val="45AF00D0"/>
    <w:rsid w:val="45BD6660"/>
    <w:rsid w:val="45C03ACD"/>
    <w:rsid w:val="45C6723D"/>
    <w:rsid w:val="45CC415C"/>
    <w:rsid w:val="45D01EAD"/>
    <w:rsid w:val="45D16BF2"/>
    <w:rsid w:val="45D7688A"/>
    <w:rsid w:val="45D8473E"/>
    <w:rsid w:val="45E6065D"/>
    <w:rsid w:val="46155ADA"/>
    <w:rsid w:val="46197BC9"/>
    <w:rsid w:val="461C4042"/>
    <w:rsid w:val="461C71F7"/>
    <w:rsid w:val="462028DC"/>
    <w:rsid w:val="4620564B"/>
    <w:rsid w:val="46237B2B"/>
    <w:rsid w:val="462501F1"/>
    <w:rsid w:val="462A4DDA"/>
    <w:rsid w:val="463011EF"/>
    <w:rsid w:val="46350D0F"/>
    <w:rsid w:val="463928F5"/>
    <w:rsid w:val="463A182E"/>
    <w:rsid w:val="463E416A"/>
    <w:rsid w:val="464C643F"/>
    <w:rsid w:val="46503629"/>
    <w:rsid w:val="4651171D"/>
    <w:rsid w:val="46577FD6"/>
    <w:rsid w:val="466A49FF"/>
    <w:rsid w:val="46705C2B"/>
    <w:rsid w:val="46732042"/>
    <w:rsid w:val="46746DFF"/>
    <w:rsid w:val="4687680B"/>
    <w:rsid w:val="46900552"/>
    <w:rsid w:val="46A15014"/>
    <w:rsid w:val="46A74E4B"/>
    <w:rsid w:val="46C05BCF"/>
    <w:rsid w:val="46C23E73"/>
    <w:rsid w:val="46C244A5"/>
    <w:rsid w:val="46C41C1A"/>
    <w:rsid w:val="46CC7BE5"/>
    <w:rsid w:val="46CD0D77"/>
    <w:rsid w:val="46D409E4"/>
    <w:rsid w:val="46D955A7"/>
    <w:rsid w:val="46DA3854"/>
    <w:rsid w:val="46E14ED7"/>
    <w:rsid w:val="46F05CE9"/>
    <w:rsid w:val="46F60205"/>
    <w:rsid w:val="46F87B16"/>
    <w:rsid w:val="46FC3300"/>
    <w:rsid w:val="47010239"/>
    <w:rsid w:val="47046B53"/>
    <w:rsid w:val="470B7BCF"/>
    <w:rsid w:val="47133957"/>
    <w:rsid w:val="47231DA6"/>
    <w:rsid w:val="47272759"/>
    <w:rsid w:val="472C4D63"/>
    <w:rsid w:val="47381BEE"/>
    <w:rsid w:val="47382D0F"/>
    <w:rsid w:val="474426CE"/>
    <w:rsid w:val="47455D03"/>
    <w:rsid w:val="47585B03"/>
    <w:rsid w:val="47604A66"/>
    <w:rsid w:val="47675739"/>
    <w:rsid w:val="47706DA1"/>
    <w:rsid w:val="477D78B0"/>
    <w:rsid w:val="47803676"/>
    <w:rsid w:val="478628A0"/>
    <w:rsid w:val="478E2F1A"/>
    <w:rsid w:val="47A07E0C"/>
    <w:rsid w:val="47A93B54"/>
    <w:rsid w:val="47B268BF"/>
    <w:rsid w:val="47B469B2"/>
    <w:rsid w:val="47B760EF"/>
    <w:rsid w:val="47CC74BF"/>
    <w:rsid w:val="47CE2799"/>
    <w:rsid w:val="47D043B4"/>
    <w:rsid w:val="47D93BBC"/>
    <w:rsid w:val="47E07741"/>
    <w:rsid w:val="47E22282"/>
    <w:rsid w:val="47EF7069"/>
    <w:rsid w:val="47EF72F5"/>
    <w:rsid w:val="47F877CE"/>
    <w:rsid w:val="47FC5CA8"/>
    <w:rsid w:val="48004887"/>
    <w:rsid w:val="48021CE7"/>
    <w:rsid w:val="480569F0"/>
    <w:rsid w:val="480824A3"/>
    <w:rsid w:val="480E6028"/>
    <w:rsid w:val="48194533"/>
    <w:rsid w:val="481953A7"/>
    <w:rsid w:val="482A35FB"/>
    <w:rsid w:val="48300311"/>
    <w:rsid w:val="48390A7E"/>
    <w:rsid w:val="485E0764"/>
    <w:rsid w:val="48622CB7"/>
    <w:rsid w:val="4865361C"/>
    <w:rsid w:val="486813B1"/>
    <w:rsid w:val="486A7772"/>
    <w:rsid w:val="4870272E"/>
    <w:rsid w:val="488175C6"/>
    <w:rsid w:val="48836CDF"/>
    <w:rsid w:val="489D70FD"/>
    <w:rsid w:val="48B2697B"/>
    <w:rsid w:val="48C20A74"/>
    <w:rsid w:val="48C44686"/>
    <w:rsid w:val="48CB36D2"/>
    <w:rsid w:val="48DA5DBD"/>
    <w:rsid w:val="48DC20BF"/>
    <w:rsid w:val="48E33DD8"/>
    <w:rsid w:val="48EB1755"/>
    <w:rsid w:val="48EB4592"/>
    <w:rsid w:val="48FD2FF1"/>
    <w:rsid w:val="4909096A"/>
    <w:rsid w:val="490A0A4F"/>
    <w:rsid w:val="49320D3F"/>
    <w:rsid w:val="49385671"/>
    <w:rsid w:val="493D6A43"/>
    <w:rsid w:val="4941712C"/>
    <w:rsid w:val="49641995"/>
    <w:rsid w:val="4968737C"/>
    <w:rsid w:val="496E1EFA"/>
    <w:rsid w:val="49952E61"/>
    <w:rsid w:val="49992877"/>
    <w:rsid w:val="499D068C"/>
    <w:rsid w:val="49A907A2"/>
    <w:rsid w:val="49B35D94"/>
    <w:rsid w:val="49B4143E"/>
    <w:rsid w:val="49BD7F26"/>
    <w:rsid w:val="49D527DD"/>
    <w:rsid w:val="49DC7715"/>
    <w:rsid w:val="49E86BA8"/>
    <w:rsid w:val="49F17BF6"/>
    <w:rsid w:val="4A023139"/>
    <w:rsid w:val="4A063014"/>
    <w:rsid w:val="4A0D21FE"/>
    <w:rsid w:val="4A0D5E89"/>
    <w:rsid w:val="4A1E0E26"/>
    <w:rsid w:val="4A2E003A"/>
    <w:rsid w:val="4A3933D5"/>
    <w:rsid w:val="4A454933"/>
    <w:rsid w:val="4A474FA3"/>
    <w:rsid w:val="4A5133DD"/>
    <w:rsid w:val="4A5A19E8"/>
    <w:rsid w:val="4A617D26"/>
    <w:rsid w:val="4A7535F2"/>
    <w:rsid w:val="4A7B576F"/>
    <w:rsid w:val="4A7B7553"/>
    <w:rsid w:val="4A7D2F39"/>
    <w:rsid w:val="4A7D4877"/>
    <w:rsid w:val="4A867908"/>
    <w:rsid w:val="4A871FBE"/>
    <w:rsid w:val="4A8F6233"/>
    <w:rsid w:val="4A9228DE"/>
    <w:rsid w:val="4A924EEC"/>
    <w:rsid w:val="4AC251C1"/>
    <w:rsid w:val="4ACC1A05"/>
    <w:rsid w:val="4AD64C38"/>
    <w:rsid w:val="4AE15816"/>
    <w:rsid w:val="4AE56FAD"/>
    <w:rsid w:val="4AEA4A41"/>
    <w:rsid w:val="4AF14F8B"/>
    <w:rsid w:val="4AF561A9"/>
    <w:rsid w:val="4B0C4F4B"/>
    <w:rsid w:val="4B0D45E9"/>
    <w:rsid w:val="4B2125B5"/>
    <w:rsid w:val="4B223EC6"/>
    <w:rsid w:val="4B3443C5"/>
    <w:rsid w:val="4B402408"/>
    <w:rsid w:val="4B436C97"/>
    <w:rsid w:val="4B4C129D"/>
    <w:rsid w:val="4B5D1AF0"/>
    <w:rsid w:val="4B6E521D"/>
    <w:rsid w:val="4B716A7B"/>
    <w:rsid w:val="4B726865"/>
    <w:rsid w:val="4B7E5126"/>
    <w:rsid w:val="4B8F3074"/>
    <w:rsid w:val="4B93334D"/>
    <w:rsid w:val="4B9437DA"/>
    <w:rsid w:val="4B9A11A6"/>
    <w:rsid w:val="4BA53585"/>
    <w:rsid w:val="4BB76A2D"/>
    <w:rsid w:val="4BBC2634"/>
    <w:rsid w:val="4BC50DA3"/>
    <w:rsid w:val="4BCA4260"/>
    <w:rsid w:val="4BCB44EA"/>
    <w:rsid w:val="4BD0108B"/>
    <w:rsid w:val="4BD06A6E"/>
    <w:rsid w:val="4BD13638"/>
    <w:rsid w:val="4BD83040"/>
    <w:rsid w:val="4BD94640"/>
    <w:rsid w:val="4BDC62FC"/>
    <w:rsid w:val="4BEA6EB0"/>
    <w:rsid w:val="4BF72810"/>
    <w:rsid w:val="4C2737AF"/>
    <w:rsid w:val="4C3A6B12"/>
    <w:rsid w:val="4C3C0555"/>
    <w:rsid w:val="4C453AD7"/>
    <w:rsid w:val="4C4A0649"/>
    <w:rsid w:val="4C4D4731"/>
    <w:rsid w:val="4C5021FA"/>
    <w:rsid w:val="4C5E6E38"/>
    <w:rsid w:val="4C69642D"/>
    <w:rsid w:val="4C6B05DE"/>
    <w:rsid w:val="4C702140"/>
    <w:rsid w:val="4C7C52E3"/>
    <w:rsid w:val="4C7E5ECA"/>
    <w:rsid w:val="4C875586"/>
    <w:rsid w:val="4C876AA5"/>
    <w:rsid w:val="4C8E234A"/>
    <w:rsid w:val="4C9E2E2E"/>
    <w:rsid w:val="4CA51209"/>
    <w:rsid w:val="4CAA07FD"/>
    <w:rsid w:val="4CC0170B"/>
    <w:rsid w:val="4CD9433D"/>
    <w:rsid w:val="4CEF2291"/>
    <w:rsid w:val="4CFC5A42"/>
    <w:rsid w:val="4CFE009B"/>
    <w:rsid w:val="4D0673C1"/>
    <w:rsid w:val="4D0E00FB"/>
    <w:rsid w:val="4D0F34E9"/>
    <w:rsid w:val="4D176606"/>
    <w:rsid w:val="4D207E79"/>
    <w:rsid w:val="4D2C0C66"/>
    <w:rsid w:val="4D2D009F"/>
    <w:rsid w:val="4D356968"/>
    <w:rsid w:val="4D375E65"/>
    <w:rsid w:val="4D3C7123"/>
    <w:rsid w:val="4D471FC2"/>
    <w:rsid w:val="4D53078D"/>
    <w:rsid w:val="4D5B7873"/>
    <w:rsid w:val="4D6D7900"/>
    <w:rsid w:val="4D772485"/>
    <w:rsid w:val="4D7B1DB7"/>
    <w:rsid w:val="4D806E99"/>
    <w:rsid w:val="4D8A1200"/>
    <w:rsid w:val="4D915934"/>
    <w:rsid w:val="4D956B42"/>
    <w:rsid w:val="4D990DC6"/>
    <w:rsid w:val="4DBC1F35"/>
    <w:rsid w:val="4DC258D4"/>
    <w:rsid w:val="4DC80AA4"/>
    <w:rsid w:val="4DCB1BE8"/>
    <w:rsid w:val="4DCD0866"/>
    <w:rsid w:val="4DD32555"/>
    <w:rsid w:val="4DDD4EF5"/>
    <w:rsid w:val="4DE10CE8"/>
    <w:rsid w:val="4DE34AA9"/>
    <w:rsid w:val="4DE43C15"/>
    <w:rsid w:val="4DEB1BCF"/>
    <w:rsid w:val="4DEC4FB0"/>
    <w:rsid w:val="4DF81670"/>
    <w:rsid w:val="4DF93DAC"/>
    <w:rsid w:val="4E075D8A"/>
    <w:rsid w:val="4E127C41"/>
    <w:rsid w:val="4E164245"/>
    <w:rsid w:val="4E1E0237"/>
    <w:rsid w:val="4E202976"/>
    <w:rsid w:val="4E2308BA"/>
    <w:rsid w:val="4E2A4DC2"/>
    <w:rsid w:val="4E386080"/>
    <w:rsid w:val="4E3F6E79"/>
    <w:rsid w:val="4E414D4F"/>
    <w:rsid w:val="4E4B1A8D"/>
    <w:rsid w:val="4E513DF4"/>
    <w:rsid w:val="4E586901"/>
    <w:rsid w:val="4E672003"/>
    <w:rsid w:val="4E7340B1"/>
    <w:rsid w:val="4E8279AF"/>
    <w:rsid w:val="4E865C97"/>
    <w:rsid w:val="4E9018FF"/>
    <w:rsid w:val="4E9410F1"/>
    <w:rsid w:val="4EA75D21"/>
    <w:rsid w:val="4EB01B1D"/>
    <w:rsid w:val="4EB44AF0"/>
    <w:rsid w:val="4EB924A4"/>
    <w:rsid w:val="4EBC4B5A"/>
    <w:rsid w:val="4EC00FAD"/>
    <w:rsid w:val="4EDA5EA8"/>
    <w:rsid w:val="4EE71623"/>
    <w:rsid w:val="4EF628AE"/>
    <w:rsid w:val="4EF9062B"/>
    <w:rsid w:val="4F046FD3"/>
    <w:rsid w:val="4F067653"/>
    <w:rsid w:val="4F0E4AFB"/>
    <w:rsid w:val="4F101B15"/>
    <w:rsid w:val="4F110817"/>
    <w:rsid w:val="4F115261"/>
    <w:rsid w:val="4F137EEC"/>
    <w:rsid w:val="4F155E71"/>
    <w:rsid w:val="4F1A07FB"/>
    <w:rsid w:val="4F2D50ED"/>
    <w:rsid w:val="4F38758F"/>
    <w:rsid w:val="4F527781"/>
    <w:rsid w:val="4F551D8D"/>
    <w:rsid w:val="4F5D207B"/>
    <w:rsid w:val="4F644F93"/>
    <w:rsid w:val="4F70228E"/>
    <w:rsid w:val="4F74021B"/>
    <w:rsid w:val="4F82099D"/>
    <w:rsid w:val="4F824680"/>
    <w:rsid w:val="4F8A4637"/>
    <w:rsid w:val="4F8E0C7F"/>
    <w:rsid w:val="4F92690D"/>
    <w:rsid w:val="4F940AF0"/>
    <w:rsid w:val="4F975B51"/>
    <w:rsid w:val="4F9843DC"/>
    <w:rsid w:val="4F9B2FF2"/>
    <w:rsid w:val="4FA71777"/>
    <w:rsid w:val="4FA972D6"/>
    <w:rsid w:val="4FB34D18"/>
    <w:rsid w:val="4FB96F37"/>
    <w:rsid w:val="4FC16B45"/>
    <w:rsid w:val="4FC44958"/>
    <w:rsid w:val="4FC45B48"/>
    <w:rsid w:val="4FC62A8C"/>
    <w:rsid w:val="4FD36BD4"/>
    <w:rsid w:val="4FDF4F4D"/>
    <w:rsid w:val="4FE20F0D"/>
    <w:rsid w:val="4FE51552"/>
    <w:rsid w:val="4FF202B4"/>
    <w:rsid w:val="4FFD4CE7"/>
    <w:rsid w:val="4FFF2770"/>
    <w:rsid w:val="50083388"/>
    <w:rsid w:val="50155212"/>
    <w:rsid w:val="5018693D"/>
    <w:rsid w:val="502412BA"/>
    <w:rsid w:val="5031118D"/>
    <w:rsid w:val="5033309C"/>
    <w:rsid w:val="50390E30"/>
    <w:rsid w:val="50452A7F"/>
    <w:rsid w:val="504D5EEC"/>
    <w:rsid w:val="50504C4B"/>
    <w:rsid w:val="505E6334"/>
    <w:rsid w:val="508D52B9"/>
    <w:rsid w:val="509C6E7C"/>
    <w:rsid w:val="50A10E03"/>
    <w:rsid w:val="50A12597"/>
    <w:rsid w:val="50A55B7B"/>
    <w:rsid w:val="50AA4E0F"/>
    <w:rsid w:val="50C4059D"/>
    <w:rsid w:val="50C442DB"/>
    <w:rsid w:val="50C448A0"/>
    <w:rsid w:val="50CA7A01"/>
    <w:rsid w:val="50E53EF6"/>
    <w:rsid w:val="50F71083"/>
    <w:rsid w:val="50FA2B8A"/>
    <w:rsid w:val="510C3516"/>
    <w:rsid w:val="5112177B"/>
    <w:rsid w:val="51162A72"/>
    <w:rsid w:val="511637A0"/>
    <w:rsid w:val="511D6904"/>
    <w:rsid w:val="51247262"/>
    <w:rsid w:val="513C3539"/>
    <w:rsid w:val="513E3477"/>
    <w:rsid w:val="514A7858"/>
    <w:rsid w:val="514C6E74"/>
    <w:rsid w:val="5152018B"/>
    <w:rsid w:val="515A6186"/>
    <w:rsid w:val="5162104E"/>
    <w:rsid w:val="516331D0"/>
    <w:rsid w:val="516C423D"/>
    <w:rsid w:val="51715D84"/>
    <w:rsid w:val="5172448D"/>
    <w:rsid w:val="51772047"/>
    <w:rsid w:val="517F7603"/>
    <w:rsid w:val="51826C3E"/>
    <w:rsid w:val="51827189"/>
    <w:rsid w:val="51837337"/>
    <w:rsid w:val="518615FD"/>
    <w:rsid w:val="51893D3F"/>
    <w:rsid w:val="518A3D83"/>
    <w:rsid w:val="51A21442"/>
    <w:rsid w:val="51A56401"/>
    <w:rsid w:val="51AA0029"/>
    <w:rsid w:val="51B337B0"/>
    <w:rsid w:val="51C333A7"/>
    <w:rsid w:val="51C33C24"/>
    <w:rsid w:val="51CD58F4"/>
    <w:rsid w:val="51CE2B3E"/>
    <w:rsid w:val="51DC4DA1"/>
    <w:rsid w:val="51DE535C"/>
    <w:rsid w:val="51E95CF0"/>
    <w:rsid w:val="51EA0C7A"/>
    <w:rsid w:val="51F420E2"/>
    <w:rsid w:val="51F76384"/>
    <w:rsid w:val="520236FC"/>
    <w:rsid w:val="52037BD7"/>
    <w:rsid w:val="5206279D"/>
    <w:rsid w:val="520C3884"/>
    <w:rsid w:val="520D5A33"/>
    <w:rsid w:val="52224A75"/>
    <w:rsid w:val="523A609B"/>
    <w:rsid w:val="523D116B"/>
    <w:rsid w:val="523E596E"/>
    <w:rsid w:val="523F7952"/>
    <w:rsid w:val="524C106F"/>
    <w:rsid w:val="5259092E"/>
    <w:rsid w:val="525920C6"/>
    <w:rsid w:val="525F6CD4"/>
    <w:rsid w:val="526029E9"/>
    <w:rsid w:val="52605FFE"/>
    <w:rsid w:val="52672DA5"/>
    <w:rsid w:val="526745FA"/>
    <w:rsid w:val="52690D53"/>
    <w:rsid w:val="526A0C7F"/>
    <w:rsid w:val="526D47ED"/>
    <w:rsid w:val="52783634"/>
    <w:rsid w:val="528A6CBB"/>
    <w:rsid w:val="528B7288"/>
    <w:rsid w:val="528D3EA0"/>
    <w:rsid w:val="52957630"/>
    <w:rsid w:val="529C251B"/>
    <w:rsid w:val="52A110AE"/>
    <w:rsid w:val="52A22C70"/>
    <w:rsid w:val="52AA6800"/>
    <w:rsid w:val="52AB75B3"/>
    <w:rsid w:val="52AC11C5"/>
    <w:rsid w:val="52C23F4F"/>
    <w:rsid w:val="52C323FC"/>
    <w:rsid w:val="52D356A7"/>
    <w:rsid w:val="52D522F5"/>
    <w:rsid w:val="52D54CE1"/>
    <w:rsid w:val="52D8538F"/>
    <w:rsid w:val="52FD2947"/>
    <w:rsid w:val="52FF1C7C"/>
    <w:rsid w:val="530554D2"/>
    <w:rsid w:val="532C5766"/>
    <w:rsid w:val="53540EB0"/>
    <w:rsid w:val="53560ABD"/>
    <w:rsid w:val="537649BB"/>
    <w:rsid w:val="537728DE"/>
    <w:rsid w:val="537D3D3A"/>
    <w:rsid w:val="5381795C"/>
    <w:rsid w:val="538453FB"/>
    <w:rsid w:val="538918D9"/>
    <w:rsid w:val="53A039CC"/>
    <w:rsid w:val="53A1505A"/>
    <w:rsid w:val="53A27AEC"/>
    <w:rsid w:val="53A35EDD"/>
    <w:rsid w:val="53B01AA5"/>
    <w:rsid w:val="53BF14B6"/>
    <w:rsid w:val="53C81275"/>
    <w:rsid w:val="53DA4BB7"/>
    <w:rsid w:val="53E6208A"/>
    <w:rsid w:val="53F731A7"/>
    <w:rsid w:val="53FD0451"/>
    <w:rsid w:val="53FE0AAA"/>
    <w:rsid w:val="54015272"/>
    <w:rsid w:val="5401787B"/>
    <w:rsid w:val="54050EC2"/>
    <w:rsid w:val="54063E08"/>
    <w:rsid w:val="543437E8"/>
    <w:rsid w:val="54374E31"/>
    <w:rsid w:val="543C2BD5"/>
    <w:rsid w:val="544740DC"/>
    <w:rsid w:val="545A6004"/>
    <w:rsid w:val="54603496"/>
    <w:rsid w:val="549138B8"/>
    <w:rsid w:val="549E5F65"/>
    <w:rsid w:val="549F7C30"/>
    <w:rsid w:val="54BF552F"/>
    <w:rsid w:val="54CA7290"/>
    <w:rsid w:val="54CF2F40"/>
    <w:rsid w:val="54D32B12"/>
    <w:rsid w:val="54DF7629"/>
    <w:rsid w:val="54EE7563"/>
    <w:rsid w:val="54F4497F"/>
    <w:rsid w:val="54F73313"/>
    <w:rsid w:val="54F80955"/>
    <w:rsid w:val="54F86832"/>
    <w:rsid w:val="55292B41"/>
    <w:rsid w:val="5535372C"/>
    <w:rsid w:val="553A0D91"/>
    <w:rsid w:val="553F351C"/>
    <w:rsid w:val="55404F4B"/>
    <w:rsid w:val="554261E6"/>
    <w:rsid w:val="55447980"/>
    <w:rsid w:val="554B1957"/>
    <w:rsid w:val="554D2B0F"/>
    <w:rsid w:val="554F3F55"/>
    <w:rsid w:val="555170A7"/>
    <w:rsid w:val="55574B93"/>
    <w:rsid w:val="55611E5F"/>
    <w:rsid w:val="5561562F"/>
    <w:rsid w:val="556821E6"/>
    <w:rsid w:val="556E0D69"/>
    <w:rsid w:val="55783D27"/>
    <w:rsid w:val="5587536D"/>
    <w:rsid w:val="55877026"/>
    <w:rsid w:val="55917AAB"/>
    <w:rsid w:val="5598391E"/>
    <w:rsid w:val="559B174B"/>
    <w:rsid w:val="55B142F0"/>
    <w:rsid w:val="55B350FF"/>
    <w:rsid w:val="55BC2BCA"/>
    <w:rsid w:val="55C176B6"/>
    <w:rsid w:val="55C41BD7"/>
    <w:rsid w:val="55CE0CF4"/>
    <w:rsid w:val="55D00322"/>
    <w:rsid w:val="55D871C9"/>
    <w:rsid w:val="55E35EF4"/>
    <w:rsid w:val="55E36F3D"/>
    <w:rsid w:val="55E85070"/>
    <w:rsid w:val="560501F2"/>
    <w:rsid w:val="560D5189"/>
    <w:rsid w:val="56114FAE"/>
    <w:rsid w:val="56170A43"/>
    <w:rsid w:val="562829D1"/>
    <w:rsid w:val="562A16FE"/>
    <w:rsid w:val="56301971"/>
    <w:rsid w:val="567D5A5B"/>
    <w:rsid w:val="56825D1E"/>
    <w:rsid w:val="56840F4B"/>
    <w:rsid w:val="568B67B5"/>
    <w:rsid w:val="568F7DBD"/>
    <w:rsid w:val="56A93030"/>
    <w:rsid w:val="56B22A9C"/>
    <w:rsid w:val="56BE1C65"/>
    <w:rsid w:val="56C24FA6"/>
    <w:rsid w:val="56CE6219"/>
    <w:rsid w:val="56DA2844"/>
    <w:rsid w:val="56EF29A0"/>
    <w:rsid w:val="56F3253F"/>
    <w:rsid w:val="56F54E57"/>
    <w:rsid w:val="56FB150F"/>
    <w:rsid w:val="570A3815"/>
    <w:rsid w:val="570B4EE7"/>
    <w:rsid w:val="571159C4"/>
    <w:rsid w:val="571F1FB1"/>
    <w:rsid w:val="572E3512"/>
    <w:rsid w:val="57454B8B"/>
    <w:rsid w:val="5747199F"/>
    <w:rsid w:val="57577710"/>
    <w:rsid w:val="57653C5A"/>
    <w:rsid w:val="57760924"/>
    <w:rsid w:val="57767875"/>
    <w:rsid w:val="57816A6C"/>
    <w:rsid w:val="578B1DB5"/>
    <w:rsid w:val="578F7CDF"/>
    <w:rsid w:val="57903677"/>
    <w:rsid w:val="57A95C08"/>
    <w:rsid w:val="57B67672"/>
    <w:rsid w:val="57B72A76"/>
    <w:rsid w:val="57B93249"/>
    <w:rsid w:val="57C3426C"/>
    <w:rsid w:val="57CA036F"/>
    <w:rsid w:val="57CE1F93"/>
    <w:rsid w:val="57D27421"/>
    <w:rsid w:val="57DF567A"/>
    <w:rsid w:val="57E41587"/>
    <w:rsid w:val="57E645FA"/>
    <w:rsid w:val="57EF72C1"/>
    <w:rsid w:val="57F10231"/>
    <w:rsid w:val="57FB059F"/>
    <w:rsid w:val="580175F5"/>
    <w:rsid w:val="580334AE"/>
    <w:rsid w:val="5813343D"/>
    <w:rsid w:val="58152FE0"/>
    <w:rsid w:val="5827029A"/>
    <w:rsid w:val="58313656"/>
    <w:rsid w:val="5850240C"/>
    <w:rsid w:val="585263EA"/>
    <w:rsid w:val="586274C1"/>
    <w:rsid w:val="586D58F0"/>
    <w:rsid w:val="5879120C"/>
    <w:rsid w:val="587D6509"/>
    <w:rsid w:val="58817556"/>
    <w:rsid w:val="588743D1"/>
    <w:rsid w:val="5887701A"/>
    <w:rsid w:val="58894744"/>
    <w:rsid w:val="589B7149"/>
    <w:rsid w:val="589C53E1"/>
    <w:rsid w:val="58A81224"/>
    <w:rsid w:val="58AA206C"/>
    <w:rsid w:val="58AC2BDE"/>
    <w:rsid w:val="58B71072"/>
    <w:rsid w:val="58CB63B7"/>
    <w:rsid w:val="58D72A8C"/>
    <w:rsid w:val="58DC2A09"/>
    <w:rsid w:val="58DC3F77"/>
    <w:rsid w:val="58DD235A"/>
    <w:rsid w:val="58E25148"/>
    <w:rsid w:val="58E96DBF"/>
    <w:rsid w:val="58F64A55"/>
    <w:rsid w:val="58F91F51"/>
    <w:rsid w:val="58FA12E1"/>
    <w:rsid w:val="590E0A53"/>
    <w:rsid w:val="590F285D"/>
    <w:rsid w:val="59122B8D"/>
    <w:rsid w:val="59160439"/>
    <w:rsid w:val="591659BC"/>
    <w:rsid w:val="591E6710"/>
    <w:rsid w:val="59275692"/>
    <w:rsid w:val="593A25FF"/>
    <w:rsid w:val="59416D1F"/>
    <w:rsid w:val="594C6B09"/>
    <w:rsid w:val="595312E0"/>
    <w:rsid w:val="596A5C99"/>
    <w:rsid w:val="596C016E"/>
    <w:rsid w:val="59724FFE"/>
    <w:rsid w:val="598354ED"/>
    <w:rsid w:val="59843D09"/>
    <w:rsid w:val="59855EBA"/>
    <w:rsid w:val="59857512"/>
    <w:rsid w:val="599E54AD"/>
    <w:rsid w:val="59B54674"/>
    <w:rsid w:val="59B77A55"/>
    <w:rsid w:val="59C0439F"/>
    <w:rsid w:val="59D50929"/>
    <w:rsid w:val="59D60B44"/>
    <w:rsid w:val="59DD315F"/>
    <w:rsid w:val="59E83E4D"/>
    <w:rsid w:val="59E940B2"/>
    <w:rsid w:val="59F6271A"/>
    <w:rsid w:val="59FD7411"/>
    <w:rsid w:val="5A051532"/>
    <w:rsid w:val="5A0A7D4D"/>
    <w:rsid w:val="5A0B6C99"/>
    <w:rsid w:val="5A1C044D"/>
    <w:rsid w:val="5A1F5461"/>
    <w:rsid w:val="5A2C00A8"/>
    <w:rsid w:val="5A3F11CC"/>
    <w:rsid w:val="5A40229D"/>
    <w:rsid w:val="5A436A49"/>
    <w:rsid w:val="5A464A14"/>
    <w:rsid w:val="5A47354C"/>
    <w:rsid w:val="5A4B48C9"/>
    <w:rsid w:val="5A4C0C4D"/>
    <w:rsid w:val="5A4F76FF"/>
    <w:rsid w:val="5A5758E9"/>
    <w:rsid w:val="5A890491"/>
    <w:rsid w:val="5A8F73F3"/>
    <w:rsid w:val="5AA80FAD"/>
    <w:rsid w:val="5ABE2233"/>
    <w:rsid w:val="5ABF1E33"/>
    <w:rsid w:val="5ACB301A"/>
    <w:rsid w:val="5AD227CF"/>
    <w:rsid w:val="5AD86265"/>
    <w:rsid w:val="5ADC7321"/>
    <w:rsid w:val="5AE509B2"/>
    <w:rsid w:val="5AF121CF"/>
    <w:rsid w:val="5AF545DE"/>
    <w:rsid w:val="5AFB2DEC"/>
    <w:rsid w:val="5B003635"/>
    <w:rsid w:val="5B190B52"/>
    <w:rsid w:val="5B227DB1"/>
    <w:rsid w:val="5B2D0A88"/>
    <w:rsid w:val="5B2D26B2"/>
    <w:rsid w:val="5B321DC8"/>
    <w:rsid w:val="5B406AA0"/>
    <w:rsid w:val="5B43242D"/>
    <w:rsid w:val="5B4403F3"/>
    <w:rsid w:val="5B4E0AB8"/>
    <w:rsid w:val="5B54010E"/>
    <w:rsid w:val="5B557489"/>
    <w:rsid w:val="5B5C3F87"/>
    <w:rsid w:val="5B6021CD"/>
    <w:rsid w:val="5B656BCD"/>
    <w:rsid w:val="5B6815A5"/>
    <w:rsid w:val="5B6E08FB"/>
    <w:rsid w:val="5B7A7D13"/>
    <w:rsid w:val="5B845268"/>
    <w:rsid w:val="5B930AC7"/>
    <w:rsid w:val="5B942130"/>
    <w:rsid w:val="5B955DA7"/>
    <w:rsid w:val="5B993BCD"/>
    <w:rsid w:val="5BA46FF4"/>
    <w:rsid w:val="5BAD0D75"/>
    <w:rsid w:val="5BB379A7"/>
    <w:rsid w:val="5BB41483"/>
    <w:rsid w:val="5BBB6434"/>
    <w:rsid w:val="5BBE65D4"/>
    <w:rsid w:val="5BC44882"/>
    <w:rsid w:val="5BD27451"/>
    <w:rsid w:val="5BDA6C03"/>
    <w:rsid w:val="5BDF5D95"/>
    <w:rsid w:val="5BE210DD"/>
    <w:rsid w:val="5BE76410"/>
    <w:rsid w:val="5BEA26B6"/>
    <w:rsid w:val="5BF24B07"/>
    <w:rsid w:val="5BF53439"/>
    <w:rsid w:val="5BF579A4"/>
    <w:rsid w:val="5BFE7528"/>
    <w:rsid w:val="5C0D6E27"/>
    <w:rsid w:val="5C142243"/>
    <w:rsid w:val="5C151582"/>
    <w:rsid w:val="5C1935AE"/>
    <w:rsid w:val="5C2059E0"/>
    <w:rsid w:val="5C39234B"/>
    <w:rsid w:val="5C397BC4"/>
    <w:rsid w:val="5C3D0C33"/>
    <w:rsid w:val="5C486BF5"/>
    <w:rsid w:val="5C562AF1"/>
    <w:rsid w:val="5C6A7A99"/>
    <w:rsid w:val="5C7338F8"/>
    <w:rsid w:val="5C750523"/>
    <w:rsid w:val="5C7A0B8A"/>
    <w:rsid w:val="5C9A2F23"/>
    <w:rsid w:val="5CA33750"/>
    <w:rsid w:val="5CB034B8"/>
    <w:rsid w:val="5CB06033"/>
    <w:rsid w:val="5CC31AF2"/>
    <w:rsid w:val="5CCB6B78"/>
    <w:rsid w:val="5CCD2982"/>
    <w:rsid w:val="5CD06EE6"/>
    <w:rsid w:val="5CD403E3"/>
    <w:rsid w:val="5CDB3262"/>
    <w:rsid w:val="5CE907E1"/>
    <w:rsid w:val="5CF4167E"/>
    <w:rsid w:val="5CFE1B25"/>
    <w:rsid w:val="5D0069C7"/>
    <w:rsid w:val="5D045692"/>
    <w:rsid w:val="5D275995"/>
    <w:rsid w:val="5D2E160C"/>
    <w:rsid w:val="5D386DCD"/>
    <w:rsid w:val="5D405690"/>
    <w:rsid w:val="5D5347C0"/>
    <w:rsid w:val="5D704AEA"/>
    <w:rsid w:val="5D7052CC"/>
    <w:rsid w:val="5D773751"/>
    <w:rsid w:val="5D794075"/>
    <w:rsid w:val="5D7D6B09"/>
    <w:rsid w:val="5D803F06"/>
    <w:rsid w:val="5D924A10"/>
    <w:rsid w:val="5DA03CCF"/>
    <w:rsid w:val="5DA04A0C"/>
    <w:rsid w:val="5DAA2A4E"/>
    <w:rsid w:val="5DB0307B"/>
    <w:rsid w:val="5DB259DB"/>
    <w:rsid w:val="5DC03C7B"/>
    <w:rsid w:val="5DCE434D"/>
    <w:rsid w:val="5DCF1CC4"/>
    <w:rsid w:val="5DCF4FAA"/>
    <w:rsid w:val="5DE50972"/>
    <w:rsid w:val="5DE66B5A"/>
    <w:rsid w:val="5DF51FDD"/>
    <w:rsid w:val="5DF837E3"/>
    <w:rsid w:val="5DF83ADE"/>
    <w:rsid w:val="5DF860FF"/>
    <w:rsid w:val="5E062D63"/>
    <w:rsid w:val="5E07362B"/>
    <w:rsid w:val="5E09301D"/>
    <w:rsid w:val="5E1353DF"/>
    <w:rsid w:val="5E17286A"/>
    <w:rsid w:val="5E2467F1"/>
    <w:rsid w:val="5E326BBA"/>
    <w:rsid w:val="5E4C064C"/>
    <w:rsid w:val="5E553DE8"/>
    <w:rsid w:val="5E5D23A3"/>
    <w:rsid w:val="5E5E491A"/>
    <w:rsid w:val="5E681699"/>
    <w:rsid w:val="5E865950"/>
    <w:rsid w:val="5E8C5B0B"/>
    <w:rsid w:val="5E960F65"/>
    <w:rsid w:val="5EA210B4"/>
    <w:rsid w:val="5EA36F86"/>
    <w:rsid w:val="5EA61E25"/>
    <w:rsid w:val="5EB12D34"/>
    <w:rsid w:val="5EB32A0F"/>
    <w:rsid w:val="5ECA27C3"/>
    <w:rsid w:val="5ECC5CD4"/>
    <w:rsid w:val="5ED0323B"/>
    <w:rsid w:val="5EE63B78"/>
    <w:rsid w:val="5EE65961"/>
    <w:rsid w:val="5EE75B57"/>
    <w:rsid w:val="5EF552A7"/>
    <w:rsid w:val="5F11438C"/>
    <w:rsid w:val="5F1A2B43"/>
    <w:rsid w:val="5F2931A3"/>
    <w:rsid w:val="5F2C76F2"/>
    <w:rsid w:val="5F2E7947"/>
    <w:rsid w:val="5F3A0F0C"/>
    <w:rsid w:val="5F3A0F28"/>
    <w:rsid w:val="5F4A5E30"/>
    <w:rsid w:val="5F5473DD"/>
    <w:rsid w:val="5F574C74"/>
    <w:rsid w:val="5F662DA5"/>
    <w:rsid w:val="5F6E4063"/>
    <w:rsid w:val="5F7B589F"/>
    <w:rsid w:val="5F8017A6"/>
    <w:rsid w:val="5F8273C1"/>
    <w:rsid w:val="5F8516CB"/>
    <w:rsid w:val="5F873C5C"/>
    <w:rsid w:val="5F882EAD"/>
    <w:rsid w:val="5F8D5EC5"/>
    <w:rsid w:val="5F9A4473"/>
    <w:rsid w:val="5FA77E79"/>
    <w:rsid w:val="5FAC0B8C"/>
    <w:rsid w:val="5FB837BB"/>
    <w:rsid w:val="5FBF0009"/>
    <w:rsid w:val="5FC2432E"/>
    <w:rsid w:val="5FCB2CC0"/>
    <w:rsid w:val="5FED0397"/>
    <w:rsid w:val="5FF15F44"/>
    <w:rsid w:val="5FF84D2E"/>
    <w:rsid w:val="5FF918AC"/>
    <w:rsid w:val="5FFA5E72"/>
    <w:rsid w:val="5FFF3720"/>
    <w:rsid w:val="601A6E3D"/>
    <w:rsid w:val="602D3840"/>
    <w:rsid w:val="60326A75"/>
    <w:rsid w:val="60373040"/>
    <w:rsid w:val="60381AA4"/>
    <w:rsid w:val="603B7AE0"/>
    <w:rsid w:val="604E79C7"/>
    <w:rsid w:val="604E7FA9"/>
    <w:rsid w:val="60593B27"/>
    <w:rsid w:val="605C1B80"/>
    <w:rsid w:val="606B435D"/>
    <w:rsid w:val="607E71F6"/>
    <w:rsid w:val="608E670D"/>
    <w:rsid w:val="609B0D5D"/>
    <w:rsid w:val="609B7401"/>
    <w:rsid w:val="609D1752"/>
    <w:rsid w:val="609D2D28"/>
    <w:rsid w:val="609D3828"/>
    <w:rsid w:val="60B62814"/>
    <w:rsid w:val="60BD33D0"/>
    <w:rsid w:val="60CC405A"/>
    <w:rsid w:val="60CE4B2A"/>
    <w:rsid w:val="60CF1606"/>
    <w:rsid w:val="60E57037"/>
    <w:rsid w:val="60F13226"/>
    <w:rsid w:val="60F67083"/>
    <w:rsid w:val="610619AD"/>
    <w:rsid w:val="610B7B14"/>
    <w:rsid w:val="611112BE"/>
    <w:rsid w:val="61126EBB"/>
    <w:rsid w:val="61313263"/>
    <w:rsid w:val="613A2D2A"/>
    <w:rsid w:val="615061D7"/>
    <w:rsid w:val="61613A3E"/>
    <w:rsid w:val="616825AD"/>
    <w:rsid w:val="616C110E"/>
    <w:rsid w:val="6170089A"/>
    <w:rsid w:val="617377C7"/>
    <w:rsid w:val="617E4AE9"/>
    <w:rsid w:val="618174E8"/>
    <w:rsid w:val="618914AD"/>
    <w:rsid w:val="619F57D7"/>
    <w:rsid w:val="61A14A6B"/>
    <w:rsid w:val="61BB0F02"/>
    <w:rsid w:val="61D76EE6"/>
    <w:rsid w:val="61E00D9F"/>
    <w:rsid w:val="61E215D8"/>
    <w:rsid w:val="61E740E6"/>
    <w:rsid w:val="61EE15B5"/>
    <w:rsid w:val="61F66074"/>
    <w:rsid w:val="6211521D"/>
    <w:rsid w:val="6218307E"/>
    <w:rsid w:val="621B3775"/>
    <w:rsid w:val="621F3F20"/>
    <w:rsid w:val="621F43E9"/>
    <w:rsid w:val="6233064F"/>
    <w:rsid w:val="62342839"/>
    <w:rsid w:val="62364782"/>
    <w:rsid w:val="623E42B3"/>
    <w:rsid w:val="623E7DA4"/>
    <w:rsid w:val="625C05B6"/>
    <w:rsid w:val="62682355"/>
    <w:rsid w:val="626B2554"/>
    <w:rsid w:val="62762014"/>
    <w:rsid w:val="62823052"/>
    <w:rsid w:val="628504C1"/>
    <w:rsid w:val="62852B4F"/>
    <w:rsid w:val="62852CF0"/>
    <w:rsid w:val="628C3FC7"/>
    <w:rsid w:val="62AA69BF"/>
    <w:rsid w:val="62AE3386"/>
    <w:rsid w:val="62C26198"/>
    <w:rsid w:val="62CD763B"/>
    <w:rsid w:val="62DD4BBE"/>
    <w:rsid w:val="62E21E84"/>
    <w:rsid w:val="62EC53C1"/>
    <w:rsid w:val="63014655"/>
    <w:rsid w:val="63066CBF"/>
    <w:rsid w:val="63164CC1"/>
    <w:rsid w:val="631B4C7E"/>
    <w:rsid w:val="632B4653"/>
    <w:rsid w:val="632C14B3"/>
    <w:rsid w:val="634062E4"/>
    <w:rsid w:val="634529DB"/>
    <w:rsid w:val="635559A6"/>
    <w:rsid w:val="635F79C8"/>
    <w:rsid w:val="63750E23"/>
    <w:rsid w:val="63764286"/>
    <w:rsid w:val="63834472"/>
    <w:rsid w:val="638A3BFE"/>
    <w:rsid w:val="638E2A6D"/>
    <w:rsid w:val="6394356A"/>
    <w:rsid w:val="63A141F5"/>
    <w:rsid w:val="63B630E8"/>
    <w:rsid w:val="63B67871"/>
    <w:rsid w:val="63B97F64"/>
    <w:rsid w:val="63C61B2C"/>
    <w:rsid w:val="63C63EE0"/>
    <w:rsid w:val="63C879D4"/>
    <w:rsid w:val="63D204CA"/>
    <w:rsid w:val="63D40BE9"/>
    <w:rsid w:val="63DD0BA1"/>
    <w:rsid w:val="63DF0164"/>
    <w:rsid w:val="63F77113"/>
    <w:rsid w:val="640C039B"/>
    <w:rsid w:val="640D794A"/>
    <w:rsid w:val="64102431"/>
    <w:rsid w:val="641D6389"/>
    <w:rsid w:val="64352E1F"/>
    <w:rsid w:val="643C74D4"/>
    <w:rsid w:val="64560D05"/>
    <w:rsid w:val="645A5BAC"/>
    <w:rsid w:val="645E7B55"/>
    <w:rsid w:val="646F2D7C"/>
    <w:rsid w:val="64746D37"/>
    <w:rsid w:val="647A233D"/>
    <w:rsid w:val="64990AB9"/>
    <w:rsid w:val="649A5A25"/>
    <w:rsid w:val="649C6D31"/>
    <w:rsid w:val="64A5243A"/>
    <w:rsid w:val="64B70333"/>
    <w:rsid w:val="64BB1996"/>
    <w:rsid w:val="64C9208E"/>
    <w:rsid w:val="64CB2E79"/>
    <w:rsid w:val="64DF24D8"/>
    <w:rsid w:val="64F31C39"/>
    <w:rsid w:val="64F531DE"/>
    <w:rsid w:val="64F66ECF"/>
    <w:rsid w:val="64FB49A0"/>
    <w:rsid w:val="650F4872"/>
    <w:rsid w:val="651110FB"/>
    <w:rsid w:val="65182EA7"/>
    <w:rsid w:val="651846E3"/>
    <w:rsid w:val="652137CA"/>
    <w:rsid w:val="652C3507"/>
    <w:rsid w:val="653249C8"/>
    <w:rsid w:val="65336C80"/>
    <w:rsid w:val="65373578"/>
    <w:rsid w:val="653C255D"/>
    <w:rsid w:val="65407942"/>
    <w:rsid w:val="655F11F5"/>
    <w:rsid w:val="65671339"/>
    <w:rsid w:val="65684042"/>
    <w:rsid w:val="657250E7"/>
    <w:rsid w:val="657B7336"/>
    <w:rsid w:val="659C045D"/>
    <w:rsid w:val="659C2706"/>
    <w:rsid w:val="659D73B0"/>
    <w:rsid w:val="65AE7614"/>
    <w:rsid w:val="65BF5D5D"/>
    <w:rsid w:val="65D517F2"/>
    <w:rsid w:val="65DC2372"/>
    <w:rsid w:val="65E025C5"/>
    <w:rsid w:val="65E3372B"/>
    <w:rsid w:val="65F43F5E"/>
    <w:rsid w:val="661572AB"/>
    <w:rsid w:val="661A40DE"/>
    <w:rsid w:val="66383F84"/>
    <w:rsid w:val="664262D4"/>
    <w:rsid w:val="66674402"/>
    <w:rsid w:val="6669310D"/>
    <w:rsid w:val="66824292"/>
    <w:rsid w:val="668554F0"/>
    <w:rsid w:val="669631F2"/>
    <w:rsid w:val="66A777AB"/>
    <w:rsid w:val="66B64068"/>
    <w:rsid w:val="66C32D85"/>
    <w:rsid w:val="66C76B38"/>
    <w:rsid w:val="66E86A3F"/>
    <w:rsid w:val="66EA5ADB"/>
    <w:rsid w:val="66ED1DF7"/>
    <w:rsid w:val="66EF35B8"/>
    <w:rsid w:val="66F47FC5"/>
    <w:rsid w:val="66F6352D"/>
    <w:rsid w:val="670420F0"/>
    <w:rsid w:val="67046F10"/>
    <w:rsid w:val="67091B8F"/>
    <w:rsid w:val="67136F75"/>
    <w:rsid w:val="67192BE8"/>
    <w:rsid w:val="671F124A"/>
    <w:rsid w:val="672815CB"/>
    <w:rsid w:val="67396BEB"/>
    <w:rsid w:val="673A3A93"/>
    <w:rsid w:val="673C4B6B"/>
    <w:rsid w:val="674014DC"/>
    <w:rsid w:val="674531DA"/>
    <w:rsid w:val="67463DEE"/>
    <w:rsid w:val="67480517"/>
    <w:rsid w:val="674D16AD"/>
    <w:rsid w:val="67531831"/>
    <w:rsid w:val="67584009"/>
    <w:rsid w:val="675F6762"/>
    <w:rsid w:val="67601939"/>
    <w:rsid w:val="6762022B"/>
    <w:rsid w:val="677034B4"/>
    <w:rsid w:val="67712827"/>
    <w:rsid w:val="677240F4"/>
    <w:rsid w:val="6774764F"/>
    <w:rsid w:val="677A33C6"/>
    <w:rsid w:val="677B0DE6"/>
    <w:rsid w:val="67873B2D"/>
    <w:rsid w:val="67935987"/>
    <w:rsid w:val="679A618B"/>
    <w:rsid w:val="67A65F7B"/>
    <w:rsid w:val="67A76D7C"/>
    <w:rsid w:val="67AE06A8"/>
    <w:rsid w:val="67B96BB4"/>
    <w:rsid w:val="67C14F11"/>
    <w:rsid w:val="67D56889"/>
    <w:rsid w:val="67DA0714"/>
    <w:rsid w:val="67E1016E"/>
    <w:rsid w:val="67E53F73"/>
    <w:rsid w:val="67EB4660"/>
    <w:rsid w:val="67F22B47"/>
    <w:rsid w:val="67F45BFF"/>
    <w:rsid w:val="68017060"/>
    <w:rsid w:val="68054810"/>
    <w:rsid w:val="680A0ACB"/>
    <w:rsid w:val="680D3DF4"/>
    <w:rsid w:val="680F688E"/>
    <w:rsid w:val="681F6961"/>
    <w:rsid w:val="6825508D"/>
    <w:rsid w:val="682A6ED5"/>
    <w:rsid w:val="68342091"/>
    <w:rsid w:val="68387CE1"/>
    <w:rsid w:val="683A4CC3"/>
    <w:rsid w:val="684475DB"/>
    <w:rsid w:val="684B1EF1"/>
    <w:rsid w:val="685174DB"/>
    <w:rsid w:val="68544B08"/>
    <w:rsid w:val="68550C51"/>
    <w:rsid w:val="68566042"/>
    <w:rsid w:val="68571DA1"/>
    <w:rsid w:val="68610A2F"/>
    <w:rsid w:val="68665544"/>
    <w:rsid w:val="6868366A"/>
    <w:rsid w:val="68805514"/>
    <w:rsid w:val="688169F5"/>
    <w:rsid w:val="68852C7F"/>
    <w:rsid w:val="6891457D"/>
    <w:rsid w:val="68970648"/>
    <w:rsid w:val="689768CC"/>
    <w:rsid w:val="689A07D1"/>
    <w:rsid w:val="689A1694"/>
    <w:rsid w:val="689D2FE9"/>
    <w:rsid w:val="689F72F7"/>
    <w:rsid w:val="68A232B3"/>
    <w:rsid w:val="68A94CF5"/>
    <w:rsid w:val="68B360D8"/>
    <w:rsid w:val="68BC59E9"/>
    <w:rsid w:val="68BD4CF4"/>
    <w:rsid w:val="68C07B1F"/>
    <w:rsid w:val="68D20DEE"/>
    <w:rsid w:val="68D34351"/>
    <w:rsid w:val="68D41479"/>
    <w:rsid w:val="68DC6B10"/>
    <w:rsid w:val="68F31C38"/>
    <w:rsid w:val="68F90A43"/>
    <w:rsid w:val="68F944CF"/>
    <w:rsid w:val="690276ED"/>
    <w:rsid w:val="69100A4B"/>
    <w:rsid w:val="69131B33"/>
    <w:rsid w:val="691A4931"/>
    <w:rsid w:val="691D20D4"/>
    <w:rsid w:val="692477F4"/>
    <w:rsid w:val="69254D57"/>
    <w:rsid w:val="692B3F69"/>
    <w:rsid w:val="692E5005"/>
    <w:rsid w:val="693034D7"/>
    <w:rsid w:val="69316E2F"/>
    <w:rsid w:val="693834DD"/>
    <w:rsid w:val="69450C43"/>
    <w:rsid w:val="69463632"/>
    <w:rsid w:val="694E2071"/>
    <w:rsid w:val="695041CC"/>
    <w:rsid w:val="696238D7"/>
    <w:rsid w:val="696935E2"/>
    <w:rsid w:val="69766163"/>
    <w:rsid w:val="697A3B33"/>
    <w:rsid w:val="697B1D8D"/>
    <w:rsid w:val="69A06A26"/>
    <w:rsid w:val="69A27E96"/>
    <w:rsid w:val="69BE607B"/>
    <w:rsid w:val="69C45114"/>
    <w:rsid w:val="69D13227"/>
    <w:rsid w:val="69D44760"/>
    <w:rsid w:val="69D921E2"/>
    <w:rsid w:val="69DB30DC"/>
    <w:rsid w:val="69DC0B5A"/>
    <w:rsid w:val="69DF449B"/>
    <w:rsid w:val="69EF66D6"/>
    <w:rsid w:val="69F3678C"/>
    <w:rsid w:val="69F37129"/>
    <w:rsid w:val="6A033C18"/>
    <w:rsid w:val="6A0E3105"/>
    <w:rsid w:val="6A16357A"/>
    <w:rsid w:val="6A175F63"/>
    <w:rsid w:val="6A1F142A"/>
    <w:rsid w:val="6A2F19A2"/>
    <w:rsid w:val="6A301ACF"/>
    <w:rsid w:val="6A362E22"/>
    <w:rsid w:val="6A3D33F2"/>
    <w:rsid w:val="6A4E2F78"/>
    <w:rsid w:val="6A520EC7"/>
    <w:rsid w:val="6A6253CA"/>
    <w:rsid w:val="6A6D486F"/>
    <w:rsid w:val="6A757375"/>
    <w:rsid w:val="6A8311F4"/>
    <w:rsid w:val="6A8A3D7E"/>
    <w:rsid w:val="6A8A4AA1"/>
    <w:rsid w:val="6A8E771A"/>
    <w:rsid w:val="6A91314B"/>
    <w:rsid w:val="6A97258E"/>
    <w:rsid w:val="6AB10BB8"/>
    <w:rsid w:val="6AB6340E"/>
    <w:rsid w:val="6AC5699C"/>
    <w:rsid w:val="6AD46D3E"/>
    <w:rsid w:val="6AE21B5F"/>
    <w:rsid w:val="6AEB34BA"/>
    <w:rsid w:val="6AF87E20"/>
    <w:rsid w:val="6AF92B87"/>
    <w:rsid w:val="6AFE5343"/>
    <w:rsid w:val="6B0B0550"/>
    <w:rsid w:val="6B0B4782"/>
    <w:rsid w:val="6B150DF8"/>
    <w:rsid w:val="6B190F2F"/>
    <w:rsid w:val="6B19411D"/>
    <w:rsid w:val="6B2A1A28"/>
    <w:rsid w:val="6B2D24F3"/>
    <w:rsid w:val="6B322639"/>
    <w:rsid w:val="6B4642A9"/>
    <w:rsid w:val="6B4A4F6F"/>
    <w:rsid w:val="6B6D0635"/>
    <w:rsid w:val="6B6D1030"/>
    <w:rsid w:val="6B6F5F8B"/>
    <w:rsid w:val="6B743F13"/>
    <w:rsid w:val="6B782B73"/>
    <w:rsid w:val="6B7C465A"/>
    <w:rsid w:val="6B7D33BB"/>
    <w:rsid w:val="6B9722A1"/>
    <w:rsid w:val="6BA65342"/>
    <w:rsid w:val="6BAA7946"/>
    <w:rsid w:val="6BAC5B6F"/>
    <w:rsid w:val="6BB715D8"/>
    <w:rsid w:val="6BBA1794"/>
    <w:rsid w:val="6BBA5C38"/>
    <w:rsid w:val="6BC03675"/>
    <w:rsid w:val="6BD779B4"/>
    <w:rsid w:val="6BE144CE"/>
    <w:rsid w:val="6BF818BB"/>
    <w:rsid w:val="6BFA0B13"/>
    <w:rsid w:val="6C0264EC"/>
    <w:rsid w:val="6C085F15"/>
    <w:rsid w:val="6C1B358F"/>
    <w:rsid w:val="6C1E5347"/>
    <w:rsid w:val="6C281E67"/>
    <w:rsid w:val="6C2E1ACF"/>
    <w:rsid w:val="6C3B528F"/>
    <w:rsid w:val="6C5474D9"/>
    <w:rsid w:val="6C567084"/>
    <w:rsid w:val="6C5E66E4"/>
    <w:rsid w:val="6C636C38"/>
    <w:rsid w:val="6C667BC1"/>
    <w:rsid w:val="6C82607D"/>
    <w:rsid w:val="6C862BCD"/>
    <w:rsid w:val="6C8B5DE4"/>
    <w:rsid w:val="6C962873"/>
    <w:rsid w:val="6CAB0452"/>
    <w:rsid w:val="6CB261FC"/>
    <w:rsid w:val="6CBF0C5A"/>
    <w:rsid w:val="6CC61485"/>
    <w:rsid w:val="6CCF2E81"/>
    <w:rsid w:val="6CD75286"/>
    <w:rsid w:val="6CE87382"/>
    <w:rsid w:val="6CEC3FE0"/>
    <w:rsid w:val="6CEE3F5E"/>
    <w:rsid w:val="6CF32003"/>
    <w:rsid w:val="6CFA3637"/>
    <w:rsid w:val="6CFF22D2"/>
    <w:rsid w:val="6D007040"/>
    <w:rsid w:val="6D037AF2"/>
    <w:rsid w:val="6D08381F"/>
    <w:rsid w:val="6D207848"/>
    <w:rsid w:val="6D256004"/>
    <w:rsid w:val="6D2638C4"/>
    <w:rsid w:val="6D2D3E69"/>
    <w:rsid w:val="6D45306D"/>
    <w:rsid w:val="6D46383D"/>
    <w:rsid w:val="6D4D490A"/>
    <w:rsid w:val="6D510B14"/>
    <w:rsid w:val="6D5148C4"/>
    <w:rsid w:val="6D522AA5"/>
    <w:rsid w:val="6D5C22DF"/>
    <w:rsid w:val="6D5E0E48"/>
    <w:rsid w:val="6D636B4A"/>
    <w:rsid w:val="6D675A0F"/>
    <w:rsid w:val="6D72098E"/>
    <w:rsid w:val="6D7906B0"/>
    <w:rsid w:val="6D8E0485"/>
    <w:rsid w:val="6D917861"/>
    <w:rsid w:val="6D9455B7"/>
    <w:rsid w:val="6D9F5CE9"/>
    <w:rsid w:val="6DB34098"/>
    <w:rsid w:val="6DB545B6"/>
    <w:rsid w:val="6DC34911"/>
    <w:rsid w:val="6DE02FB4"/>
    <w:rsid w:val="6DF01314"/>
    <w:rsid w:val="6DF34237"/>
    <w:rsid w:val="6DF95A21"/>
    <w:rsid w:val="6E056B89"/>
    <w:rsid w:val="6E197A5D"/>
    <w:rsid w:val="6E29225F"/>
    <w:rsid w:val="6E346C11"/>
    <w:rsid w:val="6E356A1C"/>
    <w:rsid w:val="6E3C2EAD"/>
    <w:rsid w:val="6E46167B"/>
    <w:rsid w:val="6E514CED"/>
    <w:rsid w:val="6E616F45"/>
    <w:rsid w:val="6E8B2420"/>
    <w:rsid w:val="6E9735B0"/>
    <w:rsid w:val="6E9C51FF"/>
    <w:rsid w:val="6EB505AF"/>
    <w:rsid w:val="6EB563D5"/>
    <w:rsid w:val="6EB83700"/>
    <w:rsid w:val="6EBA62B7"/>
    <w:rsid w:val="6EC3666F"/>
    <w:rsid w:val="6EC814CF"/>
    <w:rsid w:val="6ECE3FE4"/>
    <w:rsid w:val="6ECF16CB"/>
    <w:rsid w:val="6ED656A1"/>
    <w:rsid w:val="6ED65A20"/>
    <w:rsid w:val="6ED92677"/>
    <w:rsid w:val="6ED93E30"/>
    <w:rsid w:val="6EE66A3B"/>
    <w:rsid w:val="6EE844E0"/>
    <w:rsid w:val="6EEA3846"/>
    <w:rsid w:val="6EEB4CE2"/>
    <w:rsid w:val="6EF0206F"/>
    <w:rsid w:val="6EF02E98"/>
    <w:rsid w:val="6F056864"/>
    <w:rsid w:val="6F1B24A2"/>
    <w:rsid w:val="6F225983"/>
    <w:rsid w:val="6F287F38"/>
    <w:rsid w:val="6F3E0ECF"/>
    <w:rsid w:val="6F405E34"/>
    <w:rsid w:val="6F4546FF"/>
    <w:rsid w:val="6F4A7C65"/>
    <w:rsid w:val="6F4B775A"/>
    <w:rsid w:val="6F4C4109"/>
    <w:rsid w:val="6F5B2F30"/>
    <w:rsid w:val="6F5B3D84"/>
    <w:rsid w:val="6F690935"/>
    <w:rsid w:val="6F75116B"/>
    <w:rsid w:val="6F774A32"/>
    <w:rsid w:val="6F7E11FB"/>
    <w:rsid w:val="6F8F7483"/>
    <w:rsid w:val="6F9857F1"/>
    <w:rsid w:val="6FB02682"/>
    <w:rsid w:val="6FC0503E"/>
    <w:rsid w:val="6FDA0B34"/>
    <w:rsid w:val="6FE91B2C"/>
    <w:rsid w:val="6FEC4646"/>
    <w:rsid w:val="6FF615C5"/>
    <w:rsid w:val="6FFC5590"/>
    <w:rsid w:val="6FFD4F80"/>
    <w:rsid w:val="6FFF427B"/>
    <w:rsid w:val="70016F9B"/>
    <w:rsid w:val="700D4359"/>
    <w:rsid w:val="70107EB1"/>
    <w:rsid w:val="701502C3"/>
    <w:rsid w:val="701F6615"/>
    <w:rsid w:val="70222F82"/>
    <w:rsid w:val="7027068B"/>
    <w:rsid w:val="70295879"/>
    <w:rsid w:val="70360FC4"/>
    <w:rsid w:val="7036548E"/>
    <w:rsid w:val="70380E27"/>
    <w:rsid w:val="703B5A45"/>
    <w:rsid w:val="704A6B14"/>
    <w:rsid w:val="70507BB9"/>
    <w:rsid w:val="705436AF"/>
    <w:rsid w:val="7059780A"/>
    <w:rsid w:val="705F3190"/>
    <w:rsid w:val="706344A9"/>
    <w:rsid w:val="706D1DD0"/>
    <w:rsid w:val="70856B87"/>
    <w:rsid w:val="70896916"/>
    <w:rsid w:val="70950107"/>
    <w:rsid w:val="70984361"/>
    <w:rsid w:val="70BA75E7"/>
    <w:rsid w:val="70C5318B"/>
    <w:rsid w:val="70D47E6C"/>
    <w:rsid w:val="70D527EE"/>
    <w:rsid w:val="70EC4E77"/>
    <w:rsid w:val="70EE6C8E"/>
    <w:rsid w:val="70F526F8"/>
    <w:rsid w:val="70F56A5C"/>
    <w:rsid w:val="70FD0D8D"/>
    <w:rsid w:val="71043FB1"/>
    <w:rsid w:val="71050418"/>
    <w:rsid w:val="71086D1A"/>
    <w:rsid w:val="710E2FA5"/>
    <w:rsid w:val="71136C70"/>
    <w:rsid w:val="71327872"/>
    <w:rsid w:val="71327A37"/>
    <w:rsid w:val="713B54B3"/>
    <w:rsid w:val="71442990"/>
    <w:rsid w:val="7148770A"/>
    <w:rsid w:val="714B270A"/>
    <w:rsid w:val="71515598"/>
    <w:rsid w:val="715A45BF"/>
    <w:rsid w:val="715B5300"/>
    <w:rsid w:val="715F530D"/>
    <w:rsid w:val="71722CD3"/>
    <w:rsid w:val="7174530F"/>
    <w:rsid w:val="718045DF"/>
    <w:rsid w:val="71850CC1"/>
    <w:rsid w:val="718870EB"/>
    <w:rsid w:val="719B2F5B"/>
    <w:rsid w:val="719D1773"/>
    <w:rsid w:val="71B92164"/>
    <w:rsid w:val="71C342B6"/>
    <w:rsid w:val="71D27F8A"/>
    <w:rsid w:val="71D52FB6"/>
    <w:rsid w:val="71E27162"/>
    <w:rsid w:val="71E52CF0"/>
    <w:rsid w:val="71E92532"/>
    <w:rsid w:val="71ED2584"/>
    <w:rsid w:val="71EF0DA4"/>
    <w:rsid w:val="71F04D71"/>
    <w:rsid w:val="71F22C09"/>
    <w:rsid w:val="72086E81"/>
    <w:rsid w:val="720A1ACF"/>
    <w:rsid w:val="721766DF"/>
    <w:rsid w:val="721F61D8"/>
    <w:rsid w:val="72243CB5"/>
    <w:rsid w:val="7225602D"/>
    <w:rsid w:val="7231598A"/>
    <w:rsid w:val="7238331B"/>
    <w:rsid w:val="723B6E39"/>
    <w:rsid w:val="723C4B66"/>
    <w:rsid w:val="72504FF0"/>
    <w:rsid w:val="72544109"/>
    <w:rsid w:val="72553024"/>
    <w:rsid w:val="725703F9"/>
    <w:rsid w:val="725E0BC7"/>
    <w:rsid w:val="726D3A69"/>
    <w:rsid w:val="72933764"/>
    <w:rsid w:val="72A32B7C"/>
    <w:rsid w:val="72A73C39"/>
    <w:rsid w:val="72A87800"/>
    <w:rsid w:val="72AD0480"/>
    <w:rsid w:val="72B91919"/>
    <w:rsid w:val="72C61AF0"/>
    <w:rsid w:val="72DA3253"/>
    <w:rsid w:val="72E15A50"/>
    <w:rsid w:val="72E41E8C"/>
    <w:rsid w:val="72F60C47"/>
    <w:rsid w:val="730A5B5F"/>
    <w:rsid w:val="73122968"/>
    <w:rsid w:val="731C64F5"/>
    <w:rsid w:val="731F5D5E"/>
    <w:rsid w:val="73231D1D"/>
    <w:rsid w:val="73494CF8"/>
    <w:rsid w:val="734B4E95"/>
    <w:rsid w:val="735D0F50"/>
    <w:rsid w:val="73641BF7"/>
    <w:rsid w:val="73663BF6"/>
    <w:rsid w:val="73741183"/>
    <w:rsid w:val="737C6040"/>
    <w:rsid w:val="737E59A4"/>
    <w:rsid w:val="73882444"/>
    <w:rsid w:val="738A10CD"/>
    <w:rsid w:val="739614AF"/>
    <w:rsid w:val="73A65D96"/>
    <w:rsid w:val="73B7275F"/>
    <w:rsid w:val="73C31625"/>
    <w:rsid w:val="73C51AD5"/>
    <w:rsid w:val="73CA7393"/>
    <w:rsid w:val="73D62B05"/>
    <w:rsid w:val="73E47429"/>
    <w:rsid w:val="74136A57"/>
    <w:rsid w:val="741E793C"/>
    <w:rsid w:val="742579FD"/>
    <w:rsid w:val="7427210E"/>
    <w:rsid w:val="742A4055"/>
    <w:rsid w:val="743F774A"/>
    <w:rsid w:val="74501B9C"/>
    <w:rsid w:val="74506BB7"/>
    <w:rsid w:val="74552BA8"/>
    <w:rsid w:val="745A27E6"/>
    <w:rsid w:val="745C1CB9"/>
    <w:rsid w:val="745E3944"/>
    <w:rsid w:val="746C74F7"/>
    <w:rsid w:val="74735EC7"/>
    <w:rsid w:val="74746281"/>
    <w:rsid w:val="747A50C2"/>
    <w:rsid w:val="74870EC9"/>
    <w:rsid w:val="7487716B"/>
    <w:rsid w:val="74A70D24"/>
    <w:rsid w:val="74A83D8F"/>
    <w:rsid w:val="74B17B40"/>
    <w:rsid w:val="74B325D6"/>
    <w:rsid w:val="74C068B8"/>
    <w:rsid w:val="74CB0B2C"/>
    <w:rsid w:val="74D55482"/>
    <w:rsid w:val="74E324AE"/>
    <w:rsid w:val="74ED2E08"/>
    <w:rsid w:val="74FC2256"/>
    <w:rsid w:val="7506635F"/>
    <w:rsid w:val="75173326"/>
    <w:rsid w:val="75294935"/>
    <w:rsid w:val="75385A96"/>
    <w:rsid w:val="753E6C81"/>
    <w:rsid w:val="75524935"/>
    <w:rsid w:val="75611F12"/>
    <w:rsid w:val="758A7C3A"/>
    <w:rsid w:val="758F2295"/>
    <w:rsid w:val="759105AD"/>
    <w:rsid w:val="75931254"/>
    <w:rsid w:val="7596216C"/>
    <w:rsid w:val="759D1DC9"/>
    <w:rsid w:val="75A11E84"/>
    <w:rsid w:val="75AB5F30"/>
    <w:rsid w:val="75C32685"/>
    <w:rsid w:val="75CD2045"/>
    <w:rsid w:val="75D3553D"/>
    <w:rsid w:val="75D752AF"/>
    <w:rsid w:val="75F36397"/>
    <w:rsid w:val="75F52ABE"/>
    <w:rsid w:val="75FC59D6"/>
    <w:rsid w:val="76070CC8"/>
    <w:rsid w:val="76227D6A"/>
    <w:rsid w:val="76300880"/>
    <w:rsid w:val="76346685"/>
    <w:rsid w:val="7635099D"/>
    <w:rsid w:val="76457415"/>
    <w:rsid w:val="76471098"/>
    <w:rsid w:val="7658309A"/>
    <w:rsid w:val="7662726E"/>
    <w:rsid w:val="7667360C"/>
    <w:rsid w:val="7670166B"/>
    <w:rsid w:val="767D1D7F"/>
    <w:rsid w:val="768771CC"/>
    <w:rsid w:val="769D6D1D"/>
    <w:rsid w:val="76BF0F96"/>
    <w:rsid w:val="76CA711F"/>
    <w:rsid w:val="76D45CF6"/>
    <w:rsid w:val="76DC6C08"/>
    <w:rsid w:val="76EF4213"/>
    <w:rsid w:val="76F46959"/>
    <w:rsid w:val="76FE1A46"/>
    <w:rsid w:val="77006FA6"/>
    <w:rsid w:val="7709422A"/>
    <w:rsid w:val="771346D9"/>
    <w:rsid w:val="77163E6B"/>
    <w:rsid w:val="77280A19"/>
    <w:rsid w:val="772A1BDE"/>
    <w:rsid w:val="773434B8"/>
    <w:rsid w:val="77405408"/>
    <w:rsid w:val="77473B94"/>
    <w:rsid w:val="77497E88"/>
    <w:rsid w:val="774C1FF5"/>
    <w:rsid w:val="77594F6F"/>
    <w:rsid w:val="777054B1"/>
    <w:rsid w:val="77762421"/>
    <w:rsid w:val="77837FAA"/>
    <w:rsid w:val="77866C8D"/>
    <w:rsid w:val="778D4D92"/>
    <w:rsid w:val="7790347C"/>
    <w:rsid w:val="77911D10"/>
    <w:rsid w:val="7798645E"/>
    <w:rsid w:val="77A101F8"/>
    <w:rsid w:val="77A72E0B"/>
    <w:rsid w:val="77B56B1F"/>
    <w:rsid w:val="77B833D4"/>
    <w:rsid w:val="77C23E82"/>
    <w:rsid w:val="77C34120"/>
    <w:rsid w:val="77D004EE"/>
    <w:rsid w:val="77D116FE"/>
    <w:rsid w:val="77D57729"/>
    <w:rsid w:val="77D6707A"/>
    <w:rsid w:val="77D94AD7"/>
    <w:rsid w:val="77DB01BC"/>
    <w:rsid w:val="77E81A10"/>
    <w:rsid w:val="77F906CF"/>
    <w:rsid w:val="78031497"/>
    <w:rsid w:val="780F09F4"/>
    <w:rsid w:val="780F4FBA"/>
    <w:rsid w:val="78115505"/>
    <w:rsid w:val="781873B9"/>
    <w:rsid w:val="781F508F"/>
    <w:rsid w:val="78222513"/>
    <w:rsid w:val="78250109"/>
    <w:rsid w:val="782A57B1"/>
    <w:rsid w:val="782F76D5"/>
    <w:rsid w:val="78304299"/>
    <w:rsid w:val="783B7D77"/>
    <w:rsid w:val="78406E47"/>
    <w:rsid w:val="78427259"/>
    <w:rsid w:val="784A3A48"/>
    <w:rsid w:val="785122F7"/>
    <w:rsid w:val="78745DB9"/>
    <w:rsid w:val="787929B0"/>
    <w:rsid w:val="78825F18"/>
    <w:rsid w:val="789B0340"/>
    <w:rsid w:val="789D27E0"/>
    <w:rsid w:val="78A90480"/>
    <w:rsid w:val="78AE2020"/>
    <w:rsid w:val="78C16992"/>
    <w:rsid w:val="78CD1E78"/>
    <w:rsid w:val="78E56A20"/>
    <w:rsid w:val="78EB5F5B"/>
    <w:rsid w:val="78F6141D"/>
    <w:rsid w:val="78F90D44"/>
    <w:rsid w:val="79107C76"/>
    <w:rsid w:val="79120F92"/>
    <w:rsid w:val="79150A76"/>
    <w:rsid w:val="791D7D46"/>
    <w:rsid w:val="792E5A84"/>
    <w:rsid w:val="793037D5"/>
    <w:rsid w:val="79362C24"/>
    <w:rsid w:val="793A08E5"/>
    <w:rsid w:val="793E776D"/>
    <w:rsid w:val="794551CC"/>
    <w:rsid w:val="79576C56"/>
    <w:rsid w:val="796712CF"/>
    <w:rsid w:val="79735EBE"/>
    <w:rsid w:val="7978444E"/>
    <w:rsid w:val="79785118"/>
    <w:rsid w:val="79805A03"/>
    <w:rsid w:val="798555BF"/>
    <w:rsid w:val="798C60B0"/>
    <w:rsid w:val="79916E4E"/>
    <w:rsid w:val="79920E8D"/>
    <w:rsid w:val="79937486"/>
    <w:rsid w:val="79994641"/>
    <w:rsid w:val="799F3D4E"/>
    <w:rsid w:val="79AC4598"/>
    <w:rsid w:val="79C205E8"/>
    <w:rsid w:val="79D66154"/>
    <w:rsid w:val="79F451CF"/>
    <w:rsid w:val="79F864A9"/>
    <w:rsid w:val="79FD476E"/>
    <w:rsid w:val="7A042E57"/>
    <w:rsid w:val="7A0E756A"/>
    <w:rsid w:val="7A143F2F"/>
    <w:rsid w:val="7A227AAF"/>
    <w:rsid w:val="7A251067"/>
    <w:rsid w:val="7A28564B"/>
    <w:rsid w:val="7A364017"/>
    <w:rsid w:val="7A437F25"/>
    <w:rsid w:val="7A4862C4"/>
    <w:rsid w:val="7A5D67BB"/>
    <w:rsid w:val="7A6354C5"/>
    <w:rsid w:val="7A731205"/>
    <w:rsid w:val="7A7335E2"/>
    <w:rsid w:val="7A762354"/>
    <w:rsid w:val="7A8265E1"/>
    <w:rsid w:val="7A8309CA"/>
    <w:rsid w:val="7A9B002A"/>
    <w:rsid w:val="7AA11322"/>
    <w:rsid w:val="7AA63B97"/>
    <w:rsid w:val="7AAB1BD8"/>
    <w:rsid w:val="7AAE5756"/>
    <w:rsid w:val="7ABC2376"/>
    <w:rsid w:val="7ABD6A42"/>
    <w:rsid w:val="7ABE0044"/>
    <w:rsid w:val="7AC44309"/>
    <w:rsid w:val="7AC4631F"/>
    <w:rsid w:val="7ACD4A9D"/>
    <w:rsid w:val="7AD3680F"/>
    <w:rsid w:val="7AD65B35"/>
    <w:rsid w:val="7AD746F8"/>
    <w:rsid w:val="7ADD334B"/>
    <w:rsid w:val="7AE64030"/>
    <w:rsid w:val="7AEF64C6"/>
    <w:rsid w:val="7AFC0725"/>
    <w:rsid w:val="7B022849"/>
    <w:rsid w:val="7B05393D"/>
    <w:rsid w:val="7B0B67B6"/>
    <w:rsid w:val="7B1C0732"/>
    <w:rsid w:val="7B1E6A28"/>
    <w:rsid w:val="7B2D0A25"/>
    <w:rsid w:val="7B2D500B"/>
    <w:rsid w:val="7B3249E0"/>
    <w:rsid w:val="7B3E7F43"/>
    <w:rsid w:val="7B494FD7"/>
    <w:rsid w:val="7B5D78FE"/>
    <w:rsid w:val="7B615D46"/>
    <w:rsid w:val="7B653F56"/>
    <w:rsid w:val="7B660105"/>
    <w:rsid w:val="7B686D42"/>
    <w:rsid w:val="7B6F5366"/>
    <w:rsid w:val="7B74231E"/>
    <w:rsid w:val="7B7E326E"/>
    <w:rsid w:val="7B841746"/>
    <w:rsid w:val="7BA55CFD"/>
    <w:rsid w:val="7BB91351"/>
    <w:rsid w:val="7BCE6868"/>
    <w:rsid w:val="7BDC6D56"/>
    <w:rsid w:val="7BE73CDF"/>
    <w:rsid w:val="7BF20289"/>
    <w:rsid w:val="7BFB7FBC"/>
    <w:rsid w:val="7C0268BB"/>
    <w:rsid w:val="7C0E1ED7"/>
    <w:rsid w:val="7C0F5E7C"/>
    <w:rsid w:val="7C1500AF"/>
    <w:rsid w:val="7C1F57C9"/>
    <w:rsid w:val="7C262C25"/>
    <w:rsid w:val="7C2703D2"/>
    <w:rsid w:val="7C282BA7"/>
    <w:rsid w:val="7C2D5087"/>
    <w:rsid w:val="7C316CB8"/>
    <w:rsid w:val="7C334955"/>
    <w:rsid w:val="7C445D7F"/>
    <w:rsid w:val="7C573D35"/>
    <w:rsid w:val="7C5F1699"/>
    <w:rsid w:val="7C632B96"/>
    <w:rsid w:val="7C657CD7"/>
    <w:rsid w:val="7C6B5CEF"/>
    <w:rsid w:val="7C6C5AC7"/>
    <w:rsid w:val="7C6D1170"/>
    <w:rsid w:val="7C892203"/>
    <w:rsid w:val="7C9B5FE3"/>
    <w:rsid w:val="7CA52CD5"/>
    <w:rsid w:val="7CB06435"/>
    <w:rsid w:val="7CC6544B"/>
    <w:rsid w:val="7CD92CB5"/>
    <w:rsid w:val="7CDD2A9E"/>
    <w:rsid w:val="7CE94F9D"/>
    <w:rsid w:val="7CF21276"/>
    <w:rsid w:val="7CFD64CD"/>
    <w:rsid w:val="7CFF5836"/>
    <w:rsid w:val="7D0239FF"/>
    <w:rsid w:val="7D16728C"/>
    <w:rsid w:val="7D1961AD"/>
    <w:rsid w:val="7D1E2543"/>
    <w:rsid w:val="7D2B38E0"/>
    <w:rsid w:val="7D2E52A3"/>
    <w:rsid w:val="7D350861"/>
    <w:rsid w:val="7D3B4375"/>
    <w:rsid w:val="7D3D4648"/>
    <w:rsid w:val="7D415F75"/>
    <w:rsid w:val="7D500BBF"/>
    <w:rsid w:val="7D504299"/>
    <w:rsid w:val="7D5D0010"/>
    <w:rsid w:val="7D5E40CD"/>
    <w:rsid w:val="7D6D3A12"/>
    <w:rsid w:val="7D7002DD"/>
    <w:rsid w:val="7D7166E5"/>
    <w:rsid w:val="7D81456D"/>
    <w:rsid w:val="7D821FA4"/>
    <w:rsid w:val="7D8550E9"/>
    <w:rsid w:val="7D8E51D3"/>
    <w:rsid w:val="7D8E54B5"/>
    <w:rsid w:val="7D997B0B"/>
    <w:rsid w:val="7DA13E2F"/>
    <w:rsid w:val="7DA24038"/>
    <w:rsid w:val="7DA70524"/>
    <w:rsid w:val="7DAC1622"/>
    <w:rsid w:val="7DB404A9"/>
    <w:rsid w:val="7DBD4C18"/>
    <w:rsid w:val="7DBF497F"/>
    <w:rsid w:val="7DCD56F2"/>
    <w:rsid w:val="7DD812D3"/>
    <w:rsid w:val="7DDE5A8C"/>
    <w:rsid w:val="7DDF3996"/>
    <w:rsid w:val="7E042830"/>
    <w:rsid w:val="7E042C9F"/>
    <w:rsid w:val="7E154192"/>
    <w:rsid w:val="7E171A3C"/>
    <w:rsid w:val="7E262A4B"/>
    <w:rsid w:val="7E31733A"/>
    <w:rsid w:val="7E3B3E57"/>
    <w:rsid w:val="7E3C0BD4"/>
    <w:rsid w:val="7E3D7D25"/>
    <w:rsid w:val="7E3E7719"/>
    <w:rsid w:val="7E430382"/>
    <w:rsid w:val="7E4C7EA3"/>
    <w:rsid w:val="7E4D0042"/>
    <w:rsid w:val="7E515400"/>
    <w:rsid w:val="7E580B88"/>
    <w:rsid w:val="7E5B0B3E"/>
    <w:rsid w:val="7E5C58EB"/>
    <w:rsid w:val="7E6B2A38"/>
    <w:rsid w:val="7E6B3E4E"/>
    <w:rsid w:val="7E6D1111"/>
    <w:rsid w:val="7E6D3C23"/>
    <w:rsid w:val="7E732539"/>
    <w:rsid w:val="7E7B03DD"/>
    <w:rsid w:val="7E7E60F9"/>
    <w:rsid w:val="7E81399A"/>
    <w:rsid w:val="7E8835EA"/>
    <w:rsid w:val="7E8C7AF9"/>
    <w:rsid w:val="7E906498"/>
    <w:rsid w:val="7E9C18E9"/>
    <w:rsid w:val="7E9F20F8"/>
    <w:rsid w:val="7EA2055B"/>
    <w:rsid w:val="7EAE2C0F"/>
    <w:rsid w:val="7EB477AE"/>
    <w:rsid w:val="7EBF111E"/>
    <w:rsid w:val="7EC16B03"/>
    <w:rsid w:val="7EC40456"/>
    <w:rsid w:val="7ECA09CA"/>
    <w:rsid w:val="7ECE4977"/>
    <w:rsid w:val="7ED10356"/>
    <w:rsid w:val="7EE533A0"/>
    <w:rsid w:val="7EF54C37"/>
    <w:rsid w:val="7EFE31B6"/>
    <w:rsid w:val="7F001CE7"/>
    <w:rsid w:val="7F0149C5"/>
    <w:rsid w:val="7F1A36FF"/>
    <w:rsid w:val="7F2D7771"/>
    <w:rsid w:val="7F3F3B72"/>
    <w:rsid w:val="7F652519"/>
    <w:rsid w:val="7F6B2864"/>
    <w:rsid w:val="7F6B4389"/>
    <w:rsid w:val="7F6F72E7"/>
    <w:rsid w:val="7F79736C"/>
    <w:rsid w:val="7F7B4304"/>
    <w:rsid w:val="7F823D02"/>
    <w:rsid w:val="7F83096E"/>
    <w:rsid w:val="7F874E19"/>
    <w:rsid w:val="7F9665A0"/>
    <w:rsid w:val="7F9955C9"/>
    <w:rsid w:val="7FA12585"/>
    <w:rsid w:val="7FA340BE"/>
    <w:rsid w:val="7FA55D33"/>
    <w:rsid w:val="7FAE46A6"/>
    <w:rsid w:val="7FBF7C6B"/>
    <w:rsid w:val="7FCB742C"/>
    <w:rsid w:val="7FD57AEB"/>
    <w:rsid w:val="7FE47E50"/>
    <w:rsid w:val="7FF964EC"/>
    <w:rsid w:val="7FFA5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1"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autoRedefine/>
    <w:qFormat/>
    <w:locked/>
    <w:uiPriority w:val="1"/>
    <w:pPr>
      <w:spacing w:before="160"/>
      <w:ind w:left="717"/>
      <w:outlineLvl w:val="2"/>
    </w:pPr>
    <w:rPr>
      <w:rFonts w:ascii="宋体" w:hAnsi="宋体" w:cs="宋体"/>
      <w:b/>
      <w:bCs/>
      <w:sz w:val="24"/>
      <w:lang w:val="zh-CN" w:bidi="zh-CN"/>
    </w:rPr>
  </w:style>
  <w:style w:type="paragraph" w:styleId="7">
    <w:name w:val="heading 4"/>
    <w:basedOn w:val="1"/>
    <w:next w:val="1"/>
    <w:autoRedefine/>
    <w:qFormat/>
    <w:locked/>
    <w:uiPriority w:val="0"/>
    <w:pPr>
      <w:keepNext/>
      <w:keepLines/>
      <w:spacing w:before="280" w:after="290" w:line="376" w:lineRule="auto"/>
      <w:outlineLvl w:val="3"/>
    </w:pPr>
    <w:rPr>
      <w:rFonts w:ascii="Arial" w:hAnsi="Arial" w:eastAsia="黑体"/>
      <w:b/>
      <w:bCs/>
      <w:sz w:val="28"/>
      <w:szCs w:val="28"/>
    </w:rPr>
  </w:style>
  <w:style w:type="character" w:default="1" w:styleId="33">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locked/>
    <w:uiPriority w:val="0"/>
    <w:pPr>
      <w:adjustRightInd w:val="0"/>
      <w:snapToGrid w:val="0"/>
      <w:spacing w:line="300" w:lineRule="auto"/>
      <w:ind w:firstLine="200" w:firstLineChars="200"/>
    </w:pPr>
    <w:rPr>
      <w:rFonts w:ascii="仿宋_GB2312"/>
      <w:color w:val="000000"/>
      <w:sz w:val="28"/>
    </w:rPr>
  </w:style>
  <w:style w:type="paragraph" w:styleId="6">
    <w:name w:val="toc 1"/>
    <w:basedOn w:val="1"/>
    <w:next w:val="1"/>
    <w:autoRedefine/>
    <w:qFormat/>
    <w:locked/>
    <w:uiPriority w:val="0"/>
  </w:style>
  <w:style w:type="paragraph" w:styleId="8">
    <w:name w:val="caption"/>
    <w:basedOn w:val="1"/>
    <w:next w:val="1"/>
    <w:autoRedefine/>
    <w:qFormat/>
    <w:locked/>
    <w:uiPriority w:val="35"/>
    <w:pPr>
      <w:jc w:val="center"/>
    </w:pPr>
    <w:rPr>
      <w:b/>
      <w:kern w:val="0"/>
      <w:szCs w:val="20"/>
    </w:rPr>
  </w:style>
  <w:style w:type="paragraph" w:styleId="9">
    <w:name w:val="annotation text"/>
    <w:basedOn w:val="1"/>
    <w:link w:val="46"/>
    <w:autoRedefine/>
    <w:semiHidden/>
    <w:qFormat/>
    <w:uiPriority w:val="0"/>
    <w:pPr>
      <w:jc w:val="left"/>
    </w:pPr>
    <w:rPr>
      <w:kern w:val="0"/>
      <w:sz w:val="24"/>
      <w:szCs w:val="20"/>
    </w:rPr>
  </w:style>
  <w:style w:type="paragraph" w:styleId="10">
    <w:name w:val="Body Text"/>
    <w:basedOn w:val="1"/>
    <w:next w:val="11"/>
    <w:link w:val="45"/>
    <w:autoRedefine/>
    <w:qFormat/>
    <w:uiPriority w:val="0"/>
    <w:pPr>
      <w:widowControl/>
      <w:snapToGrid w:val="0"/>
      <w:spacing w:before="60" w:after="160" w:line="259" w:lineRule="auto"/>
      <w:ind w:right="113"/>
    </w:pPr>
    <w:rPr>
      <w:kern w:val="0"/>
      <w:sz w:val="18"/>
      <w:szCs w:val="20"/>
    </w:rPr>
  </w:style>
  <w:style w:type="paragraph" w:customStyle="1" w:styleId="11">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styleId="12">
    <w:name w:val="Body Text Indent"/>
    <w:basedOn w:val="1"/>
    <w:link w:val="47"/>
    <w:autoRedefine/>
    <w:qFormat/>
    <w:uiPriority w:val="0"/>
    <w:pPr>
      <w:spacing w:after="120"/>
      <w:ind w:left="420" w:leftChars="200"/>
    </w:pPr>
    <w:rPr>
      <w:kern w:val="0"/>
      <w:sz w:val="24"/>
      <w:szCs w:val="20"/>
    </w:rPr>
  </w:style>
  <w:style w:type="paragraph" w:styleId="13">
    <w:name w:val="Plain Text"/>
    <w:basedOn w:val="1"/>
    <w:autoRedefine/>
    <w:qFormat/>
    <w:locked/>
    <w:uiPriority w:val="0"/>
    <w:rPr>
      <w:rFonts w:ascii="宋体" w:hAnsi="Courier New"/>
      <w:sz w:val="28"/>
    </w:rPr>
  </w:style>
  <w:style w:type="paragraph" w:styleId="14">
    <w:name w:val="List Bullet 5"/>
    <w:basedOn w:val="1"/>
    <w:qFormat/>
    <w:locked/>
    <w:uiPriority w:val="0"/>
    <w:pPr>
      <w:numPr>
        <w:ilvl w:val="0"/>
        <w:numId w:val="1"/>
      </w:numPr>
    </w:pPr>
  </w:style>
  <w:style w:type="paragraph" w:styleId="15">
    <w:name w:val="Date"/>
    <w:basedOn w:val="1"/>
    <w:next w:val="1"/>
    <w:link w:val="48"/>
    <w:autoRedefine/>
    <w:qFormat/>
    <w:uiPriority w:val="0"/>
    <w:pPr>
      <w:ind w:left="100" w:leftChars="2500"/>
    </w:pPr>
    <w:rPr>
      <w:kern w:val="0"/>
      <w:sz w:val="24"/>
      <w:szCs w:val="20"/>
    </w:rPr>
  </w:style>
  <w:style w:type="paragraph" w:styleId="16">
    <w:name w:val="Body Text Indent 2"/>
    <w:basedOn w:val="1"/>
    <w:autoRedefine/>
    <w:qFormat/>
    <w:locked/>
    <w:uiPriority w:val="0"/>
    <w:pPr>
      <w:ind w:firstLine="420" w:firstLineChars="200"/>
    </w:pPr>
    <w:rPr>
      <w:rFonts w:ascii="楷体_GB2312" w:eastAsia="楷体_GB2312"/>
    </w:rPr>
  </w:style>
  <w:style w:type="paragraph" w:styleId="17">
    <w:name w:val="Balloon Text"/>
    <w:basedOn w:val="1"/>
    <w:link w:val="49"/>
    <w:autoRedefine/>
    <w:semiHidden/>
    <w:qFormat/>
    <w:uiPriority w:val="0"/>
    <w:rPr>
      <w:kern w:val="0"/>
      <w:sz w:val="18"/>
      <w:szCs w:val="20"/>
    </w:rPr>
  </w:style>
  <w:style w:type="paragraph" w:styleId="18">
    <w:name w:val="footer"/>
    <w:basedOn w:val="1"/>
    <w:next w:val="1"/>
    <w:link w:val="50"/>
    <w:autoRedefine/>
    <w:qFormat/>
    <w:uiPriority w:val="99"/>
    <w:pPr>
      <w:tabs>
        <w:tab w:val="center" w:pos="4153"/>
        <w:tab w:val="right" w:pos="8306"/>
      </w:tabs>
      <w:snapToGrid w:val="0"/>
      <w:jc w:val="left"/>
    </w:pPr>
    <w:rPr>
      <w:kern w:val="0"/>
      <w:sz w:val="18"/>
      <w:szCs w:val="20"/>
    </w:rPr>
  </w:style>
  <w:style w:type="paragraph" w:styleId="19">
    <w:name w:val="header"/>
    <w:basedOn w:val="1"/>
    <w:link w:val="5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index heading"/>
    <w:basedOn w:val="1"/>
    <w:next w:val="21"/>
    <w:qFormat/>
    <w:locked/>
    <w:uiPriority w:val="0"/>
    <w:pPr>
      <w:spacing w:line="500" w:lineRule="exact"/>
    </w:pPr>
    <w:rPr>
      <w:rFonts w:ascii="仿宋_GB2312" w:eastAsia="仿宋_GB2312"/>
      <w:sz w:val="28"/>
    </w:rPr>
  </w:style>
  <w:style w:type="paragraph" w:styleId="21">
    <w:name w:val="index 1"/>
    <w:basedOn w:val="1"/>
    <w:next w:val="1"/>
    <w:autoRedefine/>
    <w:qFormat/>
    <w:locked/>
    <w:uiPriority w:val="0"/>
    <w:pPr>
      <w:jc w:val="center"/>
    </w:pPr>
    <w:rPr>
      <w:rFonts w:ascii="宋体" w:hAnsi="宋体"/>
      <w:bCs/>
      <w:color w:val="FF0000"/>
      <w:szCs w:val="21"/>
    </w:rPr>
  </w:style>
  <w:style w:type="paragraph" w:styleId="22">
    <w:name w:val="List"/>
    <w:basedOn w:val="1"/>
    <w:autoRedefine/>
    <w:qFormat/>
    <w:locked/>
    <w:uiPriority w:val="0"/>
    <w:pPr>
      <w:spacing w:line="360" w:lineRule="auto"/>
    </w:pPr>
    <w:rPr>
      <w:sz w:val="24"/>
      <w:szCs w:val="20"/>
    </w:rPr>
  </w:style>
  <w:style w:type="paragraph" w:styleId="23">
    <w:name w:val="toc 2"/>
    <w:basedOn w:val="1"/>
    <w:next w:val="1"/>
    <w:autoRedefine/>
    <w:semiHidden/>
    <w:qFormat/>
    <w:locked/>
    <w:uiPriority w:val="0"/>
    <w:pPr>
      <w:ind w:left="240"/>
    </w:pPr>
    <w:rPr>
      <w:smallCaps/>
      <w:sz w:val="20"/>
    </w:rPr>
  </w:style>
  <w:style w:type="paragraph" w:styleId="24">
    <w:name w:val="Body Text 2"/>
    <w:basedOn w:val="1"/>
    <w:autoRedefine/>
    <w:qFormat/>
    <w:locked/>
    <w:uiPriority w:val="0"/>
    <w:pPr>
      <w:spacing w:after="120" w:line="480" w:lineRule="auto"/>
    </w:pPr>
  </w:style>
  <w:style w:type="paragraph" w:styleId="25">
    <w:name w:val="Normal (Web)"/>
    <w:basedOn w:val="1"/>
    <w:link w:val="52"/>
    <w:autoRedefine/>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autoRedefine/>
    <w:qFormat/>
    <w:locked/>
    <w:uiPriority w:val="0"/>
    <w:pPr>
      <w:adjustRightInd w:val="0"/>
      <w:snapToGrid w:val="0"/>
      <w:jc w:val="center"/>
      <w:outlineLvl w:val="0"/>
    </w:pPr>
    <w:rPr>
      <w:rFonts w:ascii="Cambria" w:hAnsi="Cambria"/>
      <w:b/>
      <w:bCs/>
      <w:sz w:val="32"/>
      <w:szCs w:val="32"/>
    </w:rPr>
  </w:style>
  <w:style w:type="paragraph" w:styleId="27">
    <w:name w:val="annotation subject"/>
    <w:basedOn w:val="9"/>
    <w:next w:val="9"/>
    <w:link w:val="53"/>
    <w:autoRedefine/>
    <w:semiHidden/>
    <w:qFormat/>
    <w:uiPriority w:val="0"/>
    <w:rPr>
      <w:b/>
    </w:rPr>
  </w:style>
  <w:style w:type="paragraph" w:styleId="28">
    <w:name w:val="Body Text First Indent"/>
    <w:basedOn w:val="10"/>
    <w:autoRedefine/>
    <w:qFormat/>
    <w:locked/>
    <w:uiPriority w:val="0"/>
    <w:pPr>
      <w:spacing w:after="120"/>
      <w:ind w:firstLine="420" w:firstLineChars="100"/>
      <w:jc w:val="left"/>
    </w:pPr>
    <w:rPr>
      <w:rFonts w:eastAsia="仿宋_GB2312"/>
      <w:sz w:val="24"/>
    </w:rPr>
  </w:style>
  <w:style w:type="paragraph" w:styleId="29">
    <w:name w:val="Body Text First Indent 2"/>
    <w:basedOn w:val="1"/>
    <w:next w:val="1"/>
    <w:autoRedefine/>
    <w:qFormat/>
    <w:locked/>
    <w:uiPriority w:val="0"/>
    <w:pPr>
      <w:tabs>
        <w:tab w:val="left" w:pos="0"/>
      </w:tabs>
      <w:ind w:firstLine="420" w:firstLineChars="200"/>
    </w:pPr>
    <w:rPr>
      <w:sz w:val="21"/>
      <w:szCs w:val="24"/>
    </w:rPr>
  </w:style>
  <w:style w:type="table" w:styleId="31">
    <w:name w:val="Table Grid"/>
    <w:basedOn w:val="3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2">
    <w:name w:val="Table Theme"/>
    <w:basedOn w:val="30"/>
    <w:autoRedefine/>
    <w:qFormat/>
    <w:locked/>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autoRedefine/>
    <w:qFormat/>
    <w:locked/>
    <w:uiPriority w:val="0"/>
    <w:rPr>
      <w:b/>
    </w:rPr>
  </w:style>
  <w:style w:type="character" w:styleId="35">
    <w:name w:val="page number"/>
    <w:autoRedefine/>
    <w:qFormat/>
    <w:locked/>
    <w:uiPriority w:val="0"/>
  </w:style>
  <w:style w:type="character" w:styleId="36">
    <w:name w:val="FollowedHyperlink"/>
    <w:autoRedefine/>
    <w:qFormat/>
    <w:locked/>
    <w:uiPriority w:val="0"/>
    <w:rPr>
      <w:color w:val="3D3D3D"/>
      <w:u w:val="none"/>
    </w:rPr>
  </w:style>
  <w:style w:type="character" w:styleId="37">
    <w:name w:val="Emphasis"/>
    <w:basedOn w:val="33"/>
    <w:autoRedefine/>
    <w:qFormat/>
    <w:locked/>
    <w:uiPriority w:val="0"/>
  </w:style>
  <w:style w:type="character" w:styleId="38">
    <w:name w:val="Hyperlink"/>
    <w:autoRedefine/>
    <w:qFormat/>
    <w:locked/>
    <w:uiPriority w:val="0"/>
    <w:rPr>
      <w:color w:val="3D3D3D"/>
      <w:u w:val="none"/>
    </w:rPr>
  </w:style>
  <w:style w:type="character" w:styleId="39">
    <w:name w:val="annotation reference"/>
    <w:autoRedefine/>
    <w:semiHidden/>
    <w:qFormat/>
    <w:uiPriority w:val="0"/>
    <w:rPr>
      <w:sz w:val="21"/>
    </w:rPr>
  </w:style>
  <w:style w:type="paragraph" w:customStyle="1" w:styleId="40">
    <w:name w:val="BodyText1I2"/>
    <w:basedOn w:val="41"/>
    <w:next w:val="43"/>
    <w:autoRedefine/>
    <w:qFormat/>
    <w:uiPriority w:val="0"/>
    <w:pPr>
      <w:spacing w:after="120"/>
      <w:ind w:left="420" w:leftChars="200" w:firstLine="420" w:firstLineChars="200"/>
      <w:jc w:val="both"/>
      <w:textAlignment w:val="baseline"/>
    </w:pPr>
    <w:rPr>
      <w:rFonts w:ascii="Calibri" w:hAnsi="Calibri" w:eastAsia="宋体" w:cs="Times New Roman"/>
    </w:rPr>
  </w:style>
  <w:style w:type="paragraph" w:customStyle="1" w:styleId="41">
    <w:name w:val="BodyTextIndent"/>
    <w:basedOn w:val="1"/>
    <w:next w:val="42"/>
    <w:autoRedefine/>
    <w:qFormat/>
    <w:uiPriority w:val="0"/>
    <w:pPr>
      <w:spacing w:after="120"/>
      <w:ind w:left="420" w:leftChars="200"/>
      <w:jc w:val="both"/>
      <w:textAlignment w:val="baseline"/>
    </w:pPr>
    <w:rPr>
      <w:rFonts w:ascii="Calibri" w:hAnsi="Calibri" w:eastAsia="宋体" w:cs="Times New Roman"/>
    </w:rPr>
  </w:style>
  <w:style w:type="paragraph" w:customStyle="1" w:styleId="42">
    <w:name w:val="NormalIndent"/>
    <w:basedOn w:val="1"/>
    <w:autoRedefine/>
    <w:qFormat/>
    <w:uiPriority w:val="0"/>
    <w:pPr>
      <w:ind w:firstLine="420" w:firstLineChars="200"/>
      <w:jc w:val="both"/>
      <w:textAlignment w:val="baseline"/>
    </w:pPr>
    <w:rPr>
      <w:rFonts w:ascii="Calibri" w:hAnsi="Calibri" w:eastAsia="仿宋" w:cs="Times New Roman"/>
      <w:kern w:val="2"/>
      <w:sz w:val="32"/>
      <w:szCs w:val="24"/>
      <w:lang w:val="en-US" w:eastAsia="zh-CN" w:bidi="ar-SA"/>
    </w:rPr>
  </w:style>
  <w:style w:type="paragraph" w:customStyle="1" w:styleId="43">
    <w:name w:val="BodyText1I"/>
    <w:basedOn w:val="44"/>
    <w:autoRedefine/>
    <w:qFormat/>
    <w:uiPriority w:val="0"/>
    <w:pPr>
      <w:ind w:firstLine="420" w:firstLineChars="100"/>
    </w:pPr>
  </w:style>
  <w:style w:type="paragraph" w:customStyle="1" w:styleId="44">
    <w:name w:val="BodyText"/>
    <w:basedOn w:val="1"/>
    <w:next w:val="1"/>
    <w:autoRedefine/>
    <w:qFormat/>
    <w:uiPriority w:val="0"/>
    <w:pPr>
      <w:spacing w:after="120"/>
      <w:textAlignment w:val="baseline"/>
    </w:pPr>
  </w:style>
  <w:style w:type="character" w:customStyle="1" w:styleId="45">
    <w:name w:val="正文文本 Char"/>
    <w:link w:val="10"/>
    <w:autoRedefine/>
    <w:qFormat/>
    <w:locked/>
    <w:uiPriority w:val="0"/>
    <w:rPr>
      <w:sz w:val="18"/>
    </w:rPr>
  </w:style>
  <w:style w:type="character" w:customStyle="1" w:styleId="46">
    <w:name w:val="批注文字 Char"/>
    <w:link w:val="9"/>
    <w:autoRedefine/>
    <w:qFormat/>
    <w:locked/>
    <w:uiPriority w:val="0"/>
    <w:rPr>
      <w:rFonts w:ascii="Times New Roman" w:hAnsi="Times New Roman" w:eastAsia="宋体"/>
      <w:sz w:val="24"/>
    </w:rPr>
  </w:style>
  <w:style w:type="character" w:customStyle="1" w:styleId="47">
    <w:name w:val="正文文本缩进 Char"/>
    <w:link w:val="12"/>
    <w:autoRedefine/>
    <w:semiHidden/>
    <w:qFormat/>
    <w:locked/>
    <w:uiPriority w:val="0"/>
    <w:rPr>
      <w:rFonts w:ascii="Times New Roman" w:hAnsi="Times New Roman" w:eastAsia="宋体"/>
      <w:sz w:val="24"/>
    </w:rPr>
  </w:style>
  <w:style w:type="character" w:customStyle="1" w:styleId="48">
    <w:name w:val="日期 Char"/>
    <w:link w:val="15"/>
    <w:autoRedefine/>
    <w:qFormat/>
    <w:locked/>
    <w:uiPriority w:val="0"/>
    <w:rPr>
      <w:rFonts w:ascii="Times New Roman" w:hAnsi="Times New Roman" w:eastAsia="宋体"/>
      <w:sz w:val="24"/>
    </w:rPr>
  </w:style>
  <w:style w:type="character" w:customStyle="1" w:styleId="49">
    <w:name w:val="批注框文本 Char"/>
    <w:link w:val="17"/>
    <w:autoRedefine/>
    <w:semiHidden/>
    <w:qFormat/>
    <w:locked/>
    <w:uiPriority w:val="0"/>
    <w:rPr>
      <w:rFonts w:ascii="Times New Roman" w:hAnsi="Times New Roman" w:eastAsia="宋体"/>
      <w:sz w:val="18"/>
    </w:rPr>
  </w:style>
  <w:style w:type="character" w:customStyle="1" w:styleId="50">
    <w:name w:val="页脚 Char"/>
    <w:link w:val="18"/>
    <w:autoRedefine/>
    <w:qFormat/>
    <w:locked/>
    <w:uiPriority w:val="99"/>
    <w:rPr>
      <w:sz w:val="18"/>
    </w:rPr>
  </w:style>
  <w:style w:type="character" w:customStyle="1" w:styleId="51">
    <w:name w:val="页眉 Char"/>
    <w:link w:val="19"/>
    <w:autoRedefine/>
    <w:qFormat/>
    <w:locked/>
    <w:uiPriority w:val="0"/>
    <w:rPr>
      <w:sz w:val="18"/>
    </w:rPr>
  </w:style>
  <w:style w:type="character" w:customStyle="1" w:styleId="52">
    <w:name w:val="普通(网站) Char"/>
    <w:link w:val="25"/>
    <w:autoRedefine/>
    <w:qFormat/>
    <w:locked/>
    <w:uiPriority w:val="0"/>
    <w:rPr>
      <w:rFonts w:ascii="宋体" w:hAnsi="宋体" w:eastAsia="宋体"/>
      <w:sz w:val="24"/>
    </w:rPr>
  </w:style>
  <w:style w:type="character" w:customStyle="1" w:styleId="53">
    <w:name w:val="批注主题 Char"/>
    <w:link w:val="27"/>
    <w:autoRedefine/>
    <w:semiHidden/>
    <w:qFormat/>
    <w:locked/>
    <w:uiPriority w:val="0"/>
    <w:rPr>
      <w:rFonts w:ascii="Times New Roman" w:hAnsi="Times New Roman" w:eastAsia="宋体"/>
      <w:b/>
      <w:kern w:val="2"/>
      <w:sz w:val="24"/>
    </w:rPr>
  </w:style>
  <w:style w:type="character" w:customStyle="1" w:styleId="54">
    <w:name w:val="页脚 字符"/>
    <w:autoRedefine/>
    <w:qFormat/>
    <w:uiPriority w:val="99"/>
  </w:style>
  <w:style w:type="character" w:customStyle="1" w:styleId="55">
    <w:name w:val="正文文本 字符1"/>
    <w:autoRedefine/>
    <w:semiHidden/>
    <w:qFormat/>
    <w:uiPriority w:val="0"/>
    <w:rPr>
      <w:rFonts w:ascii="Times New Roman" w:hAnsi="Times New Roman" w:eastAsia="宋体"/>
      <w:sz w:val="24"/>
    </w:rPr>
  </w:style>
  <w:style w:type="character" w:customStyle="1" w:styleId="56">
    <w:name w:val="表格 Char"/>
    <w:link w:val="57"/>
    <w:autoRedefine/>
    <w:qFormat/>
    <w:locked/>
    <w:uiPriority w:val="0"/>
    <w:rPr>
      <w:rFonts w:ascii="宋体"/>
      <w:sz w:val="21"/>
    </w:rPr>
  </w:style>
  <w:style w:type="paragraph" w:customStyle="1" w:styleId="57">
    <w:name w:val="表格"/>
    <w:basedOn w:val="58"/>
    <w:link w:val="56"/>
    <w:autoRedefine/>
    <w:qFormat/>
    <w:uiPriority w:val="0"/>
    <w:pPr>
      <w:adjustRightInd w:val="0"/>
      <w:snapToGrid w:val="0"/>
      <w:spacing w:beforeLines="10" w:afterLines="10" w:line="259" w:lineRule="auto"/>
    </w:pPr>
    <w:rPr>
      <w:rFonts w:ascii="宋体"/>
      <w:szCs w:val="20"/>
    </w:rPr>
  </w:style>
  <w:style w:type="paragraph" w:customStyle="1" w:styleId="58">
    <w:name w:val="表头lcc1"/>
    <w:basedOn w:val="1"/>
    <w:autoRedefine/>
    <w:qFormat/>
    <w:uiPriority w:val="0"/>
    <w:pPr>
      <w:jc w:val="center"/>
    </w:pPr>
    <w:rPr>
      <w:b/>
      <w:kern w:val="0"/>
      <w:szCs w:val="21"/>
    </w:rPr>
  </w:style>
  <w:style w:type="character" w:customStyle="1" w:styleId="59">
    <w:name w:val="日期 字符"/>
    <w:semiHidden/>
    <w:qFormat/>
    <w:uiPriority w:val="0"/>
    <w:rPr>
      <w:rFonts w:ascii="Times New Roman" w:hAnsi="Times New Roman" w:eastAsia="宋体"/>
      <w:sz w:val="24"/>
    </w:rPr>
  </w:style>
  <w:style w:type="character" w:customStyle="1" w:styleId="60">
    <w:name w:val="批注文字 字符1"/>
    <w:autoRedefine/>
    <w:semiHidden/>
    <w:qFormat/>
    <w:uiPriority w:val="0"/>
    <w:rPr>
      <w:rFonts w:ascii="Times New Roman" w:hAnsi="Times New Roman" w:eastAsia="宋体"/>
      <w:sz w:val="24"/>
    </w:rPr>
  </w:style>
  <w:style w:type="paragraph" w:customStyle="1" w:styleId="6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3">
    <w:name w:val="Table Paragraph"/>
    <w:basedOn w:val="1"/>
    <w:autoRedefine/>
    <w:qFormat/>
    <w:uiPriority w:val="1"/>
    <w:rPr>
      <w:rFonts w:ascii="仿宋" w:hAnsi="仿宋" w:eastAsia="仿宋" w:cs="仿宋"/>
      <w:lang w:val="zh-CN" w:bidi="zh-CN"/>
    </w:rPr>
  </w:style>
  <w:style w:type="paragraph" w:customStyle="1" w:styleId="64">
    <w:name w:val="正文 4"/>
    <w:basedOn w:val="1"/>
    <w:autoRedefine/>
    <w:qFormat/>
    <w:uiPriority w:val="0"/>
    <w:pPr>
      <w:autoSpaceDE w:val="0"/>
      <w:autoSpaceDN w:val="0"/>
      <w:adjustRightInd w:val="0"/>
      <w:snapToGrid w:val="0"/>
      <w:spacing w:line="360" w:lineRule="auto"/>
      <w:ind w:firstLine="480" w:firstLineChars="200"/>
    </w:pPr>
    <w:rPr>
      <w:bCs/>
      <w:snapToGrid w:val="0"/>
      <w:kern w:val="0"/>
      <w:sz w:val="24"/>
    </w:rPr>
  </w:style>
  <w:style w:type="paragraph" w:customStyle="1" w:styleId="65">
    <w:name w:val="正"/>
    <w:basedOn w:val="1"/>
    <w:autoRedefine/>
    <w:qFormat/>
    <w:uiPriority w:val="0"/>
    <w:pPr>
      <w:adjustRightInd w:val="0"/>
      <w:spacing w:line="360" w:lineRule="auto"/>
      <w:ind w:left="23" w:leftChars="11" w:firstLine="480" w:firstLineChars="200"/>
    </w:pPr>
  </w:style>
  <w:style w:type="paragraph" w:customStyle="1" w:styleId="66">
    <w:name w:val="Default"/>
    <w:basedOn w:val="67"/>
    <w:autoRedefine/>
    <w:qFormat/>
    <w:uiPriority w:val="0"/>
    <w:pPr>
      <w:widowControl w:val="0"/>
      <w:autoSpaceDE w:val="0"/>
      <w:autoSpaceDN w:val="0"/>
      <w:adjustRightInd w:val="0"/>
    </w:pPr>
    <w:rPr>
      <w:rFonts w:ascii="宋体" w:hAnsi="宋体" w:cs="宋体"/>
      <w:color w:val="000000"/>
      <w:sz w:val="24"/>
    </w:rPr>
  </w:style>
  <w:style w:type="paragraph" w:customStyle="1" w:styleId="6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68">
    <w:name w:val="List Paragraph"/>
    <w:basedOn w:val="1"/>
    <w:autoRedefine/>
    <w:qFormat/>
    <w:uiPriority w:val="1"/>
    <w:pPr>
      <w:spacing w:before="161"/>
      <w:ind w:left="1318" w:hanging="602"/>
    </w:pPr>
    <w:rPr>
      <w:rFonts w:ascii="宋体" w:hAnsi="宋体" w:cs="宋体"/>
      <w:lang w:val="zh-CN" w:bidi="zh-CN"/>
    </w:rPr>
  </w:style>
  <w:style w:type="paragraph" w:customStyle="1" w:styleId="69">
    <w:name w:val="样式 自动设置"/>
    <w:basedOn w:val="1"/>
    <w:autoRedefine/>
    <w:qFormat/>
    <w:uiPriority w:val="0"/>
    <w:pPr>
      <w:autoSpaceDE w:val="0"/>
      <w:autoSpaceDN w:val="0"/>
      <w:adjustRightInd w:val="0"/>
      <w:snapToGrid w:val="0"/>
      <w:spacing w:beforeLines="50" w:line="288" w:lineRule="auto"/>
      <w:ind w:firstLine="200" w:firstLineChars="200"/>
    </w:pPr>
    <w:rPr>
      <w:rFonts w:ascii="Calibri" w:hAnsi="Calibri" w:cs="宋体"/>
      <w:sz w:val="24"/>
    </w:rPr>
  </w:style>
  <w:style w:type="paragraph" w:customStyle="1" w:styleId="70">
    <w:name w:val="首行缩进"/>
    <w:basedOn w:val="1"/>
    <w:autoRedefine/>
    <w:qFormat/>
    <w:uiPriority w:val="0"/>
    <w:pPr>
      <w:spacing w:line="360" w:lineRule="auto"/>
      <w:ind w:firstLine="200" w:firstLineChars="200"/>
    </w:pPr>
    <w:rPr>
      <w:rFonts w:eastAsia="仿宋_GB2312"/>
      <w:sz w:val="24"/>
    </w:rPr>
  </w:style>
  <w:style w:type="paragraph" w:customStyle="1" w:styleId="71">
    <w:name w:val="表标题"/>
    <w:basedOn w:val="1"/>
    <w:autoRedefine/>
    <w:qFormat/>
    <w:uiPriority w:val="0"/>
    <w:pPr>
      <w:spacing w:line="500" w:lineRule="exact"/>
      <w:ind w:firstLine="200" w:firstLineChars="200"/>
      <w:jc w:val="center"/>
    </w:pPr>
    <w:rPr>
      <w:rFonts w:hint="eastAsia" w:ascii="仿宋_GB2312" w:hAnsi="Verdana" w:eastAsia="仿宋_GB2312"/>
      <w:b/>
      <w:sz w:val="24"/>
    </w:rPr>
  </w:style>
  <w:style w:type="paragraph" w:customStyle="1" w:styleId="72">
    <w:name w:val="正文加粗lcc"/>
    <w:basedOn w:val="73"/>
    <w:autoRedefine/>
    <w:qFormat/>
    <w:uiPriority w:val="0"/>
    <w:rPr>
      <w:b/>
      <w:szCs w:val="22"/>
    </w:rPr>
  </w:style>
  <w:style w:type="paragraph" w:customStyle="1" w:styleId="73">
    <w:name w:val="正文lcc1"/>
    <w:basedOn w:val="1"/>
    <w:autoRedefine/>
    <w:qFormat/>
    <w:uiPriority w:val="0"/>
    <w:pPr>
      <w:spacing w:line="360" w:lineRule="auto"/>
      <w:ind w:firstLine="200" w:firstLineChars="200"/>
    </w:pPr>
    <w:rPr>
      <w:color w:val="000000"/>
      <w:sz w:val="24"/>
      <w:szCs w:val="20"/>
    </w:rPr>
  </w:style>
  <w:style w:type="paragraph" w:customStyle="1" w:styleId="74">
    <w:name w:val="正文lcc"/>
    <w:basedOn w:val="1"/>
    <w:autoRedefine/>
    <w:qFormat/>
    <w:uiPriority w:val="0"/>
    <w:pPr>
      <w:snapToGrid w:val="0"/>
      <w:spacing w:line="360" w:lineRule="auto"/>
      <w:ind w:firstLine="480" w:firstLineChars="200"/>
    </w:pPr>
    <w:rPr>
      <w:color w:val="000000"/>
      <w:sz w:val="24"/>
    </w:rPr>
  </w:style>
  <w:style w:type="paragraph" w:customStyle="1" w:styleId="75">
    <w:name w:val="表格文字"/>
    <w:basedOn w:val="57"/>
    <w:autoRedefine/>
    <w:qFormat/>
    <w:uiPriority w:val="0"/>
    <w:pPr>
      <w:spacing w:line="360" w:lineRule="exact"/>
    </w:pPr>
    <w:rPr>
      <w:sz w:val="24"/>
    </w:rPr>
  </w:style>
  <w:style w:type="paragraph" w:customStyle="1" w:styleId="76">
    <w:name w:val="图表文字"/>
    <w:basedOn w:val="1"/>
    <w:autoRedefine/>
    <w:qFormat/>
    <w:uiPriority w:val="0"/>
    <w:pPr>
      <w:spacing w:line="300" w:lineRule="exact"/>
      <w:jc w:val="center"/>
    </w:pPr>
    <w:rPr>
      <w:rFonts w:eastAsia="仿宋_GB2312"/>
      <w:bCs/>
      <w:sz w:val="28"/>
    </w:rPr>
  </w:style>
  <w:style w:type="paragraph" w:customStyle="1" w:styleId="77">
    <w:name w:val="Char"/>
    <w:basedOn w:val="1"/>
    <w:autoRedefine/>
    <w:qFormat/>
    <w:uiPriority w:val="0"/>
    <w:rPr>
      <w:sz w:val="24"/>
    </w:rPr>
  </w:style>
  <w:style w:type="table" w:customStyle="1" w:styleId="78">
    <w:name w:val="网格型1"/>
    <w:basedOn w:val="30"/>
    <w:autoRedefine/>
    <w:qFormat/>
    <w:uiPriority w:val="39"/>
    <w:pPr>
      <w:widowControl w:val="0"/>
      <w:adjustRightInd w:val="0"/>
      <w:snapToGrid w:val="0"/>
      <w:jc w:val="center"/>
    </w:pPr>
    <w:rPr>
      <w:rFonts w:eastAsia="仿宋_GB2312"/>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
    <w:trPr>
      <w:jc w:val="center"/>
    </w:trPr>
    <w:tcPr>
      <w:vAlign w:val="center"/>
    </w:tcPr>
    <w:tblStylePr w:type="firstRow">
      <w:pPr>
        <w:jc w:val="center"/>
      </w:pPr>
      <w:rPr>
        <w:rFonts w:ascii="新宋体" w:hAnsi="新宋体" w:eastAsia="楷体_GB2312"/>
        <w:b/>
        <w:sz w:val="21"/>
      </w:rPr>
      <w:tcPr>
        <w:tcBorders>
          <w:top w:val="nil"/>
          <w:left w:val="nil"/>
          <w:bottom w:val="nil"/>
          <w:right w:val="nil"/>
          <w:insideH w:val="nil"/>
          <w:insideV w:val="nil"/>
          <w:tl2br w:val="nil"/>
          <w:tr2bl w:val="nil"/>
        </w:tcBorders>
      </w:tcPr>
    </w:tblStylePr>
  </w:style>
  <w:style w:type="paragraph" w:customStyle="1" w:styleId="79">
    <w:name w:val="报告表三级标题"/>
    <w:basedOn w:val="1"/>
    <w:autoRedefine/>
    <w:qFormat/>
    <w:uiPriority w:val="0"/>
    <w:pPr>
      <w:spacing w:line="360" w:lineRule="auto"/>
    </w:pPr>
    <w:rPr>
      <w:sz w:val="24"/>
    </w:rPr>
  </w:style>
  <w:style w:type="paragraph" w:customStyle="1" w:styleId="80">
    <w:name w:val="正文4"/>
    <w:basedOn w:val="1"/>
    <w:autoRedefine/>
    <w:qFormat/>
    <w:uiPriority w:val="0"/>
    <w:pPr>
      <w:widowControl/>
      <w:adjustRightInd w:val="0"/>
      <w:snapToGrid w:val="0"/>
      <w:spacing w:line="360" w:lineRule="auto"/>
      <w:ind w:firstLine="480" w:firstLineChars="200"/>
      <w:jc w:val="left"/>
    </w:pPr>
    <w:rPr>
      <w:color w:val="000000"/>
      <w:kern w:val="28"/>
      <w:sz w:val="24"/>
    </w:rPr>
  </w:style>
  <w:style w:type="paragraph" w:customStyle="1" w:styleId="81">
    <w:name w:val="表头 1"/>
    <w:basedOn w:val="10"/>
    <w:next w:val="10"/>
    <w:autoRedefine/>
    <w:qFormat/>
    <w:uiPriority w:val="0"/>
    <w:pPr>
      <w:adjustRightInd w:val="0"/>
      <w:spacing w:line="360" w:lineRule="auto"/>
      <w:jc w:val="center"/>
    </w:pPr>
    <w:rPr>
      <w:sz w:val="24"/>
    </w:rPr>
  </w:style>
  <w:style w:type="paragraph" w:customStyle="1" w:styleId="82">
    <w:name w:val="表头2"/>
    <w:basedOn w:val="1"/>
    <w:autoRedefine/>
    <w:qFormat/>
    <w:uiPriority w:val="0"/>
    <w:pPr>
      <w:widowControl/>
      <w:contextualSpacing/>
      <w:jc w:val="center"/>
    </w:pPr>
    <w:rPr>
      <w:b/>
      <w:snapToGrid w:val="0"/>
      <w:color w:val="000000"/>
      <w:kern w:val="28"/>
      <w:sz w:val="24"/>
    </w:rPr>
  </w:style>
  <w:style w:type="paragraph" w:customStyle="1" w:styleId="83">
    <w:name w:val="表格字体"/>
    <w:basedOn w:val="1"/>
    <w:qFormat/>
    <w:uiPriority w:val="0"/>
    <w:pPr>
      <w:widowControl/>
      <w:adjustRightInd w:val="0"/>
      <w:snapToGrid w:val="0"/>
      <w:spacing w:beforeLines="20" w:afterLines="20"/>
      <w:jc w:val="center"/>
    </w:pPr>
    <w:rPr>
      <w:color w:val="000000"/>
      <w:kern w:val="28"/>
      <w:szCs w:val="21"/>
    </w:rPr>
  </w:style>
  <w:style w:type="paragraph" w:customStyle="1" w:styleId="84">
    <w:name w:val="表头lcc"/>
    <w:basedOn w:val="85"/>
    <w:autoRedefine/>
    <w:qFormat/>
    <w:uiPriority w:val="0"/>
    <w:rPr>
      <w:szCs w:val="21"/>
    </w:rPr>
  </w:style>
  <w:style w:type="paragraph" w:customStyle="1" w:styleId="85">
    <w:name w:val="已有表格"/>
    <w:basedOn w:val="1"/>
    <w:qFormat/>
    <w:uiPriority w:val="0"/>
    <w:pPr>
      <w:adjustRightInd w:val="0"/>
      <w:jc w:val="center"/>
      <w:textAlignment w:val="baseline"/>
    </w:pPr>
    <w:rPr>
      <w:b/>
      <w:kern w:val="0"/>
      <w:szCs w:val="20"/>
    </w:rPr>
  </w:style>
  <w:style w:type="paragraph" w:customStyle="1" w:styleId="86">
    <w:name w:val="表内lcc"/>
    <w:basedOn w:val="1"/>
    <w:qFormat/>
    <w:uiPriority w:val="0"/>
    <w:pPr>
      <w:jc w:val="center"/>
    </w:pPr>
    <w:rPr>
      <w:iCs/>
      <w:color w:val="000000"/>
      <w:szCs w:val="21"/>
    </w:rPr>
  </w:style>
  <w:style w:type="paragraph" w:customStyle="1" w:styleId="87">
    <w:name w:val="正文lcc2"/>
    <w:basedOn w:val="10"/>
    <w:autoRedefine/>
    <w:qFormat/>
    <w:uiPriority w:val="0"/>
    <w:pPr>
      <w:ind w:firstLine="200" w:firstLineChars="200"/>
    </w:pPr>
    <w:rPr>
      <w:b/>
    </w:rPr>
  </w:style>
  <w:style w:type="paragraph" w:customStyle="1" w:styleId="88">
    <w:name w:val="图文框"/>
    <w:basedOn w:val="1"/>
    <w:autoRedefine/>
    <w:qFormat/>
    <w:uiPriority w:val="0"/>
    <w:pPr>
      <w:jc w:val="center"/>
    </w:pPr>
    <w:rPr>
      <w:rFonts w:ascii="宋体" w:hAnsi="宋体"/>
    </w:rPr>
  </w:style>
  <w:style w:type="paragraph" w:customStyle="1" w:styleId="89">
    <w:name w:val="0正文"/>
    <w:basedOn w:val="25"/>
    <w:autoRedefine/>
    <w:qFormat/>
    <w:uiPriority w:val="0"/>
    <w:pPr>
      <w:adjustRightInd w:val="0"/>
      <w:snapToGrid w:val="0"/>
      <w:spacing w:before="0" w:beforeAutospacing="0" w:after="0" w:afterAutospacing="0" w:line="360" w:lineRule="auto"/>
      <w:ind w:firstLine="200" w:firstLineChars="200"/>
      <w:jc w:val="both"/>
    </w:pPr>
    <w:rPr>
      <w:rFonts w:ascii="Times New Roman" w:hAnsi="Times New Roman"/>
      <w:kern w:val="2"/>
      <w:szCs w:val="24"/>
    </w:rPr>
  </w:style>
  <w:style w:type="paragraph" w:customStyle="1" w:styleId="90">
    <w:name w:val="宗兴正文"/>
    <w:basedOn w:val="1"/>
    <w:autoRedefine/>
    <w:qFormat/>
    <w:uiPriority w:val="0"/>
    <w:pPr>
      <w:spacing w:line="360" w:lineRule="auto"/>
      <w:ind w:firstLine="480" w:firstLineChars="200"/>
    </w:pPr>
  </w:style>
  <w:style w:type="paragraph" w:customStyle="1" w:styleId="91">
    <w:name w:val="环评正文"/>
    <w:basedOn w:val="15"/>
    <w:qFormat/>
    <w:uiPriority w:val="0"/>
    <w:pPr>
      <w:spacing w:line="500" w:lineRule="exact"/>
      <w:ind w:left="0" w:leftChars="0" w:firstLine="560" w:firstLineChars="200"/>
    </w:pPr>
    <w:rPr>
      <w:rFonts w:ascii="仿宋_GB2312"/>
      <w:kern w:val="2"/>
      <w:sz w:val="28"/>
    </w:rPr>
  </w:style>
  <w:style w:type="paragraph" w:customStyle="1" w:styleId="92">
    <w:name w:val="正文2"/>
    <w:basedOn w:val="1"/>
    <w:autoRedefine/>
    <w:qFormat/>
    <w:uiPriority w:val="0"/>
    <w:pPr>
      <w:adjustRightInd w:val="0"/>
      <w:snapToGrid w:val="0"/>
      <w:spacing w:line="340" w:lineRule="exact"/>
    </w:pPr>
    <w:rPr>
      <w:rFonts w:cs="宋体"/>
      <w:bCs/>
      <w:szCs w:val="21"/>
    </w:rPr>
  </w:style>
  <w:style w:type="paragraph" w:customStyle="1" w:styleId="93">
    <w:name w:val="5居中"/>
    <w:basedOn w:val="1"/>
    <w:qFormat/>
    <w:uiPriority w:val="0"/>
    <w:pPr>
      <w:snapToGrid w:val="0"/>
      <w:spacing w:beforeLines="15" w:afterLines="15" w:line="320" w:lineRule="atLeast"/>
      <w:jc w:val="center"/>
    </w:pPr>
  </w:style>
  <w:style w:type="paragraph" w:customStyle="1" w:styleId="94">
    <w:name w:val="样式 左侧:  0.44 厘米 首行缩进:  2 字符 右侧:  0.44 厘米1"/>
    <w:basedOn w:val="1"/>
    <w:autoRedefine/>
    <w:qFormat/>
    <w:uiPriority w:val="0"/>
    <w:pPr>
      <w:spacing w:line="420" w:lineRule="exact"/>
      <w:ind w:firstLine="480"/>
    </w:pPr>
    <w:rPr>
      <w:rFonts w:ascii="Calibri" w:hAnsi="Calibri" w:cs="宋体"/>
    </w:rPr>
  </w:style>
  <w:style w:type="paragraph" w:customStyle="1" w:styleId="95">
    <w:name w:val="Other|1"/>
    <w:basedOn w:val="1"/>
    <w:qFormat/>
    <w:uiPriority w:val="0"/>
    <w:pPr>
      <w:spacing w:after="160" w:line="271" w:lineRule="auto"/>
      <w:ind w:firstLine="400"/>
    </w:pPr>
    <w:rPr>
      <w:rFonts w:ascii="宋体" w:hAnsi="宋体" w:cs="宋体"/>
      <w:lang w:val="zh-TW" w:eastAsia="zh-TW" w:bidi="zh-TW"/>
    </w:rPr>
  </w:style>
  <w:style w:type="paragraph" w:customStyle="1" w:styleId="96">
    <w:name w:val="正文 首行缩进:  2 字符"/>
    <w:basedOn w:val="1"/>
    <w:autoRedefine/>
    <w:qFormat/>
    <w:uiPriority w:val="0"/>
    <w:pPr>
      <w:ind w:firstLine="579" w:firstLineChars="200"/>
    </w:pPr>
    <w:rPr>
      <w:rFonts w:cs="宋体"/>
      <w:szCs w:val="20"/>
    </w:rPr>
  </w:style>
  <w:style w:type="character" w:customStyle="1" w:styleId="97">
    <w:name w:val="font21"/>
    <w:autoRedefine/>
    <w:qFormat/>
    <w:uiPriority w:val="0"/>
    <w:rPr>
      <w:rFonts w:hint="eastAsia" w:ascii="宋体" w:hAnsi="宋体" w:eastAsia="宋体" w:cs="宋体"/>
      <w:color w:val="000000"/>
      <w:sz w:val="21"/>
      <w:szCs w:val="21"/>
      <w:u w:val="none"/>
    </w:rPr>
  </w:style>
  <w:style w:type="paragraph" w:customStyle="1" w:styleId="98">
    <w:name w:val="WPSOffice手动目录 1"/>
    <w:qFormat/>
    <w:uiPriority w:val="0"/>
    <w:rPr>
      <w:rFonts w:ascii="Times New Roman" w:hAnsi="Times New Roman" w:eastAsia="宋体" w:cs="Times New Roman"/>
      <w:lang w:val="en-US" w:eastAsia="zh-CN" w:bidi="ar-SA"/>
    </w:rPr>
  </w:style>
  <w:style w:type="table" w:customStyle="1" w:styleId="99">
    <w:name w:val="环评表格"/>
    <w:basedOn w:val="32"/>
    <w:qFormat/>
    <w:uiPriority w:val="0"/>
    <w:pPr>
      <w:adjustRightInd/>
      <w:jc w:val="center"/>
      <w:textAlignment w:val="auto"/>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00">
    <w:name w:val="表格正文"/>
    <w:basedOn w:val="1"/>
    <w:autoRedefine/>
    <w:qFormat/>
    <w:uiPriority w:val="0"/>
  </w:style>
  <w:style w:type="table" w:customStyle="1" w:styleId="101">
    <w:name w:val="Table Normal"/>
    <w:autoRedefine/>
    <w:unhideWhenUsed/>
    <w:qFormat/>
    <w:uiPriority w:val="0"/>
    <w:tblPr>
      <w:tblCellMar>
        <w:top w:w="0" w:type="dxa"/>
        <w:left w:w="0" w:type="dxa"/>
        <w:bottom w:w="0" w:type="dxa"/>
        <w:right w:w="0" w:type="dxa"/>
      </w:tblCellMar>
    </w:tblPr>
  </w:style>
  <w:style w:type="paragraph" w:customStyle="1" w:styleId="102">
    <w:name w:val="表格 首行文字"/>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103">
    <w:name w:val="表格标题"/>
    <w:basedOn w:val="1"/>
    <w:autoRedefine/>
    <w:qFormat/>
    <w:uiPriority w:val="0"/>
    <w:pPr>
      <w:spacing w:line="360" w:lineRule="auto"/>
      <w:jc w:val="center"/>
    </w:pPr>
    <w:rPr>
      <w:b/>
      <w:bCs/>
      <w:sz w:val="24"/>
      <w:szCs w:val="22"/>
    </w:rPr>
  </w:style>
  <w:style w:type="paragraph" w:customStyle="1" w:styleId="104">
    <w:name w:val="缩进正文"/>
    <w:basedOn w:val="1"/>
    <w:autoRedefine/>
    <w:qFormat/>
    <w:uiPriority w:val="0"/>
    <w:pPr>
      <w:spacing w:line="360" w:lineRule="auto"/>
      <w:ind w:firstLine="720" w:firstLineChars="200"/>
    </w:pPr>
    <w:rPr>
      <w:sz w:val="24"/>
    </w:rPr>
  </w:style>
  <w:style w:type="paragraph" w:customStyle="1" w:styleId="105">
    <w:name w:val="1、小标题"/>
    <w:basedOn w:val="26"/>
    <w:qFormat/>
    <w:uiPriority w:val="0"/>
    <w:pPr>
      <w:autoSpaceDE w:val="0"/>
      <w:autoSpaceDN w:val="0"/>
      <w:spacing w:line="360" w:lineRule="auto"/>
      <w:jc w:val="left"/>
    </w:pPr>
    <w:rPr>
      <w:rFonts w:ascii="Times New Roman" w:hAnsi="Times New Roman" w:cs="宋体"/>
      <w:kern w:val="0"/>
      <w:sz w:val="24"/>
      <w:szCs w:val="21"/>
    </w:rPr>
  </w:style>
  <w:style w:type="paragraph" w:customStyle="1" w:styleId="106">
    <w:name w:val="表内表"/>
    <w:basedOn w:val="1"/>
    <w:autoRedefine/>
    <w:qFormat/>
    <w:uiPriority w:val="0"/>
    <w:pPr>
      <w:spacing w:line="240" w:lineRule="atLeast"/>
      <w:jc w:val="center"/>
    </w:pPr>
    <w:rPr>
      <w:bCs/>
      <w:szCs w:val="21"/>
    </w:rPr>
  </w:style>
  <w:style w:type="paragraph" w:customStyle="1" w:styleId="107">
    <w:name w:val="无缩进正文"/>
    <w:basedOn w:val="1"/>
    <w:qFormat/>
    <w:uiPriority w:val="0"/>
    <w:pPr>
      <w:spacing w:line="360" w:lineRule="auto"/>
    </w:pPr>
    <w:rPr>
      <w:sz w:val="24"/>
    </w:rPr>
  </w:style>
  <w:style w:type="paragraph" w:customStyle="1" w:styleId="108">
    <w:name w:val="A表头"/>
    <w:basedOn w:val="1"/>
    <w:autoRedefine/>
    <w:qFormat/>
    <w:uiPriority w:val="0"/>
    <w:pPr>
      <w:spacing w:line="360" w:lineRule="auto"/>
      <w:jc w:val="center"/>
    </w:pPr>
    <w:rPr>
      <w:b/>
      <w:kern w:val="0"/>
      <w:sz w:val="24"/>
    </w:rPr>
  </w:style>
  <w:style w:type="paragraph" w:customStyle="1" w:styleId="109">
    <w:name w:val="（1）小标题"/>
    <w:basedOn w:val="26"/>
    <w:autoRedefine/>
    <w:qFormat/>
    <w:uiPriority w:val="0"/>
    <w:pPr>
      <w:autoSpaceDE w:val="0"/>
      <w:autoSpaceDN w:val="0"/>
      <w:spacing w:line="360" w:lineRule="auto"/>
      <w:jc w:val="left"/>
    </w:pPr>
    <w:rPr>
      <w:rFonts w:ascii="Times New Roman" w:hAnsi="Times New Roman" w:cs="宋体"/>
      <w:kern w:val="0"/>
      <w:sz w:val="24"/>
      <w:szCs w:val="21"/>
    </w:rPr>
  </w:style>
  <w:style w:type="paragraph" w:customStyle="1" w:styleId="110">
    <w:name w:val="图标标题"/>
    <w:basedOn w:val="1"/>
    <w:next w:val="1"/>
    <w:autoRedefine/>
    <w:qFormat/>
    <w:uiPriority w:val="0"/>
    <w:pPr>
      <w:jc w:val="center"/>
    </w:pPr>
    <w:rPr>
      <w:b/>
      <w:bCs/>
    </w:rPr>
  </w:style>
  <w:style w:type="paragraph" w:customStyle="1" w:styleId="111">
    <w:name w:val="Default1"/>
    <w:basedOn w:val="112"/>
    <w:next w:val="1"/>
    <w:qFormat/>
    <w:uiPriority w:val="0"/>
    <w:pPr>
      <w:widowControl w:val="0"/>
      <w:autoSpaceDE w:val="0"/>
      <w:autoSpaceDN w:val="0"/>
      <w:adjustRightInd w:val="0"/>
    </w:pPr>
    <w:rPr>
      <w:rFonts w:ascii="宋体" w:eastAsia="宋体" w:cs="宋体"/>
      <w:color w:val="000000"/>
      <w:sz w:val="24"/>
      <w:szCs w:val="24"/>
      <w:lang w:val="en-US" w:eastAsia="zh-CN"/>
    </w:rPr>
  </w:style>
  <w:style w:type="paragraph" w:customStyle="1" w:styleId="112">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113">
    <w:name w:val="表格标题--中祥"/>
    <w:basedOn w:val="1"/>
    <w:autoRedefine/>
    <w:qFormat/>
    <w:uiPriority w:val="0"/>
    <w:pPr>
      <w:spacing w:line="320" w:lineRule="exact"/>
      <w:ind w:firstLine="482"/>
      <w:jc w:val="center"/>
    </w:pPr>
    <w:rPr>
      <w:rFonts w:ascii="宋体" w:hAnsi="宋体"/>
      <w:b/>
      <w:lang w:val="zh-CN"/>
    </w:rPr>
  </w:style>
  <w:style w:type="character" w:customStyle="1" w:styleId="114">
    <w:name w:val="font31"/>
    <w:basedOn w:val="33"/>
    <w:autoRedefine/>
    <w:qFormat/>
    <w:uiPriority w:val="0"/>
    <w:rPr>
      <w:rFonts w:hint="default" w:ascii="Times New Roman" w:hAnsi="Times New Roman" w:cs="Times New Roman"/>
      <w:color w:val="000000"/>
      <w:sz w:val="21"/>
      <w:szCs w:val="21"/>
      <w:u w:val="none"/>
    </w:rPr>
  </w:style>
  <w:style w:type="paragraph" w:styleId="115">
    <w:name w:val="Quote"/>
    <w:basedOn w:val="1"/>
    <w:next w:val="1"/>
    <w:qFormat/>
    <w:uiPriority w:val="99"/>
    <w:pPr>
      <w:jc w:val="center"/>
    </w:pPr>
    <w:rPr>
      <w:iCs/>
    </w:rPr>
  </w:style>
  <w:style w:type="paragraph" w:customStyle="1" w:styleId="116">
    <w:name w:val="表中文字"/>
    <w:basedOn w:val="117"/>
    <w:autoRedefine/>
    <w:qFormat/>
    <w:uiPriority w:val="0"/>
    <w:pPr>
      <w:tabs>
        <w:tab w:val="left" w:pos="277"/>
        <w:tab w:val="left" w:pos="600"/>
        <w:tab w:val="left" w:pos="780"/>
        <w:tab w:val="left" w:pos="2517"/>
      </w:tabs>
    </w:pPr>
  </w:style>
  <w:style w:type="paragraph" w:customStyle="1" w:styleId="117">
    <w:name w:val="表格的文字"/>
    <w:basedOn w:val="1"/>
    <w:autoRedefine/>
    <w:qFormat/>
    <w:uiPriority w:val="99"/>
    <w:pPr>
      <w:tabs>
        <w:tab w:val="left" w:pos="277"/>
        <w:tab w:val="left" w:pos="600"/>
        <w:tab w:val="left" w:pos="780"/>
        <w:tab w:val="left" w:pos="2517"/>
      </w:tabs>
      <w:jc w:val="center"/>
      <w:textAlignment w:val="baseline"/>
    </w:pPr>
    <w:rPr>
      <w:kern w:val="0"/>
      <w:szCs w:val="21"/>
    </w:rPr>
  </w:style>
  <w:style w:type="character" w:customStyle="1" w:styleId="118">
    <w:name w:val="正文文本 Char2"/>
    <w:qFormat/>
    <w:uiPriority w:val="0"/>
    <w:rPr>
      <w:rFonts w:ascii="Times New Roman" w:hAnsi="Times New Roman" w:eastAsia="宋体" w:cs="Times New Roman"/>
      <w:sz w:val="21"/>
      <w:szCs w:val="20"/>
    </w:rPr>
  </w:style>
  <w:style w:type="paragraph" w:customStyle="1" w:styleId="119">
    <w:name w:val="00表文"/>
    <w:unhideWhenUsed/>
    <w:qFormat/>
    <w:uiPriority w:val="0"/>
    <w:pPr>
      <w:adjustRightInd w:val="0"/>
      <w:snapToGrid w:val="0"/>
      <w:spacing w:line="240" w:lineRule="atLeast"/>
      <w:jc w:val="center"/>
    </w:pPr>
    <w:rPr>
      <w:rFonts w:ascii="Times New Roman" w:hAnsi="Times New Roman" w:eastAsia="宋体" w:cs="Times New Roman"/>
      <w:color w:val="000000"/>
      <w:sz w:val="21"/>
      <w:szCs w:val="24"/>
      <w:lang w:val="en-US" w:eastAsia="zh-CN" w:bidi="ar-SA"/>
    </w:rPr>
  </w:style>
  <w:style w:type="character" w:customStyle="1" w:styleId="120">
    <w:name w:val="disabled"/>
    <w:basedOn w:val="33"/>
    <w:autoRedefine/>
    <w:qFormat/>
    <w:uiPriority w:val="0"/>
    <w:rPr>
      <w:vanish/>
    </w:rPr>
  </w:style>
  <w:style w:type="character" w:customStyle="1" w:styleId="121">
    <w:name w:val="znspantitle"/>
    <w:basedOn w:val="33"/>
    <w:qFormat/>
    <w:uiPriority w:val="0"/>
    <w:rPr>
      <w:b/>
      <w:bCs/>
      <w:color w:val="333333"/>
    </w:rPr>
  </w:style>
  <w:style w:type="paragraph" w:customStyle="1" w:styleId="122">
    <w:name w:val="表格内容"/>
    <w:basedOn w:val="1"/>
    <w:autoRedefine/>
    <w:qFormat/>
    <w:uiPriority w:val="0"/>
    <w:pPr>
      <w:keepNext w:val="0"/>
      <w:keepLines w:val="0"/>
      <w:widowControl/>
      <w:suppressLineNumbers w:val="0"/>
      <w:spacing w:before="50" w:beforeLines="50" w:beforeAutospacing="0" w:after="0" w:afterAutospacing="0"/>
      <w:ind w:left="0" w:right="0"/>
      <w:jc w:val="center"/>
    </w:pPr>
    <w:rPr>
      <w:rFonts w:hint="default" w:ascii="Times New Roman" w:hAnsi="Times New Roman" w:eastAsia="仿宋" w:cs="Times New Roman"/>
      <w:kern w:val="0"/>
      <w:sz w:val="24"/>
      <w:szCs w:val="20"/>
      <w:lang w:val="en-US" w:eastAsia="zh-CN" w:bidi="ar"/>
    </w:rPr>
  </w:style>
  <w:style w:type="paragraph" w:customStyle="1" w:styleId="123">
    <w:name w:val="表蕊"/>
    <w:basedOn w:val="1"/>
    <w:autoRedefine/>
    <w:qFormat/>
    <w:uiPriority w:val="0"/>
    <w:pPr>
      <w:adjustRightInd w:val="0"/>
      <w:spacing w:line="280" w:lineRule="atLeast"/>
      <w:jc w:val="left"/>
      <w:textAlignment w:val="baseline"/>
    </w:pPr>
    <w:rPr>
      <w:rFonts w:ascii="Times New Roman" w:hAnsi="Times New Roman" w:eastAsia="楷体_GB2312"/>
      <w:color w:val="000000"/>
      <w:spacing w:val="-10"/>
      <w:kern w:val="0"/>
      <w:sz w:val="21"/>
      <w:szCs w:val="21"/>
    </w:rPr>
  </w:style>
  <w:style w:type="paragraph" w:customStyle="1" w:styleId="124">
    <w:name w:val="表头"/>
    <w:basedOn w:val="1"/>
    <w:autoRedefine/>
    <w:qFormat/>
    <w:uiPriority w:val="0"/>
    <w:pPr>
      <w:jc w:val="center"/>
    </w:pPr>
    <w:rPr>
      <w:rFonts w:ascii="Times New Roman" w:hAnsi="Times New Roman"/>
      <w:szCs w:val="24"/>
    </w:rPr>
  </w:style>
  <w:style w:type="paragraph" w:customStyle="1" w:styleId="125">
    <w:name w:val="样式4"/>
    <w:basedOn w:val="10"/>
    <w:autoRedefine/>
    <w:qFormat/>
    <w:uiPriority w:val="0"/>
    <w:pPr>
      <w:spacing w:after="0" w:line="486" w:lineRule="exact"/>
      <w:ind w:right="-120" w:rightChars="-50" w:firstLine="560" w:firstLineChars="200"/>
    </w:pPr>
    <w:rPr>
      <w:rFonts w:ascii="Times New Roman" w:hAnsi="Times New Roman"/>
      <w:snapToGrid w:val="0"/>
      <w:color w:val="000000"/>
      <w:sz w:val="28"/>
      <w:szCs w:val="28"/>
    </w:rPr>
  </w:style>
  <w:style w:type="paragraph" w:customStyle="1" w:styleId="126">
    <w:name w:val="1图表表头"/>
    <w:basedOn w:val="127"/>
    <w:autoRedefine/>
    <w:qFormat/>
    <w:uiPriority w:val="0"/>
    <w:rPr>
      <w:b/>
    </w:rPr>
  </w:style>
  <w:style w:type="paragraph" w:customStyle="1" w:styleId="127">
    <w:name w:val="1图表正文"/>
    <w:basedOn w:val="1"/>
    <w:qFormat/>
    <w:uiPriority w:val="0"/>
    <w:pPr>
      <w:jc w:val="center"/>
    </w:pPr>
    <w:rPr>
      <w:bCs/>
      <w:color w:val="000000"/>
      <w:szCs w:val="21"/>
    </w:rPr>
  </w:style>
  <w:style w:type="paragraph" w:customStyle="1" w:styleId="128">
    <w:name w:val="Body text|1"/>
    <w:basedOn w:val="1"/>
    <w:qFormat/>
    <w:uiPriority w:val="0"/>
    <w:pPr>
      <w:widowControl w:val="0"/>
      <w:shd w:val="clear" w:color="auto" w:fill="auto"/>
      <w:spacing w:line="382" w:lineRule="auto"/>
      <w:ind w:firstLine="380"/>
    </w:pPr>
    <w:rPr>
      <w:rFonts w:ascii="MingLiU" w:hAnsi="MingLiU" w:eastAsia="MingLiU" w:cs="MingLiU"/>
      <w:sz w:val="20"/>
      <w:szCs w:val="20"/>
      <w:u w:val="none"/>
      <w:shd w:val="clear" w:color="auto" w:fill="auto"/>
      <w:lang w:val="zh-TW" w:eastAsia="zh-TW" w:bidi="zh-TW"/>
    </w:rPr>
  </w:style>
  <w:style w:type="character" w:customStyle="1" w:styleId="129">
    <w:name w:val="font11"/>
    <w:basedOn w:val="33"/>
    <w:autoRedefine/>
    <w:qFormat/>
    <w:uiPriority w:val="0"/>
    <w:rPr>
      <w:rFonts w:hint="eastAsia" w:ascii="宋体" w:hAnsi="宋体" w:eastAsia="宋体" w:cs="宋体"/>
      <w:color w:val="000000"/>
      <w:sz w:val="21"/>
      <w:szCs w:val="21"/>
      <w:u w:val="none"/>
    </w:rPr>
  </w:style>
  <w:style w:type="character" w:customStyle="1" w:styleId="130">
    <w:name w:val="font51"/>
    <w:basedOn w:val="33"/>
    <w:semiHidden/>
    <w:qFormat/>
    <w:uiPriority w:val="0"/>
    <w:rPr>
      <w:rFonts w:hint="eastAsia" w:ascii="宋体" w:hAnsi="宋体" w:eastAsia="宋体"/>
      <w:color w:val="000000"/>
      <w:sz w:val="21"/>
      <w:szCs w:val="21"/>
    </w:rPr>
  </w:style>
  <w:style w:type="character" w:customStyle="1" w:styleId="131">
    <w:name w:val="font81"/>
    <w:basedOn w:val="33"/>
    <w:qFormat/>
    <w:uiPriority w:val="0"/>
    <w:rPr>
      <w:rFonts w:hint="eastAsia" w:ascii="宋体" w:hAnsi="宋体" w:eastAsia="宋体" w:cs="宋体"/>
      <w:color w:val="000000"/>
      <w:sz w:val="21"/>
      <w:szCs w:val="21"/>
      <w:u w:val="none"/>
    </w:rPr>
  </w:style>
  <w:style w:type="character" w:customStyle="1" w:styleId="132">
    <w:name w:val="font01"/>
    <w:basedOn w:val="33"/>
    <w:qFormat/>
    <w:uiPriority w:val="0"/>
    <w:rPr>
      <w:rFonts w:hint="eastAsia" w:ascii="宋体" w:hAnsi="宋体" w:eastAsia="宋体" w:cs="宋体"/>
      <w:color w:val="000000"/>
      <w:sz w:val="22"/>
      <w:szCs w:val="22"/>
      <w:u w:val="none"/>
    </w:rPr>
  </w:style>
  <w:style w:type="character" w:customStyle="1" w:styleId="133">
    <w:name w:val="font91"/>
    <w:basedOn w:val="33"/>
    <w:qFormat/>
    <w:uiPriority w:val="0"/>
    <w:rPr>
      <w:rFonts w:hint="eastAsia" w:ascii="宋体" w:hAnsi="宋体" w:eastAsia="宋体" w:cs="宋体"/>
      <w:b/>
      <w:bCs/>
      <w:color w:val="FF0000"/>
      <w:sz w:val="24"/>
      <w:szCs w:val="24"/>
      <w:u w:val="none"/>
      <w:vertAlign w:val="superscript"/>
    </w:rPr>
  </w:style>
  <w:style w:type="character" w:customStyle="1" w:styleId="134">
    <w:name w:val="font61"/>
    <w:basedOn w:val="33"/>
    <w:qFormat/>
    <w:uiPriority w:val="0"/>
    <w:rPr>
      <w:rFonts w:hint="default" w:ascii="Times New Roman" w:hAnsi="Times New Roman" w:cs="Times New Roman"/>
      <w:b/>
      <w:bCs/>
      <w:color w:val="000000"/>
      <w:sz w:val="24"/>
      <w:szCs w:val="24"/>
      <w:u w:val="none"/>
      <w:vertAlign w:val="superscript"/>
    </w:rPr>
  </w:style>
  <w:style w:type="character" w:customStyle="1" w:styleId="135">
    <w:name w:val="font71"/>
    <w:basedOn w:val="33"/>
    <w:qFormat/>
    <w:uiPriority w:val="0"/>
    <w:rPr>
      <w:rFonts w:hint="default" w:ascii="Times New Roman" w:hAnsi="Times New Roman" w:cs="Times New Roman"/>
      <w:color w:val="000000"/>
      <w:sz w:val="21"/>
      <w:szCs w:val="21"/>
      <w:u w:val="none"/>
      <w:vertAlign w:val="subscript"/>
    </w:rPr>
  </w:style>
  <w:style w:type="paragraph" w:customStyle="1" w:styleId="136">
    <w:name w:val="正文首行缩进2个字 Char"/>
    <w:basedOn w:val="1"/>
    <w:autoRedefine/>
    <w:qFormat/>
    <w:uiPriority w:val="0"/>
    <w:pPr>
      <w:ind w:firstLine="480" w:firstLineChars="200"/>
    </w:pPr>
    <w:rPr>
      <w:rFonts w:ascii="Times New Roman" w:hAnsi="Times New Roman" w:eastAsia="宋体"/>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wmf"/><Relationship Id="rId4" Type="http://schemas.openxmlformats.org/officeDocument/2006/relationships/footer" Target="footer2.xml"/><Relationship Id="rId39" Type="http://schemas.openxmlformats.org/officeDocument/2006/relationships/oleObject" Target="embeddings/oleObject8.bin"/><Relationship Id="rId38" Type="http://schemas.openxmlformats.org/officeDocument/2006/relationships/image" Target="media/image23.wmf"/><Relationship Id="rId37" Type="http://schemas.openxmlformats.org/officeDocument/2006/relationships/oleObject" Target="embeddings/oleObject7.bin"/><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5.wmf"/><Relationship Id="rId27" Type="http://schemas.openxmlformats.org/officeDocument/2006/relationships/oleObject" Target="embeddings/oleObject5.bin"/><Relationship Id="rId26" Type="http://schemas.openxmlformats.org/officeDocument/2006/relationships/image" Target="media/image14.wmf"/><Relationship Id="rId25" Type="http://schemas.openxmlformats.org/officeDocument/2006/relationships/oleObject" Target="embeddings/oleObject4.bin"/><Relationship Id="rId24" Type="http://schemas.openxmlformats.org/officeDocument/2006/relationships/image" Target="media/image13.wmf"/><Relationship Id="rId23" Type="http://schemas.openxmlformats.org/officeDocument/2006/relationships/oleObject" Target="embeddings/oleObject3.bin"/><Relationship Id="rId22" Type="http://schemas.openxmlformats.org/officeDocument/2006/relationships/image" Target="media/image12.wmf"/><Relationship Id="rId21" Type="http://schemas.openxmlformats.org/officeDocument/2006/relationships/oleObject" Target="embeddings/oleObject2.bin"/><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105</Pages>
  <Words>13288</Words>
  <Characters>14378</Characters>
  <Lines>287</Lines>
  <Paragraphs>80</Paragraphs>
  <TotalTime>1</TotalTime>
  <ScaleCrop>false</ScaleCrop>
  <LinksUpToDate>false</LinksUpToDate>
  <CharactersWithSpaces>14451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TIAN C &amp;HE</cp:lastModifiedBy>
  <cp:lastPrinted>2025-02-26T07:32:00Z</cp:lastPrinted>
  <dcterms:modified xsi:type="dcterms:W3CDTF">2025-06-12T06:54:19Z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F63952C4E41741A78FD8E2E6F2B5B851_13</vt:lpwstr>
  </property>
  <property fmtid="{D5CDD505-2E9C-101B-9397-08002B2CF9AE}" pid="4" name="KSOTemplateDocerSaveRecord">
    <vt:lpwstr>eyJoZGlkIjoiNjNmMjg4ZWM3ZDFkZTNlNzQ4NTYwZTBlOWZkODc3N2UiLCJ1c2VySWQiOiI3NDYwNDM0MjAifQ==</vt:lpwstr>
  </property>
</Properties>
</file>